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5C" w:rsidRDefault="00CA414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TRIBUNAL REGIONAL ELEITORAL DA BAHIA</w:t>
      </w: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56514</wp:posOffset>
            </wp:positionH>
            <wp:positionV relativeFrom="paragraph">
              <wp:posOffset>-50799</wp:posOffset>
            </wp:positionV>
            <wp:extent cx="702310" cy="686435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6864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D365C" w:rsidRDefault="00CA4145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COORDENADORIA DE AUDITORIA INTERNA</w:t>
      </w:r>
    </w:p>
    <w:p w:rsidR="006D365C" w:rsidRDefault="006D365C">
      <w:pPr>
        <w:tabs>
          <w:tab w:val="center" w:pos="4819"/>
          <w:tab w:val="right" w:pos="9638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6D365C" w:rsidRDefault="00CA4145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pict>
          <v:rect id="_x0000_i1025" style="width:0;height:1.5pt" o:hralign="center" o:hrstd="t" o:hr="t" fillcolor="#a0a0a0" stroked="f"/>
        </w:pict>
      </w:r>
    </w:p>
    <w:p w:rsidR="006D365C" w:rsidRDefault="006D365C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D365C" w:rsidRDefault="00CA414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CERTIFICADO DE AUDITORIA</w:t>
      </w:r>
    </w:p>
    <w:p w:rsidR="006D365C" w:rsidRDefault="006D365C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D365C" w:rsidRDefault="00CA4145">
      <w:pPr>
        <w:tabs>
          <w:tab w:val="center" w:pos="4819"/>
          <w:tab w:val="right" w:pos="9638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Examinamos, ao amparo da competência estabelecida no art. 74, inciso IV, da Constituição Federal, e nos termos do art. 50, inciso II, e do art. 9º, inciso III, da Lei nº 8.443, de 16 de julho de 1992, e no art. 13, §</w:t>
      </w:r>
      <w:r>
        <w:rPr>
          <w:rFonts w:ascii="Times New Roman" w:eastAsia="Times New Roman" w:hAnsi="Times New Roman" w:cs="Times New Roman"/>
          <w:color w:val="1155CC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2º, da Instrução Normativa - TCU nº 84,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22 de abril de 2020, as demonstrações contábeis do Tribunal Regional Eleitoral da Bahia, compreendendo os Balanços Orçamentário, Financeiro e Patrimonial em 31 de dezembro de 2021, além das Demonstrações das Variações Patrimoniais para o exercício find</w:t>
      </w:r>
      <w:r>
        <w:rPr>
          <w:rFonts w:ascii="Times New Roman" w:eastAsia="Times New Roman" w:hAnsi="Times New Roman" w:cs="Times New Roman"/>
          <w:sz w:val="24"/>
          <w:szCs w:val="24"/>
        </w:rPr>
        <w:t>o nesta data, e as correspondentes notas explicativas, incluindo o resumo das principais políticas contábeis.</w:t>
      </w:r>
    </w:p>
    <w:p w:rsidR="006D365C" w:rsidRDefault="006D365C">
      <w:pPr>
        <w:tabs>
          <w:tab w:val="center" w:pos="4819"/>
          <w:tab w:val="right" w:pos="9638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365C" w:rsidRDefault="00CA4145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  <w:between w:val="nil"/>
        </w:pBdr>
        <w:shd w:val="clear" w:color="auto" w:fill="073763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OPINIÃO COM RESSALVAS SOBRE AS DEMONSTRAÇÕES CONTÁBEIS</w:t>
      </w:r>
    </w:p>
    <w:p w:rsidR="006D365C" w:rsidRDefault="00CA4145">
      <w:pPr>
        <w:spacing w:before="12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 nossa opinião, exceto pelos assuntos descritos na seção “Base para Opinião com Ressalvas sobre as Demonstrações Contábeis", as demonstrações contábeis do TRE-BA no exercício de 2021 apresentam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adequadamente,  em  todos  os  aspectos  analisados,  a  po</w:t>
      </w:r>
      <w:r>
        <w:rPr>
          <w:rFonts w:ascii="Times New Roman" w:eastAsia="Times New Roman" w:hAnsi="Times New Roman" w:cs="Times New Roman"/>
          <w:sz w:val="24"/>
          <w:szCs w:val="24"/>
        </w:rPr>
        <w:t>sição patrimonial e financeira da entidade em 31 de dezembro de 2021, de acordo com as práticas contábeis adotadas no Brasil aplicadas ao setor público.</w:t>
      </w:r>
    </w:p>
    <w:p w:rsidR="006D365C" w:rsidRDefault="00CA4145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  <w:between w:val="nil"/>
        </w:pBdr>
        <w:shd w:val="clear" w:color="auto" w:fill="073763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BASE PARA OPINIÃO COM RESSALVAS SOBRE AS DEMONSTRAÇÕES CONTÁBEIS</w:t>
      </w:r>
    </w:p>
    <w:p w:rsidR="006D365C" w:rsidRDefault="00CA4145">
      <w:pPr>
        <w:spacing w:before="120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materialidade global da auditoria,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base nas despesas liquidadas acrescidas de restos a pagar não processados pagos em 31/12/2021, foi de R$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8.029.173,20 .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Esta materialidade é o parâmetro quantitativo para formação de opinião dos auditores. A equipe de auditoria identificou um montante p</w:t>
      </w:r>
      <w:r>
        <w:rPr>
          <w:rFonts w:ascii="Times New Roman" w:eastAsia="Times New Roman" w:hAnsi="Times New Roman" w:cs="Times New Roman"/>
          <w:sz w:val="24"/>
          <w:szCs w:val="24"/>
        </w:rPr>
        <w:t>rojetado de distorções no valor de R$ 46.984.784,14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quarenta e seis milhões, novecentos e oitenta 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quatro mil, setecentos e oitenta e quatro reais e quatorze centavos). Contudo, os efeitos destas distorções, embora relevantes, não foram generalizados nas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demonstrações financeiras do Órgão. As distorções detectadas na primeira etapa do trabalho (julho a novembro de 2021) foram comunicadas à administração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do Tribunal em 6/12/2021 (Relatório de Comunicação das Distorções) de forma a lhes permitir efetuar 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ajustes necessários e mitigar o risco de que as demonstrações contábeis fossem encerradas com distorções relevantes. Entretanto, restaram evidenciadas, após esclarecimento dos responsáveis, as situações a seguir elencadas, que com base nas evidências de a</w:t>
      </w:r>
      <w:r>
        <w:rPr>
          <w:rFonts w:ascii="Times New Roman" w:eastAsia="Times New Roman" w:hAnsi="Times New Roman" w:cs="Times New Roman"/>
          <w:sz w:val="24"/>
          <w:szCs w:val="24"/>
        </w:rPr>
        <w:t>uditoria obtidas, são suficientes e apropriadas para fundamentar nossa opinião com ressalva:</w:t>
      </w:r>
    </w:p>
    <w:p w:rsidR="006D365C" w:rsidRDefault="00CA4145">
      <w:pPr>
        <w:keepNext/>
        <w:numPr>
          <w:ilvl w:val="0"/>
          <w:numId w:val="1"/>
        </w:numPr>
        <w:spacing w:before="20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Defasagem estimada de aproximadamente R$ 33.000.000,00 no saldo da conta de Bens Imóveis, em razão da ausência de reavaliação dos imóveis do TRE-BA, considerando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omo parâmetro a reavaliação do Edifício-Sede, ocorrida em agosto de 2008, na qual o seu valor passou de R$ 10.086.192,75 para R$ 13.665.806,04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(aumento aproximado de 35%) e que os imóveis do Tribunal, registrados no SIAFI (consulta realizada em 27/10/2021)</w:t>
      </w:r>
      <w:r>
        <w:rPr>
          <w:rFonts w:ascii="Times New Roman" w:eastAsia="Times New Roman" w:hAnsi="Times New Roman" w:cs="Times New Roman"/>
          <w:sz w:val="24"/>
          <w:szCs w:val="24"/>
        </w:rPr>
        <w:t>, totalizam o montante de R$ 95.909.222,32, com consequente impacto no Resultado Patrimonial do Período, apurado no Demonstrativo das Variações Patrimoniais - DVP 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por conseguinte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 Balanço Patrimonial;</w:t>
      </w:r>
    </w:p>
    <w:p w:rsidR="006D365C" w:rsidRDefault="00CA4145">
      <w:pPr>
        <w:keepNext/>
        <w:numPr>
          <w:ilvl w:val="0"/>
          <w:numId w:val="1"/>
        </w:numPr>
        <w:spacing w:before="24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Distorção estimada R$ 2.923.028,50 na conta de depr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eciação de bens imóveis, não se levando em consideração o valor residual dos respectivos bens, tendo em vista ausência de contabilização de depreciação de imóveis do TRE-BA nos últimos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anos por não estarem registrados no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SPIUnet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impactando o Demonstrati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vo das Variações Patrimoniais - DVP, o saldo da conta Bens Imóveis, o resultado do exercício, e por conseguinte o Balanço Patrimonial; </w:t>
      </w:r>
    </w:p>
    <w:p w:rsidR="006D365C" w:rsidRDefault="00CA414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Divergência na conta de bens Imóveis do Órgão que totalizam o valor de R$ 864.089,97, devido ao registro de bens em cont</w:t>
      </w:r>
      <w:r>
        <w:rPr>
          <w:rFonts w:ascii="Times New Roman" w:eastAsia="Times New Roman" w:hAnsi="Times New Roman" w:cs="Times New Roman"/>
          <w:sz w:val="24"/>
          <w:szCs w:val="24"/>
        </w:rPr>
        <w:t>as contábeis incorretas. Evidenciou-se que na conta contábil 1.2.3.2.1.01.02 (Edifícios) consta em sua descrição tratar-se do terreno do Imóvel de Itabuna (R$ 155.249,97). Com relação ao imóvel de Vitória da Conquista (R$ 708.840,00), embora o imóvel estej</w:t>
      </w:r>
      <w:r>
        <w:rPr>
          <w:rFonts w:ascii="Times New Roman" w:eastAsia="Times New Roman" w:hAnsi="Times New Roman" w:cs="Times New Roman"/>
          <w:sz w:val="24"/>
          <w:szCs w:val="24"/>
        </w:rPr>
        <w:t>a registrado como Edifício no SIAFI, o imóvel encontra-se registrado como Terreno nos registros da SPU, impactando os valores da depreciação dos bens imóveis e, consequentemente, o Resultado Patrimonial do Período, apurado no Demonstrativo das Variações Pa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trimoniais - DVP e o Balanço Patrimonial. Em consulta ao plano de contas do SIAFI (consulta CONCONTA), os terrenos pertencentes ao TRE-BA deveriam ter sido registrados na conta contábil 1.2.3.2.1.01.03 (Terrenos/Glebas); </w:t>
      </w:r>
    </w:p>
    <w:p w:rsidR="006D365C" w:rsidRDefault="00CA414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Divergência de R$ 2.894.452,23 ent</w:t>
      </w:r>
      <w:r>
        <w:rPr>
          <w:rFonts w:ascii="Times New Roman" w:eastAsia="Times New Roman" w:hAnsi="Times New Roman" w:cs="Times New Roman"/>
          <w:sz w:val="24"/>
          <w:szCs w:val="24"/>
        </w:rPr>
        <w:t>re o imóvel de Itabuna (</w:t>
      </w:r>
      <w:r w:rsidR="00F26211">
        <w:rPr>
          <w:rFonts w:ascii="Times New Roman" w:eastAsia="Times New Roman" w:hAnsi="Times New Roman" w:cs="Times New Roman"/>
          <w:sz w:val="24"/>
          <w:szCs w:val="24"/>
        </w:rPr>
        <w:t xml:space="preserve">terreno) registrado no SIAFI 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 constantes no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SPIUnet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impactando a confiabilidade do Balanço Patrimonial do órgão;</w:t>
      </w:r>
    </w:p>
    <w:p w:rsidR="006D365C" w:rsidRDefault="00CA414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Divergência de R$ 2.836.187,11 entre o registro da depreciação acumulada no SIAFI e o registro na Secretaria do T</w:t>
      </w:r>
      <w:r>
        <w:rPr>
          <w:rFonts w:ascii="Times New Roman" w:eastAsia="Times New Roman" w:hAnsi="Times New Roman" w:cs="Times New Roman"/>
          <w:sz w:val="24"/>
          <w:szCs w:val="24"/>
        </w:rPr>
        <w:t>esouro Nacional, acarretando a subavaliação do ativo do órgão;</w:t>
      </w:r>
    </w:p>
    <w:p w:rsidR="006D365C" w:rsidRDefault="00CA414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Distorç</w:t>
      </w:r>
      <w:r w:rsidR="00F26211">
        <w:rPr>
          <w:rFonts w:ascii="Times New Roman" w:eastAsia="Times New Roman" w:hAnsi="Times New Roman" w:cs="Times New Roman"/>
          <w:sz w:val="24"/>
          <w:szCs w:val="24"/>
        </w:rPr>
        <w:t xml:space="preserve">ão estimada de R$ 1.424.615,02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referente ao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item intangíveis, devido à ausência de contabilização da amortização da conta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1.2.4.1.1.01.00 - Softwares com Vida Útil Definida impactando 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Balanço Patrimonial, além do Resultado Patrimonial do Período, apurado no Demonstrativo das Variações Patrimoniais - DVP. O valor estimado é referente ao período de 2019 a 2021, já que a obrigatoriedade de lançamentos das amortizações iniciou-se em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2019 p</w:t>
      </w:r>
      <w:r>
        <w:rPr>
          <w:rFonts w:ascii="Times New Roman" w:eastAsia="Times New Roman" w:hAnsi="Times New Roman" w:cs="Times New Roman"/>
          <w:sz w:val="24"/>
          <w:szCs w:val="24"/>
        </w:rPr>
        <w:t>or força normativa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da Portaria STN nº 548, de 24 de setembro de 2015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Ressalte-se que, na estimativa realizada,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não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levou em consideração o valor residual dos bens;</w:t>
      </w:r>
    </w:p>
    <w:p w:rsidR="006D365C" w:rsidRDefault="00CA414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Distorção no Balanço Patrimonial do Órgão devido ao registro de Bens Inservíveis no ativ</w:t>
      </w:r>
      <w:r>
        <w:rPr>
          <w:rFonts w:ascii="Times New Roman" w:eastAsia="Times New Roman" w:hAnsi="Times New Roman" w:cs="Times New Roman"/>
          <w:sz w:val="24"/>
          <w:szCs w:val="24"/>
        </w:rPr>
        <w:t>o imobilizado no montante de R$ 3.042.411,31 que deveriam ter sido alienados e desreconhecidos da conta de ativos.</w:t>
      </w:r>
    </w:p>
    <w:p w:rsidR="006D365C" w:rsidRDefault="00CA4145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  <w:between w:val="nil"/>
        </w:pBdr>
        <w:shd w:val="clear" w:color="auto" w:fill="073763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OPINIÃO SEM RESSALVA SOBRE A CONFORMIDADE DAS TRANSAÇÕES SUBJACENTES</w:t>
      </w:r>
    </w:p>
    <w:p w:rsidR="006D365C" w:rsidRDefault="00CA4145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 nossa opinião, não obstante terem sido identificados desvios de confo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rmidade nas transações subjacentes, estes não foram relevantes nem generalizados a ponto de ensejar a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modificação de opinião. Assim, conclui-se que as transações subjacentes às demonstrações contábeis acima referidas e os atos de gestão relevantes dos resp</w:t>
      </w:r>
      <w:r>
        <w:rPr>
          <w:rFonts w:ascii="Times New Roman" w:eastAsia="Times New Roman" w:hAnsi="Times New Roman" w:cs="Times New Roman"/>
          <w:sz w:val="24"/>
          <w:szCs w:val="24"/>
        </w:rPr>
        <w:t>onsáveis estão em conformidade, nos aspectos analisados, com as leis e regulamentos aplicáveis e com os princípios de administração pública que regem a gestão financeira responsável e a conduta de agentes públicos.</w:t>
      </w:r>
    </w:p>
    <w:p w:rsidR="006D365C" w:rsidRDefault="00CA4145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  <w:between w:val="nil"/>
        </w:pBdr>
        <w:shd w:val="clear" w:color="auto" w:fill="073763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BASE PARA AS OPINIÕES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Nossa auditoria foi conduzida de acordo com as normas brasileiras e internacionais de auditoria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aplicáveis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ao setor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público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Nossas responsabilidades, em conformidade com tais normas,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estão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descritas na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seção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intitulada “Responsabilidades do auditor 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ela auditoria das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demonstrações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contábeis</w:t>
      </w:r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Acreditamos que a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evidência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auditoria obtida é suficiente e apropriada para fundamentar nossa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opinião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 ressalvas sobre as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demonstrações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contábeis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acima referidas e nossa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opinião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sem ressalva sobre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conformidade das </w:t>
      </w:r>
      <w:r w:rsidR="00E03C49">
        <w:rPr>
          <w:rFonts w:ascii="Times New Roman" w:eastAsia="Times New Roman" w:hAnsi="Times New Roman" w:cs="Times New Roman"/>
          <w:sz w:val="24"/>
          <w:szCs w:val="24"/>
        </w:rPr>
        <w:t>transações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subjacentes.</w:t>
      </w:r>
    </w:p>
    <w:p w:rsidR="006D365C" w:rsidRDefault="00CA4145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  <w:between w:val="nil"/>
        </w:pBdr>
        <w:shd w:val="clear" w:color="auto" w:fill="073763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OUTROS ASSUNTOS</w:t>
      </w:r>
    </w:p>
    <w:p w:rsidR="006D365C" w:rsidRDefault="00CA4145">
      <w:pPr>
        <w:spacing w:before="12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curso da auditoria, verificou-se a atuação da Presidência e da Secretaria de Gestão Administrativa e de Serviços deste Regional, no sentido de buscar regularizar a situação do cadastro dos be</w:t>
      </w:r>
      <w:r>
        <w:rPr>
          <w:rFonts w:ascii="Times New Roman" w:eastAsia="Times New Roman" w:hAnsi="Times New Roman" w:cs="Times New Roman"/>
          <w:sz w:val="24"/>
          <w:szCs w:val="24"/>
        </w:rPr>
        <w:t>ns imóveis do TRE-BA, com significativo avanço no procedimento.</w:t>
      </w:r>
    </w:p>
    <w:p w:rsidR="006D365C" w:rsidRDefault="00CA4145">
      <w:pPr>
        <w:spacing w:before="12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Nesse contexto, evidenciou-se, consultando o SEI nº 0138780-31.2020, documento nº 1273675, que foram abertos processos específicos para cada um dos imóveis pendentes de regularização, a fim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facilitar a análise e as providências junto à Secretaria de Patrimônio da União: 0049352­72.2019.6.05.8000 – Camaçari 0049355­27.2019.6.05.8000 – Barreiras 0049540­65.2019.6.05.8000 – Ilhéus 0049769­25.2019.6.05.8000 – Juazeiro 0049772­77.2019.6.05.8000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Alagoinhas 0049941­64.2019.6.05.8000 – Itaparica 0049971­02.2019.6.05.8000 – Porto Seguro 0049972­84.2019.6.05.8000 – Tucano 0049973­69.2019.6.05.8000 – Valença 0050136­49.2019.6.05.8000 – Guanambi 0050141­71.2019.6.05.8000 – Jequié 0050143­41.2019.6.05.8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000 – Ribeira do Pombal 0050164­17.2019.6.05.8000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Seabra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0050339­11.2019.6.05.8000 – Irecê 0050361­69.2019.6.05.8000 – Eunápolis 0050520­12.2019.6.05.8000 – Brumado 0050522­79.2019.6.05.8000 – Cruz das Almas 0050711­57.2019.6.05.8000 – Jacobina 0050713­2</w:t>
      </w:r>
      <w:r>
        <w:rPr>
          <w:rFonts w:ascii="Times New Roman" w:eastAsia="Times New Roman" w:hAnsi="Times New Roman" w:cs="Times New Roman"/>
          <w:sz w:val="24"/>
          <w:szCs w:val="24"/>
        </w:rPr>
        <w:t>7.2019.6.05.8000 – Vitória da Conquista 0050739­25.2019.6.05.8000 – Feira de Santana, seguindo os procedimentos descritos na Orientação Normativa nº 01/2018, que trata da matéria.</w:t>
      </w:r>
    </w:p>
    <w:p w:rsidR="006D365C" w:rsidRDefault="00CA4145">
      <w:pPr>
        <w:spacing w:before="120" w:after="120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Constatou-se no SEI nº 0011535-03.2021.6.05.8000, documento nº 1670597, deci</w:t>
      </w:r>
      <w:r>
        <w:rPr>
          <w:rFonts w:ascii="Times New Roman" w:eastAsia="Times New Roman" w:hAnsi="Times New Roman" w:cs="Times New Roman"/>
          <w:sz w:val="24"/>
          <w:szCs w:val="24"/>
        </w:rPr>
        <w:t>são da Presidência no sentido de remeter, de forma nominal, ao titular da jurisdição eleitoral nos municípios referentes aos Fóruns Eleitorais com irregularidades na situação cadastral, ofício solicitando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que fosse providenciada a documentação faltante ju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nto à Prefeitura e ao Cartório de Registro de Imóvel locais. </w:t>
      </w:r>
    </w:p>
    <w:p w:rsidR="006D365C" w:rsidRDefault="00CA4145">
      <w:pPr>
        <w:spacing w:before="120" w:after="120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Cabe registrar, por fim, que, além da análise da conformidade das transações subjacentes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aos lançamentos contábeis relativos à contribuição patronal e retenção previdenciária,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incidentes sobre </w:t>
      </w:r>
      <w:r>
        <w:rPr>
          <w:rFonts w:ascii="Times New Roman" w:eastAsia="Times New Roman" w:hAnsi="Times New Roman" w:cs="Times New Roman"/>
          <w:sz w:val="24"/>
          <w:szCs w:val="24"/>
        </w:rPr>
        <w:t>valores pagos a servidores requisitados, pagamento de aposentadorias e pensões a servidores e beneficiários falecidos, respectivamente, e pagamento de pensão civil a pessoa inelegível, foram consideradas, para emissão da opinião de auditoria, as conclusões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obtidas na auditoria operacional e de conformidade no processo de gestão de comissionamento - função comissionada, realizada no exercício de 2021, cujo relatório encontra-se disponível em </w:t>
      </w:r>
      <w:hyperlink r:id="rId7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https://www.tre-ba.jus.br/transparencia-e-prestacao-de-contas/governanca-e-gestao/auditoria-interna/exercicio-2021</w:t>
        </w:r>
      </w:hyperlink>
      <w:r>
        <w:rPr>
          <w:rFonts w:ascii="Times New Roman" w:eastAsia="Times New Roman" w:hAnsi="Times New Roman" w:cs="Times New Roman"/>
          <w:color w:val="134F5C"/>
          <w:sz w:val="24"/>
          <w:szCs w:val="24"/>
        </w:rPr>
        <w:t xml:space="preserve"> .</w:t>
      </w:r>
    </w:p>
    <w:p w:rsidR="006D365C" w:rsidRDefault="00CA4145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  <w:between w:val="nil"/>
        </w:pBdr>
        <w:shd w:val="clear" w:color="auto" w:fill="073763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OUTRAS INFORMAÇÕES QUE APRESENTAM OU FAZEM REFERÊNCIA ÀS DEMONSTRAÇÕES CONTÁBEIS</w:t>
      </w:r>
    </w:p>
    <w:p w:rsidR="006D365C" w:rsidRDefault="00CA414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administração do Tribunal Regional Eleitoral da Bahia é responsável pelas informações que compreendem o Relatório de Gestão.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Nossa opinião sobre as demonstrações contábeis 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conformidade das transações subjacentes não abrange o Relatório de Gestão e não expressamos qualquer forma de conclusão de auditoria sobre esse relatório. 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conexão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 a auditoria das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individuais, nossa responsabilidade é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de ler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Relatório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Gestão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e, ao fazê-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considerar se esse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relatório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está, de forma relevante, inconsistente com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ou com nosso conhecimento obtido na auditoria ou, de outra forma, aparenta estar distorcido de forma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relevante. Se, com base no trabalho realizado, concluirmos que há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distorção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relevante no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Relatório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Gestão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entidade, somos requeridos a comunicar esse fato.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Como descrito na seção "Base para opinião com ressalvas sobre as demonstrações contábeis"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 demonstrações contábeis do TRE-BA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apresentam </w:t>
      </w:r>
      <w:r>
        <w:rPr>
          <w:rFonts w:ascii="Times New Roman" w:eastAsia="Times New Roman" w:hAnsi="Times New Roman" w:cs="Times New Roman"/>
          <w:sz w:val="24"/>
          <w:szCs w:val="24"/>
        </w:rPr>
        <w:t>distorções, contudo os efeitos destas distorções, embora relevantes, não foram generalizados nas demonstrações financeiras do Órgão estando em conformidade, nos aspectos analisados, com a estrutura do relató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rio financeiro aplicável e com as práticas contábeis adotadas no Brasil aplicadas ao setor público.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Assim, concluímos que as informações que compreendem o relatório de gestão, por conterem as demonstrações contábeis e/ou a elas fazer referências, apresenta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m </w:t>
      </w:r>
      <w:r>
        <w:rPr>
          <w:rFonts w:ascii="Times New Roman" w:eastAsia="Times New Roman" w:hAnsi="Times New Roman" w:cs="Times New Roman"/>
          <w:sz w:val="24"/>
          <w:szCs w:val="24"/>
        </w:rPr>
        <w:t>distorções, contudo os efeitos destas distorções, embora relevantes, não foram generalizados nas demonstrações financeiras do Órgão.</w:t>
      </w:r>
    </w:p>
    <w:p w:rsidR="006D365C" w:rsidRDefault="00CA4145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  <w:between w:val="nil"/>
        </w:pBdr>
        <w:shd w:val="clear" w:color="auto" w:fill="073763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PRINCIPAIS ASSUNTOS DE AUDITORIA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Principais Assuntos de Auditoria (PAA)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aqueles que, em nosso julgamento profissiona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l, foram os mais significativos em nossa auditoria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exercício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corrente. Esses assuntos foram tratados no contexto de nossa auditoria das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formação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nossa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opinião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sobre essas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e, portanto,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expressam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 uma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opinião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separada sobre esses assuntos.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Exceto pelos assuntos descritos nas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“Base para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opinião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 ressalvas sobre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e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Opinião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sem ressalva sobre a conformidade das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transações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subjacentes”,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existem out</w:t>
      </w:r>
      <w:r>
        <w:rPr>
          <w:rFonts w:ascii="Times New Roman" w:eastAsia="Times New Roman" w:hAnsi="Times New Roman" w:cs="Times New Roman"/>
          <w:sz w:val="24"/>
          <w:szCs w:val="24"/>
        </w:rPr>
        <w:t>ros principais assuntos de auditoria a serem comunicados em nosso certificado.</w:t>
      </w:r>
    </w:p>
    <w:p w:rsidR="006D365C" w:rsidRDefault="00CA4145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  <w:between w:val="nil"/>
        </w:pBdr>
        <w:shd w:val="clear" w:color="auto" w:fill="073763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RESPONSABILIDADES DA ADMINISTRAÇÃO PELAS DEMONSTRAÇÕES CONTÁBEIS</w:t>
      </w:r>
    </w:p>
    <w:p w:rsidR="006D365C" w:rsidRDefault="00CA4145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administração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 TRE-BA é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responsável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elaboração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adequada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apresentação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acordo com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práticas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adotadas no Brasil pelo setor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público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pelos controles internos que ela determinou como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necessár</w:t>
      </w:r>
      <w:r>
        <w:rPr>
          <w:rFonts w:ascii="Times New Roman" w:eastAsia="Times New Roman" w:hAnsi="Times New Roman" w:cs="Times New Roman"/>
          <w:sz w:val="24"/>
          <w:szCs w:val="24"/>
        </w:rPr>
        <w:t>ios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para permitir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elaboração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livres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distorção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relevante, independentemente se causada por fraude ou erro.</w:t>
      </w:r>
    </w:p>
    <w:p w:rsidR="006D365C" w:rsidRDefault="00CA4145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  <w:between w:val="nil"/>
        </w:pBdr>
        <w:shd w:val="clear" w:color="auto" w:fill="073763"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RESPONSABILIDADES DO AUDITOR PELA AUDITORIA DAS DEMONSTRAÇÕES CONTÁBEIS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Nossos objetivos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obter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segurança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razoável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que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tomadas em conjunto,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estão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livres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distorção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relevante, independentemente se causada por fraude ou erro, e emitir certificado de auditoria contendo nossa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opinião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Segurança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razoável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é um alto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nível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segurança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mas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uma garantia de que a auditoria realizada de acordo com as normas brasileiras e internacionais de auditoria no setor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público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sempre detectam as eventuais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distorçõ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relevantes existentes.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distorçõ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podem ser decorrentes de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fraude ou erro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consideradas relevantes quando, individualmente ou em conjunto, possam influenciar, dentro de uma perspectiva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razoável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econômicas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usuários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tomadas com base nas referidas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Como parte da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uditoria realizada de acordo com as normas brasileiras e internacionais de auditoria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aplicáveis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ao setor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público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exercemos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julgamento profissional e mantemos ceticismo profissional ao longo da auditoria.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Além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disso:</w:t>
      </w:r>
    </w:p>
    <w:p w:rsidR="006D365C" w:rsidRDefault="00CA4145">
      <w:pPr>
        <w:numPr>
          <w:ilvl w:val="0"/>
          <w:numId w:val="2"/>
        </w:numPr>
        <w:spacing w:before="24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Identificamos e avaliamos os riscos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distorção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relevante nas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independentemente se causada por fraude ou erro, planejamos e executamos procedimentos de auditoria em resposta a tais riscos, bem como obtemos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evidência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auditoria apropriada e suficiente para fu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ndamentar nossa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opinião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O risco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detecção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distorção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relevante resultante de fraude é maior do que o proveniente de erro,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́ que a fraude pode envolver o ato de burlar os controles internos, conluio,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falsificação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omissão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representac</w:t>
      </w:r>
      <w:r>
        <w:rPr>
          <w:rFonts w:ascii="Times New Roman" w:eastAsia="Times New Roman" w:hAnsi="Times New Roman" w:cs="Times New Roman"/>
          <w:sz w:val="24"/>
          <w:szCs w:val="24"/>
        </w:rPr>
        <w:t>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falsas intencionais;</w:t>
      </w:r>
    </w:p>
    <w:p w:rsidR="006D365C" w:rsidRDefault="00CA4145">
      <w:pPr>
        <w:numPr>
          <w:ilvl w:val="0"/>
          <w:numId w:val="2"/>
        </w:num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Obtivemos entendimento dos controles internos relevantes para a auditoria para planejar os procedimentos de auditoria apropriados nas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circunstâncias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mas,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com o objetivo de expressarmos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opinião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sobre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eficá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cia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dos contr</w:t>
      </w:r>
      <w:r>
        <w:rPr>
          <w:rFonts w:ascii="Times New Roman" w:eastAsia="Times New Roman" w:hAnsi="Times New Roman" w:cs="Times New Roman"/>
          <w:sz w:val="24"/>
          <w:szCs w:val="24"/>
        </w:rPr>
        <w:t>oles internos das unidades auditadas;</w:t>
      </w:r>
    </w:p>
    <w:p w:rsidR="006D365C" w:rsidRDefault="00CA4145">
      <w:pPr>
        <w:numPr>
          <w:ilvl w:val="0"/>
          <w:numId w:val="2"/>
        </w:num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Avaliamos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adequação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políticas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utilizadas e a razoabilidade das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estimativas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respectivas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divulgaçõ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feitas pela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administração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D365C" w:rsidRDefault="00CA4145">
      <w:pPr>
        <w:numPr>
          <w:ilvl w:val="0"/>
          <w:numId w:val="2"/>
        </w:numPr>
        <w:spacing w:before="24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Avaliamos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apresentação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geral, a estrutura e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conte</w:t>
      </w:r>
      <w:r>
        <w:rPr>
          <w:rFonts w:ascii="Times New Roman" w:eastAsia="Times New Roman" w:hAnsi="Times New Roman" w:cs="Times New Roman"/>
          <w:sz w:val="24"/>
          <w:szCs w:val="24"/>
        </w:rPr>
        <w:t>údo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inclusive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divulgações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e se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representam as correspondentes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transações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os eventos de maneira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compatível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 o objetivo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apresentação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adequada.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Comunicamo-nos com 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responsáve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administração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respeito, entre outros aspectos, do alcance planejado, 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época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auditoria e das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constataçõ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significativas de auditoria, inclusive as eventuais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deficiências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significativas nos controles internos que identificamos durante n</w:t>
      </w:r>
      <w:r>
        <w:rPr>
          <w:rFonts w:ascii="Times New Roman" w:eastAsia="Times New Roman" w:hAnsi="Times New Roman" w:cs="Times New Roman"/>
          <w:sz w:val="24"/>
          <w:szCs w:val="24"/>
        </w:rPr>
        <w:t>ossos trabalhos.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Fornecemos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também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responsáveis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administração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declaração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que cumprimos com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exigências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éticas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relevantes, incluindo os requisitos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aplicáveis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independência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e comunicamos todos os eventuais relacionamentos ou assun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tos que poderiam afetar, consideravelmente, nossa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independência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incluindo, quando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aplicável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as respectivas salvaguardas.</w:t>
      </w:r>
    </w:p>
    <w:p w:rsidR="006D365C" w:rsidRDefault="00CA4145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Dos assuntos que foram objeto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comunicação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 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responsáveis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administração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determinamos aqueles que foram considerad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 como mais significativos na auditoria das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demonstraçõ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contábeis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exercício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corrente e que, dessa maneira, constituem os principais assuntos de auditoria. Descrevemos esses assuntos em nosso certificado de auditoria, a menos que lei ou regulament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tenha proibido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divulgação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pública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 assunto, ou quando, 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circunstâncias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extremamente raras, determinarmos que o assunto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deve ser comunicado em nosso certificado porque 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consequências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adversas de tal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comunicação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podem, dentro de uma persp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ectiva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razoável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superar 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benefícios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comunicação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para o interesse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público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365C" w:rsidRDefault="00CA4145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Salvador - BA, 24 de março de 2022.</w:t>
      </w:r>
      <w:bookmarkStart w:id="0" w:name="_GoBack"/>
      <w:bookmarkEnd w:id="0"/>
    </w:p>
    <w:tbl>
      <w:tblPr>
        <w:tblStyle w:val="a"/>
        <w:tblW w:w="9300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9300"/>
      </w:tblGrid>
      <w:tr w:rsidR="006D365C">
        <w:tc>
          <w:tcPr>
            <w:tcW w:w="9300" w:type="dxa"/>
            <w:vAlign w:val="center"/>
          </w:tcPr>
          <w:p w:rsidR="006D365C" w:rsidRDefault="006D365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65C">
        <w:tc>
          <w:tcPr>
            <w:tcW w:w="9300" w:type="dxa"/>
            <w:vAlign w:val="center"/>
          </w:tcPr>
          <w:p w:rsidR="006D365C" w:rsidRDefault="006D365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65C">
        <w:tc>
          <w:tcPr>
            <w:tcW w:w="9300" w:type="dxa"/>
            <w:vAlign w:val="center"/>
          </w:tcPr>
          <w:p w:rsidR="006D365C" w:rsidRDefault="00CA41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Catiuscia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Dantas Abreu Oliveira</w:t>
            </w:r>
          </w:p>
          <w:p w:rsidR="006D365C" w:rsidRDefault="00CA414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DIRIGENTE DA UNIDADE DE AUDITORIA INTERNA</w:t>
            </w:r>
          </w:p>
        </w:tc>
      </w:tr>
    </w:tbl>
    <w:p w:rsidR="006D365C" w:rsidRDefault="006D365C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6D365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D3B52"/>
    <w:multiLevelType w:val="multilevel"/>
    <w:tmpl w:val="DC3C8A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6EC95C6E"/>
    <w:multiLevelType w:val="multilevel"/>
    <w:tmpl w:val="40AEB0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6D365C"/>
    <w:rsid w:val="006D365C"/>
    <w:rsid w:val="00B02ECE"/>
    <w:rsid w:val="00CA4145"/>
    <w:rsid w:val="00E03C49"/>
    <w:rsid w:val="00F2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tre-ba.jus.br/transparencia-e-prestacao-de-contas/governanca-e-gestao/auditoria-interna/exercicio-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2519</Words>
  <Characters>13603</Characters>
  <Application>Microsoft Office Word</Application>
  <DocSecurity>0</DocSecurity>
  <Lines>113</Lines>
  <Paragraphs>32</Paragraphs>
  <ScaleCrop>false</ScaleCrop>
  <Company>Justiça Eleitoral</Company>
  <LinksUpToDate>false</LinksUpToDate>
  <CharactersWithSpaces>16090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Geraldo Majella Nunes de Moura</dc:creator>
  <cp:lastModifiedBy>Geraldo Majella Nunes de Moura</cp:lastModifiedBy>
  <cp:revision>2</cp:revision>
  <dcterms:created xsi:type="dcterms:W3CDTF">2022-03-29T18:38:00Z</dcterms:created>
  <dcterms:modified xsi:type="dcterms:W3CDTF">2022-03-29T18:38:00Z</dcterms:modified>
</cp:coreProperties>
</file>