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0"/>
        </w:rPr>
      </w:pPr>
    </w:p>
    <w:p>
      <w:pPr>
        <w:spacing w:line="343" w:lineRule="auto" w:before="90"/>
        <w:ind w:left="1803" w:right="2057" w:firstLine="0"/>
        <w:jc w:val="center"/>
        <w:rPr>
          <w:b/>
          <w:sz w:val="24"/>
        </w:rPr>
      </w:pPr>
      <w:r>
        <w:rPr>
          <w:b/>
          <w:sz w:val="24"/>
        </w:rPr>
        <w:t>PLANO ANUAL DE AUDITORIA INTERNA EXERCÍCIO 2020</w:t>
      </w: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spacing w:before="8"/>
        <w:rPr>
          <w:b/>
          <w:sz w:val="29"/>
        </w:rPr>
      </w:pPr>
    </w:p>
    <w:p>
      <w:pPr>
        <w:pStyle w:val="BodyText"/>
        <w:spacing w:before="1"/>
        <w:ind w:left="4081" w:right="4335"/>
        <w:jc w:val="center"/>
      </w:pPr>
      <w:r>
        <w:rPr/>
        <w:t>Agosto/2020 Salvador – BA Versão 2</w:t>
      </w:r>
    </w:p>
    <w:p>
      <w:pPr>
        <w:spacing w:after="0"/>
        <w:jc w:val="center"/>
        <w:sectPr>
          <w:type w:val="continuous"/>
          <w:pgSz w:w="11910" w:h="16840"/>
          <w:pgMar w:top="1580" w:bottom="280" w:left="1300" w:right="760"/>
        </w:sectPr>
      </w:pPr>
    </w:p>
    <w:p>
      <w:pPr>
        <w:pStyle w:val="BodyText"/>
        <w:ind w:left="4334"/>
        <w:rPr>
          <w:sz w:val="20"/>
        </w:rPr>
      </w:pPr>
      <w:r>
        <w:rPr>
          <w:sz w:val="20"/>
        </w:rPr>
        <w:drawing>
          <wp:inline distT="0" distB="0" distL="0" distR="0">
            <wp:extent cx="597132" cy="666083"/>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597132" cy="666083"/>
                    </a:xfrm>
                    <a:prstGeom prst="rect">
                      <a:avLst/>
                    </a:prstGeom>
                  </pic:spPr>
                </pic:pic>
              </a:graphicData>
            </a:graphic>
          </wp:inline>
        </w:drawing>
      </w:r>
      <w:r>
        <w:rPr>
          <w:sz w:val="20"/>
        </w:rPr>
      </w:r>
    </w:p>
    <w:p>
      <w:pPr>
        <w:pStyle w:val="BodyText"/>
        <w:spacing w:before="93"/>
        <w:ind w:left="1803" w:right="2059"/>
        <w:jc w:val="center"/>
      </w:pPr>
      <w:r>
        <w:rPr/>
        <w:t>TRIBUNAL REGIONAL ELEITORAL DA BAHIA</w:t>
      </w:r>
    </w:p>
    <w:p>
      <w:pPr>
        <w:pStyle w:val="BodyText"/>
        <w:ind w:left="1803" w:right="2056"/>
        <w:jc w:val="center"/>
      </w:pPr>
      <w:r>
        <w:rPr/>
        <w:t>Coordenadoria de Auditoria Interna</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7"/>
        </w:rPr>
      </w:pPr>
    </w:p>
    <w:p>
      <w:pPr>
        <w:spacing w:line="343" w:lineRule="auto" w:before="90"/>
        <w:ind w:left="1803" w:right="2057" w:firstLine="0"/>
        <w:jc w:val="center"/>
        <w:rPr>
          <w:b/>
          <w:sz w:val="24"/>
        </w:rPr>
      </w:pPr>
      <w:r>
        <w:rPr>
          <w:b/>
          <w:sz w:val="24"/>
        </w:rPr>
        <w:t>PLANO ANUAL DE AUDITORIA INTERNA EXERCÍCIO 2020</w:t>
      </w:r>
    </w:p>
    <w:p>
      <w:pPr>
        <w:pStyle w:val="BodyText"/>
        <w:rPr>
          <w:b/>
          <w:sz w:val="26"/>
        </w:rPr>
      </w:pPr>
    </w:p>
    <w:p>
      <w:pPr>
        <w:pStyle w:val="BodyText"/>
        <w:rPr>
          <w:b/>
          <w:sz w:val="26"/>
        </w:rPr>
      </w:pPr>
    </w:p>
    <w:p>
      <w:pPr>
        <w:pStyle w:val="BodyText"/>
        <w:spacing w:before="10"/>
        <w:rPr>
          <w:b/>
          <w:sz w:val="33"/>
        </w:rPr>
      </w:pPr>
    </w:p>
    <w:p>
      <w:pPr>
        <w:pStyle w:val="BodyText"/>
        <w:ind w:left="4089" w:right="370"/>
        <w:jc w:val="both"/>
      </w:pPr>
      <w:r>
        <w:rPr/>
        <w:t>Proposta de Plano Anual de Auditoria Interna (PAA) apresentado pela Coordenadoria de Auditoria Interna (COAUD), contemplando ações fiscalizatórias a serem realizadas, ao longo do exercício 2020, </w:t>
      </w:r>
      <w:r>
        <w:rPr>
          <w:spacing w:val="-7"/>
        </w:rPr>
        <w:t>em </w:t>
      </w:r>
      <w:r>
        <w:rPr/>
        <w:t>conformidade com o quanto requerido nos artigos 32 </w:t>
      </w:r>
      <w:r>
        <w:rPr>
          <w:spacing w:val="-12"/>
        </w:rPr>
        <w:t>e </w:t>
      </w:r>
      <w:r>
        <w:rPr/>
        <w:t>seguintes</w:t>
      </w:r>
      <w:r>
        <w:rPr>
          <w:spacing w:val="-9"/>
        </w:rPr>
        <w:t> </w:t>
      </w:r>
      <w:r>
        <w:rPr/>
        <w:t>da</w:t>
      </w:r>
      <w:r>
        <w:rPr>
          <w:spacing w:val="-9"/>
        </w:rPr>
        <w:t> </w:t>
      </w:r>
      <w:r>
        <w:rPr/>
        <w:t>Resolução</w:t>
      </w:r>
      <w:r>
        <w:rPr>
          <w:spacing w:val="-8"/>
        </w:rPr>
        <w:t> </w:t>
      </w:r>
      <w:r>
        <w:rPr/>
        <w:t>do</w:t>
      </w:r>
      <w:r>
        <w:rPr>
          <w:spacing w:val="-8"/>
        </w:rPr>
        <w:t> </w:t>
      </w:r>
      <w:r>
        <w:rPr/>
        <w:t>Conselho</w:t>
      </w:r>
      <w:r>
        <w:rPr>
          <w:spacing w:val="-7"/>
        </w:rPr>
        <w:t> </w:t>
      </w:r>
      <w:r>
        <w:rPr/>
        <w:t>Nacional</w:t>
      </w:r>
      <w:r>
        <w:rPr>
          <w:spacing w:val="-8"/>
        </w:rPr>
        <w:t> </w:t>
      </w:r>
      <w:r>
        <w:rPr/>
        <w:t>de</w:t>
      </w:r>
      <w:r>
        <w:rPr>
          <w:spacing w:val="-10"/>
        </w:rPr>
        <w:t> </w:t>
      </w:r>
      <w:r>
        <w:rPr/>
        <w:t>Justiça (CNJ) nº 309, de 11 de março de</w:t>
      </w:r>
      <w:r>
        <w:rPr>
          <w:spacing w:val="-5"/>
        </w:rPr>
        <w:t> </w:t>
      </w:r>
      <w:r>
        <w:rPr/>
        <w:t>2020.</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1"/>
        <w:rPr>
          <w:sz w:val="36"/>
        </w:rPr>
      </w:pPr>
    </w:p>
    <w:p>
      <w:pPr>
        <w:pStyle w:val="BodyText"/>
        <w:ind w:left="4100" w:right="4357" w:firstLine="2"/>
        <w:jc w:val="center"/>
      </w:pPr>
      <w:r>
        <w:rPr/>
        <w:t>Agosto/2020 Salvador - BA</w:t>
      </w:r>
    </w:p>
    <w:p>
      <w:pPr>
        <w:pStyle w:val="BodyText"/>
        <w:spacing w:before="120"/>
        <w:ind w:left="1803" w:right="2060"/>
        <w:jc w:val="center"/>
      </w:pPr>
      <w:r>
        <w:rPr/>
        <w:t>Versão 2</w:t>
      </w:r>
    </w:p>
    <w:p>
      <w:pPr>
        <w:spacing w:after="0"/>
        <w:jc w:val="center"/>
        <w:sectPr>
          <w:pgSz w:w="11910" w:h="16840"/>
          <w:pgMar w:top="560" w:bottom="280" w:left="1300" w:right="760"/>
        </w:sectPr>
      </w:pPr>
    </w:p>
    <w:p>
      <w:pPr>
        <w:pStyle w:val="BodyText"/>
        <w:ind w:left="4334"/>
        <w:rPr>
          <w:sz w:val="20"/>
        </w:rPr>
      </w:pPr>
      <w:r>
        <w:rPr>
          <w:sz w:val="20"/>
        </w:rPr>
        <w:drawing>
          <wp:inline distT="0" distB="0" distL="0" distR="0">
            <wp:extent cx="597132" cy="666083"/>
            <wp:effectExtent l="0" t="0" r="0" b="0"/>
            <wp:docPr id="3" name="image1.png"/>
            <wp:cNvGraphicFramePr>
              <a:graphicFrameLocks noChangeAspect="1"/>
            </wp:cNvGraphicFramePr>
            <a:graphic>
              <a:graphicData uri="http://schemas.openxmlformats.org/drawingml/2006/picture">
                <pic:pic>
                  <pic:nvPicPr>
                    <pic:cNvPr id="4" name="image1.png"/>
                    <pic:cNvPicPr/>
                  </pic:nvPicPr>
                  <pic:blipFill>
                    <a:blip r:embed="rId5" cstate="print"/>
                    <a:stretch>
                      <a:fillRect/>
                    </a:stretch>
                  </pic:blipFill>
                  <pic:spPr>
                    <a:xfrm>
                      <a:off x="0" y="0"/>
                      <a:ext cx="597132" cy="666083"/>
                    </a:xfrm>
                    <a:prstGeom prst="rect">
                      <a:avLst/>
                    </a:prstGeom>
                  </pic:spPr>
                </pic:pic>
              </a:graphicData>
            </a:graphic>
          </wp:inline>
        </w:drawing>
      </w:r>
      <w:r>
        <w:rPr>
          <w:sz w:val="20"/>
        </w:rPr>
      </w:r>
    </w:p>
    <w:p>
      <w:pPr>
        <w:pStyle w:val="BodyText"/>
        <w:spacing w:before="93"/>
        <w:ind w:left="1803" w:right="2056"/>
        <w:jc w:val="center"/>
      </w:pPr>
      <w:r>
        <w:rPr/>
        <w:t>TRIBUNAL REGIONAL ELEITORAL DA BAHIA</w:t>
      </w:r>
    </w:p>
    <w:p>
      <w:pPr>
        <w:pStyle w:val="BodyText"/>
        <w:ind w:left="1803" w:right="2056"/>
        <w:jc w:val="center"/>
      </w:pPr>
      <w:r>
        <w:rPr/>
        <w:t>Coordenadoria de Auditoria Interna</w:t>
      </w:r>
    </w:p>
    <w:p>
      <w:pPr>
        <w:pStyle w:val="BodyText"/>
        <w:rPr>
          <w:sz w:val="20"/>
        </w:rPr>
      </w:pPr>
    </w:p>
    <w:p>
      <w:pPr>
        <w:pStyle w:val="BodyText"/>
        <w:rPr>
          <w:sz w:val="20"/>
        </w:rPr>
      </w:pPr>
    </w:p>
    <w:p>
      <w:pPr>
        <w:pStyle w:val="BodyText"/>
        <w:spacing w:before="2"/>
      </w:pPr>
    </w:p>
    <w:p>
      <w:pPr>
        <w:spacing w:before="90"/>
        <w:ind w:left="1803" w:right="2056" w:firstLine="0"/>
        <w:jc w:val="center"/>
        <w:rPr>
          <w:b/>
          <w:sz w:val="24"/>
        </w:rPr>
      </w:pPr>
      <w:r>
        <w:rPr>
          <w:b/>
          <w:sz w:val="24"/>
        </w:rPr>
        <w:t>SUMÁRIO</w:t>
      </w:r>
    </w:p>
    <w:sdt>
      <w:sdtPr>
        <w:docPartObj>
          <w:docPartGallery w:val="Table of Contents"/>
          <w:docPartUnique/>
        </w:docPartObj>
      </w:sdtPr>
      <w:sdtEndPr/>
      <w:sdtContent>
        <w:p>
          <w:pPr>
            <w:pStyle w:val="TOC1"/>
            <w:tabs>
              <w:tab w:pos="9205" w:val="right" w:leader="dot"/>
            </w:tabs>
            <w:spacing w:before="552"/>
            <w:ind w:left="118" w:firstLine="0"/>
            <w:rPr>
              <w:rFonts w:ascii="Carlito" w:hAnsi="Carlito"/>
              <w:sz w:val="22"/>
            </w:rPr>
          </w:pPr>
          <w:hyperlink w:history="true" w:anchor="_bookmark0">
            <w:r>
              <w:rPr/>
              <w:t>APRESENTAÇÃO</w:t>
            </w:r>
          </w:hyperlink>
          <w:r>
            <w:rPr/>
            <w:tab/>
          </w:r>
          <w:hyperlink w:history="true" w:anchor="_bookmark0">
            <w:r>
              <w:rPr>
                <w:rFonts w:ascii="Carlito" w:hAnsi="Carlito"/>
                <w:sz w:val="22"/>
              </w:rPr>
              <w:t>4</w:t>
            </w:r>
          </w:hyperlink>
        </w:p>
        <w:p>
          <w:pPr>
            <w:pStyle w:val="TOC1"/>
            <w:numPr>
              <w:ilvl w:val="0"/>
              <w:numId w:val="1"/>
            </w:numPr>
            <w:tabs>
              <w:tab w:pos="557" w:val="left" w:leader="none"/>
              <w:tab w:pos="559" w:val="left" w:leader="none"/>
              <w:tab w:pos="9217" w:val="right" w:leader="dot"/>
            </w:tabs>
            <w:spacing w:line="240" w:lineRule="auto" w:before="122" w:after="0"/>
            <w:ind w:left="558" w:right="0" w:hanging="441"/>
            <w:jc w:val="left"/>
            <w:rPr>
              <w:rFonts w:ascii="Carlito" w:hAnsi="Carlito"/>
              <w:sz w:val="22"/>
            </w:rPr>
          </w:pPr>
          <w:hyperlink w:history="true" w:anchor="_bookmark1">
            <w:r>
              <w:rPr/>
              <w:t>INTRODUÇÃO</w:t>
            </w:r>
          </w:hyperlink>
          <w:r>
            <w:rPr/>
            <w:tab/>
          </w:r>
          <w:hyperlink w:history="true" w:anchor="_bookmark1">
            <w:r>
              <w:rPr>
                <w:rFonts w:ascii="Carlito" w:hAnsi="Carlito"/>
                <w:sz w:val="22"/>
              </w:rPr>
              <w:t>5</w:t>
            </w:r>
          </w:hyperlink>
        </w:p>
        <w:p>
          <w:pPr>
            <w:pStyle w:val="TOC1"/>
            <w:numPr>
              <w:ilvl w:val="0"/>
              <w:numId w:val="1"/>
            </w:numPr>
            <w:tabs>
              <w:tab w:pos="557" w:val="left" w:leader="none"/>
              <w:tab w:pos="559" w:val="left" w:leader="none"/>
              <w:tab w:pos="9285" w:val="right" w:leader="dot"/>
            </w:tabs>
            <w:spacing w:line="240" w:lineRule="auto" w:before="123" w:after="0"/>
            <w:ind w:left="558" w:right="0" w:hanging="441"/>
            <w:jc w:val="left"/>
            <w:rPr>
              <w:rFonts w:ascii="Carlito" w:hAnsi="Carlito"/>
              <w:sz w:val="22"/>
            </w:rPr>
          </w:pPr>
          <w:hyperlink w:history="true" w:anchor="_bookmark2">
            <w:r>
              <w:rPr/>
              <w:t>METODOLOGIA DE SELEÇÃO DE</w:t>
            </w:r>
            <w:r>
              <w:rPr>
                <w:spacing w:val="-6"/>
              </w:rPr>
              <w:t> </w:t>
            </w:r>
            <w:r>
              <w:rPr/>
              <w:t>ÁREAS AUDITÁVEIS</w:t>
            </w:r>
          </w:hyperlink>
          <w:r>
            <w:rPr/>
            <w:tab/>
          </w:r>
          <w:hyperlink w:history="true" w:anchor="_bookmark2">
            <w:r>
              <w:rPr>
                <w:rFonts w:ascii="Carlito" w:hAnsi="Carlito"/>
                <w:sz w:val="22"/>
              </w:rPr>
              <w:t>6</w:t>
            </w:r>
          </w:hyperlink>
        </w:p>
        <w:p>
          <w:pPr>
            <w:pStyle w:val="TOC1"/>
            <w:numPr>
              <w:ilvl w:val="0"/>
              <w:numId w:val="1"/>
            </w:numPr>
            <w:tabs>
              <w:tab w:pos="557" w:val="left" w:leader="none"/>
              <w:tab w:pos="559" w:val="left" w:leader="none"/>
              <w:tab w:pos="9256" w:val="right" w:leader="dot"/>
            </w:tabs>
            <w:spacing w:line="240" w:lineRule="auto" w:before="123" w:after="0"/>
            <w:ind w:left="558" w:right="0" w:hanging="441"/>
            <w:jc w:val="left"/>
            <w:rPr>
              <w:rFonts w:ascii="Carlito" w:hAnsi="Carlito"/>
              <w:sz w:val="22"/>
            </w:rPr>
          </w:pPr>
          <w:hyperlink w:history="true" w:anchor="_bookmark3">
            <w:r>
              <w:rPr/>
              <w:t>AÇÕES DE AUDITORIA INTERNA SELECIONADAS</w:t>
            </w:r>
            <w:r>
              <w:rPr>
                <w:spacing w:val="-2"/>
              </w:rPr>
              <w:t> </w:t>
            </w:r>
            <w:r>
              <w:rPr/>
              <w:t>PARA 2020</w:t>
            </w:r>
          </w:hyperlink>
          <w:r>
            <w:rPr/>
            <w:tab/>
          </w:r>
          <w:hyperlink w:history="true" w:anchor="_bookmark3">
            <w:r>
              <w:rPr>
                <w:rFonts w:ascii="Carlito" w:hAnsi="Carlito"/>
                <w:sz w:val="22"/>
              </w:rPr>
              <w:t>8</w:t>
            </w:r>
          </w:hyperlink>
        </w:p>
        <w:p>
          <w:pPr>
            <w:pStyle w:val="TOC1"/>
            <w:numPr>
              <w:ilvl w:val="0"/>
              <w:numId w:val="1"/>
            </w:numPr>
            <w:tabs>
              <w:tab w:pos="557" w:val="left" w:leader="none"/>
              <w:tab w:pos="559" w:val="left" w:leader="none"/>
              <w:tab w:pos="9233" w:val="right" w:leader="dot"/>
            </w:tabs>
            <w:spacing w:line="240" w:lineRule="auto" w:before="120" w:after="0"/>
            <w:ind w:left="558" w:right="0" w:hanging="441"/>
            <w:jc w:val="left"/>
            <w:rPr>
              <w:rFonts w:ascii="Carlito" w:hAnsi="Carlito"/>
              <w:sz w:val="22"/>
            </w:rPr>
          </w:pPr>
          <w:hyperlink w:history="true" w:anchor="_bookmark4">
            <w:r>
              <w:rPr/>
              <w:t>ESTIMATIVA DE ALOCAÇÃO DE RECURSOS</w:t>
            </w:r>
            <w:r>
              <w:rPr>
                <w:spacing w:val="-3"/>
              </w:rPr>
              <w:t> </w:t>
            </w:r>
            <w:r>
              <w:rPr/>
              <w:t>E PRAZOS</w:t>
            </w:r>
          </w:hyperlink>
          <w:r>
            <w:rPr/>
            <w:tab/>
          </w:r>
          <w:hyperlink w:history="true" w:anchor="_bookmark4">
            <w:r>
              <w:rPr>
                <w:rFonts w:ascii="Carlito" w:hAnsi="Carlito"/>
                <w:sz w:val="22"/>
              </w:rPr>
              <w:t>10</w:t>
            </w:r>
          </w:hyperlink>
        </w:p>
        <w:p>
          <w:pPr>
            <w:pStyle w:val="TOC1"/>
            <w:numPr>
              <w:ilvl w:val="0"/>
              <w:numId w:val="1"/>
            </w:numPr>
            <w:tabs>
              <w:tab w:pos="557" w:val="left" w:leader="none"/>
              <w:tab w:pos="559" w:val="left" w:leader="none"/>
              <w:tab w:pos="9240" w:val="right" w:leader="dot"/>
            </w:tabs>
            <w:spacing w:line="240" w:lineRule="auto" w:before="122" w:after="0"/>
            <w:ind w:left="558" w:right="0" w:hanging="441"/>
            <w:jc w:val="left"/>
          </w:pPr>
          <w:hyperlink w:history="true" w:anchor="_bookmark5">
            <w:r>
              <w:rPr/>
              <w:t>AÇÕES DE DESENVOLVIMENTO</w:t>
            </w:r>
            <w:r>
              <w:rPr>
                <w:spacing w:val="-1"/>
              </w:rPr>
              <w:t> </w:t>
            </w:r>
            <w:r>
              <w:rPr/>
              <w:t>DE PESSOAL</w:t>
              <w:tab/>
              <w:t>1</w:t>
            </w:r>
          </w:hyperlink>
          <w:r>
            <w:rPr/>
            <w:t>1</w:t>
          </w:r>
        </w:p>
        <w:p>
          <w:pPr>
            <w:pStyle w:val="TOC1"/>
            <w:numPr>
              <w:ilvl w:val="0"/>
              <w:numId w:val="1"/>
            </w:numPr>
            <w:tabs>
              <w:tab w:pos="557" w:val="left" w:leader="none"/>
              <w:tab w:pos="559" w:val="left" w:leader="none"/>
              <w:tab w:pos="9237" w:val="right" w:leader="dot"/>
            </w:tabs>
            <w:spacing w:line="240" w:lineRule="auto" w:before="123" w:after="0"/>
            <w:ind w:left="558" w:right="0" w:hanging="441"/>
            <w:jc w:val="left"/>
            <w:rPr>
              <w:rFonts w:ascii="Carlito"/>
              <w:sz w:val="22"/>
            </w:rPr>
          </w:pPr>
          <w:hyperlink w:history="true" w:anchor="_bookmark6">
            <w:r>
              <w:rPr/>
              <w:t>EXPECTATIVA</w:t>
            </w:r>
            <w:r>
              <w:rPr>
                <w:spacing w:val="-2"/>
              </w:rPr>
              <w:t> </w:t>
            </w:r>
            <w:r>
              <w:rPr/>
              <w:t>DE</w:t>
            </w:r>
            <w:r>
              <w:rPr>
                <w:spacing w:val="-1"/>
              </w:rPr>
              <w:t> </w:t>
            </w:r>
            <w:r>
              <w:rPr/>
              <w:t>RESULTADOS</w:t>
            </w:r>
          </w:hyperlink>
          <w:r>
            <w:rPr/>
            <w:tab/>
          </w:r>
          <w:hyperlink w:history="true" w:anchor="_bookmark6">
            <w:r>
              <w:rPr>
                <w:rFonts w:ascii="Carlito"/>
                <w:sz w:val="22"/>
              </w:rPr>
              <w:t>12</w:t>
            </w:r>
          </w:hyperlink>
        </w:p>
        <w:p>
          <w:pPr>
            <w:pStyle w:val="TOC1"/>
            <w:tabs>
              <w:tab w:pos="9225" w:val="right" w:leader="dot"/>
            </w:tabs>
            <w:ind w:left="118" w:firstLine="0"/>
            <w:rPr>
              <w:rFonts w:ascii="Carlito" w:hAnsi="Carlito"/>
              <w:sz w:val="22"/>
            </w:rPr>
          </w:pPr>
          <w:hyperlink w:history="true" w:anchor="_bookmark7">
            <w:r>
              <w:rPr/>
              <w:t>APÊNDICES</w:t>
            </w:r>
          </w:hyperlink>
          <w:r>
            <w:rPr/>
            <w:tab/>
          </w:r>
          <w:hyperlink w:history="true" w:anchor="_bookmark7">
            <w:r>
              <w:rPr>
                <w:rFonts w:ascii="Carlito" w:hAnsi="Carlito"/>
                <w:sz w:val="22"/>
              </w:rPr>
              <w:t>13</w:t>
            </w:r>
          </w:hyperlink>
        </w:p>
      </w:sdtContent>
    </w:sdt>
    <w:p>
      <w:pPr>
        <w:spacing w:after="0"/>
        <w:rPr>
          <w:rFonts w:ascii="Carlito" w:hAnsi="Carlito"/>
          <w:sz w:val="22"/>
        </w:rPr>
        <w:sectPr>
          <w:pgSz w:w="11910" w:h="16840"/>
          <w:pgMar w:top="560" w:bottom="280" w:left="1300" w:right="760"/>
        </w:sectPr>
      </w:pPr>
    </w:p>
    <w:p>
      <w:pPr>
        <w:pStyle w:val="BodyText"/>
        <w:ind w:left="4334"/>
        <w:rPr>
          <w:rFonts w:ascii="Carlito"/>
          <w:sz w:val="20"/>
        </w:rPr>
      </w:pPr>
      <w:r>
        <w:rPr>
          <w:rFonts w:ascii="Carlito"/>
          <w:sz w:val="20"/>
        </w:rPr>
        <w:drawing>
          <wp:inline distT="0" distB="0" distL="0" distR="0">
            <wp:extent cx="597132" cy="666083"/>
            <wp:effectExtent l="0" t="0" r="0" b="0"/>
            <wp:docPr id="5" name="image1.png"/>
            <wp:cNvGraphicFramePr>
              <a:graphicFrameLocks noChangeAspect="1"/>
            </wp:cNvGraphicFramePr>
            <a:graphic>
              <a:graphicData uri="http://schemas.openxmlformats.org/drawingml/2006/picture">
                <pic:pic>
                  <pic:nvPicPr>
                    <pic:cNvPr id="6" name="image1.png"/>
                    <pic:cNvPicPr/>
                  </pic:nvPicPr>
                  <pic:blipFill>
                    <a:blip r:embed="rId5" cstate="print"/>
                    <a:stretch>
                      <a:fillRect/>
                    </a:stretch>
                  </pic:blipFill>
                  <pic:spPr>
                    <a:xfrm>
                      <a:off x="0" y="0"/>
                      <a:ext cx="597132" cy="666083"/>
                    </a:xfrm>
                    <a:prstGeom prst="rect">
                      <a:avLst/>
                    </a:prstGeom>
                  </pic:spPr>
                </pic:pic>
              </a:graphicData>
            </a:graphic>
          </wp:inline>
        </w:drawing>
      </w:r>
      <w:r>
        <w:rPr>
          <w:rFonts w:ascii="Carlito"/>
          <w:sz w:val="20"/>
        </w:rPr>
      </w:r>
    </w:p>
    <w:p>
      <w:pPr>
        <w:pStyle w:val="BodyText"/>
        <w:spacing w:before="93"/>
        <w:ind w:left="1803" w:right="2059"/>
        <w:jc w:val="center"/>
      </w:pPr>
      <w:r>
        <w:rPr/>
        <w:t>TRIBUNAL REGIONAL ELEITORAL DA BAHIA</w:t>
      </w:r>
    </w:p>
    <w:p>
      <w:pPr>
        <w:pStyle w:val="BodyText"/>
        <w:ind w:left="1803" w:right="2056"/>
        <w:jc w:val="center"/>
      </w:pPr>
      <w:r>
        <w:rPr/>
        <w:t>Coordenadoria de Auditoria Interna</w:t>
      </w:r>
    </w:p>
    <w:p>
      <w:pPr>
        <w:pStyle w:val="BodyText"/>
        <w:rPr>
          <w:sz w:val="20"/>
        </w:rPr>
      </w:pPr>
    </w:p>
    <w:p>
      <w:pPr>
        <w:pStyle w:val="BodyText"/>
        <w:spacing w:before="2"/>
        <w:rPr>
          <w:sz w:val="20"/>
        </w:rPr>
      </w:pPr>
    </w:p>
    <w:p>
      <w:pPr>
        <w:pStyle w:val="Heading1"/>
        <w:ind w:left="118"/>
        <w:jc w:val="left"/>
      </w:pPr>
      <w:bookmarkStart w:name="_bookmark0" w:id="1"/>
      <w:bookmarkEnd w:id="1"/>
      <w:r>
        <w:rPr>
          <w:b w:val="0"/>
        </w:rPr>
      </w:r>
      <w:r>
        <w:rPr/>
        <w:t>APRESENTAÇÃO</w:t>
      </w:r>
    </w:p>
    <w:p>
      <w:pPr>
        <w:pStyle w:val="ListParagraph"/>
        <w:numPr>
          <w:ilvl w:val="0"/>
          <w:numId w:val="2"/>
        </w:numPr>
        <w:tabs>
          <w:tab w:pos="547" w:val="left" w:leader="none"/>
        </w:tabs>
        <w:spacing w:line="240" w:lineRule="auto" w:before="120" w:after="0"/>
        <w:ind w:left="546" w:right="368" w:hanging="428"/>
        <w:jc w:val="both"/>
        <w:rPr>
          <w:sz w:val="24"/>
        </w:rPr>
      </w:pPr>
      <w:r>
        <w:rPr>
          <w:sz w:val="24"/>
        </w:rPr>
        <w:t>O </w:t>
      </w:r>
      <w:r>
        <w:rPr>
          <w:spacing w:val="-3"/>
          <w:sz w:val="24"/>
        </w:rPr>
        <w:t>panorama </w:t>
      </w:r>
      <w:r>
        <w:rPr>
          <w:sz w:val="24"/>
        </w:rPr>
        <w:t>de </w:t>
      </w:r>
      <w:r>
        <w:rPr>
          <w:spacing w:val="-3"/>
          <w:sz w:val="24"/>
        </w:rPr>
        <w:t>crescente </w:t>
      </w:r>
      <w:r>
        <w:rPr>
          <w:sz w:val="24"/>
        </w:rPr>
        <w:t>demanda </w:t>
      </w:r>
      <w:r>
        <w:rPr>
          <w:spacing w:val="-3"/>
          <w:sz w:val="24"/>
        </w:rPr>
        <w:t>social </w:t>
      </w:r>
      <w:r>
        <w:rPr>
          <w:sz w:val="24"/>
        </w:rPr>
        <w:t>por </w:t>
      </w:r>
      <w:r>
        <w:rPr>
          <w:spacing w:val="-3"/>
          <w:sz w:val="24"/>
        </w:rPr>
        <w:t>gestão eficiente, eficaz, efetiva, econômica </w:t>
      </w:r>
      <w:r>
        <w:rPr>
          <w:sz w:val="24"/>
        </w:rPr>
        <w:t>e </w:t>
      </w:r>
      <w:r>
        <w:rPr>
          <w:spacing w:val="-3"/>
          <w:sz w:val="24"/>
        </w:rPr>
        <w:t>transparente </w:t>
      </w:r>
      <w:r>
        <w:rPr>
          <w:sz w:val="24"/>
        </w:rPr>
        <w:t>de </w:t>
      </w:r>
      <w:r>
        <w:rPr>
          <w:spacing w:val="-3"/>
          <w:sz w:val="24"/>
        </w:rPr>
        <w:t>recursos públicos </w:t>
      </w:r>
      <w:r>
        <w:rPr>
          <w:sz w:val="24"/>
        </w:rPr>
        <w:t>tem </w:t>
      </w:r>
      <w:r>
        <w:rPr>
          <w:spacing w:val="-3"/>
          <w:sz w:val="24"/>
        </w:rPr>
        <w:t>exigido das organizações contínuo aperfeiçoamento </w:t>
      </w:r>
      <w:r>
        <w:rPr>
          <w:sz w:val="24"/>
        </w:rPr>
        <w:t>dos </w:t>
      </w:r>
      <w:r>
        <w:rPr>
          <w:spacing w:val="-3"/>
          <w:sz w:val="24"/>
        </w:rPr>
        <w:t>mecanismos </w:t>
      </w:r>
      <w:r>
        <w:rPr>
          <w:sz w:val="24"/>
        </w:rPr>
        <w:t>de </w:t>
      </w:r>
      <w:r>
        <w:rPr>
          <w:spacing w:val="-3"/>
          <w:sz w:val="24"/>
        </w:rPr>
        <w:t>governança </w:t>
      </w:r>
      <w:r>
        <w:rPr>
          <w:sz w:val="24"/>
        </w:rPr>
        <w:t>– </w:t>
      </w:r>
      <w:r>
        <w:rPr>
          <w:spacing w:val="-3"/>
          <w:sz w:val="24"/>
        </w:rPr>
        <w:t>liderança, </w:t>
      </w:r>
      <w:r>
        <w:rPr>
          <w:sz w:val="24"/>
        </w:rPr>
        <w:t>estratégia e </w:t>
      </w:r>
      <w:r>
        <w:rPr>
          <w:spacing w:val="-3"/>
          <w:sz w:val="24"/>
        </w:rPr>
        <w:t>controle </w:t>
      </w:r>
      <w:r>
        <w:rPr>
          <w:sz w:val="24"/>
        </w:rPr>
        <w:t>– para melhor </w:t>
      </w:r>
      <w:r>
        <w:rPr>
          <w:spacing w:val="-3"/>
          <w:sz w:val="24"/>
        </w:rPr>
        <w:t>avaliar, </w:t>
      </w:r>
      <w:r>
        <w:rPr>
          <w:sz w:val="24"/>
        </w:rPr>
        <w:t>direcionar e monitorar a </w:t>
      </w:r>
      <w:r>
        <w:rPr>
          <w:spacing w:val="-3"/>
          <w:sz w:val="24"/>
        </w:rPr>
        <w:t>atuação </w:t>
      </w:r>
      <w:r>
        <w:rPr>
          <w:sz w:val="24"/>
        </w:rPr>
        <w:t>da </w:t>
      </w:r>
      <w:r>
        <w:rPr>
          <w:spacing w:val="-3"/>
          <w:sz w:val="24"/>
        </w:rPr>
        <w:t>gestão, </w:t>
      </w:r>
      <w:r>
        <w:rPr>
          <w:sz w:val="24"/>
        </w:rPr>
        <w:t>com </w:t>
      </w:r>
      <w:r>
        <w:rPr>
          <w:spacing w:val="-3"/>
          <w:sz w:val="24"/>
        </w:rPr>
        <w:t>vistas </w:t>
      </w:r>
      <w:r>
        <w:rPr>
          <w:sz w:val="24"/>
        </w:rPr>
        <w:t>à </w:t>
      </w:r>
      <w:r>
        <w:rPr>
          <w:spacing w:val="-3"/>
          <w:sz w:val="24"/>
        </w:rPr>
        <w:t>condução </w:t>
      </w:r>
      <w:r>
        <w:rPr>
          <w:sz w:val="24"/>
        </w:rPr>
        <w:t>de </w:t>
      </w:r>
      <w:r>
        <w:rPr>
          <w:spacing w:val="-3"/>
          <w:sz w:val="24"/>
        </w:rPr>
        <w:t>políticas </w:t>
      </w:r>
      <w:r>
        <w:rPr>
          <w:sz w:val="24"/>
        </w:rPr>
        <w:t>públicas e à </w:t>
      </w:r>
      <w:r>
        <w:rPr>
          <w:spacing w:val="-3"/>
          <w:sz w:val="24"/>
        </w:rPr>
        <w:t>prestação </w:t>
      </w:r>
      <w:r>
        <w:rPr>
          <w:sz w:val="24"/>
        </w:rPr>
        <w:t>de </w:t>
      </w:r>
      <w:r>
        <w:rPr>
          <w:spacing w:val="-3"/>
          <w:sz w:val="24"/>
        </w:rPr>
        <w:t>serviços </w:t>
      </w:r>
      <w:r>
        <w:rPr>
          <w:sz w:val="24"/>
        </w:rPr>
        <w:t>de </w:t>
      </w:r>
      <w:r>
        <w:rPr>
          <w:spacing w:val="-3"/>
          <w:sz w:val="24"/>
        </w:rPr>
        <w:t>interesse </w:t>
      </w:r>
      <w:r>
        <w:rPr>
          <w:sz w:val="24"/>
        </w:rPr>
        <w:t>da</w:t>
      </w:r>
      <w:r>
        <w:rPr>
          <w:spacing w:val="-13"/>
          <w:sz w:val="24"/>
        </w:rPr>
        <w:t> </w:t>
      </w:r>
      <w:r>
        <w:rPr>
          <w:spacing w:val="-3"/>
          <w:sz w:val="24"/>
        </w:rPr>
        <w:t>sociedade.</w:t>
      </w:r>
    </w:p>
    <w:p>
      <w:pPr>
        <w:pStyle w:val="ListParagraph"/>
        <w:numPr>
          <w:ilvl w:val="0"/>
          <w:numId w:val="2"/>
        </w:numPr>
        <w:tabs>
          <w:tab w:pos="547" w:val="left" w:leader="none"/>
        </w:tabs>
        <w:spacing w:line="240" w:lineRule="auto" w:before="0" w:after="0"/>
        <w:ind w:left="546" w:right="373" w:hanging="428"/>
        <w:jc w:val="both"/>
        <w:rPr>
          <w:sz w:val="24"/>
        </w:rPr>
      </w:pPr>
      <w:r>
        <w:rPr>
          <w:spacing w:val="-3"/>
          <w:sz w:val="24"/>
        </w:rPr>
        <w:t>Paralelamente, </w:t>
      </w:r>
      <w:r>
        <w:rPr>
          <w:sz w:val="24"/>
        </w:rPr>
        <w:t>o </w:t>
      </w:r>
      <w:r>
        <w:rPr>
          <w:spacing w:val="-3"/>
          <w:sz w:val="24"/>
        </w:rPr>
        <w:t>cenário </w:t>
      </w:r>
      <w:r>
        <w:rPr>
          <w:sz w:val="24"/>
        </w:rPr>
        <w:t>de </w:t>
      </w:r>
      <w:r>
        <w:rPr>
          <w:spacing w:val="-3"/>
          <w:sz w:val="24"/>
        </w:rPr>
        <w:t>aprofundado contingenciamento </w:t>
      </w:r>
      <w:r>
        <w:rPr>
          <w:sz w:val="24"/>
        </w:rPr>
        <w:t>de gastos </w:t>
      </w:r>
      <w:r>
        <w:rPr>
          <w:spacing w:val="-3"/>
          <w:sz w:val="24"/>
        </w:rPr>
        <w:t>delineado </w:t>
      </w:r>
      <w:r>
        <w:rPr>
          <w:sz w:val="24"/>
        </w:rPr>
        <w:t>pelo </w:t>
      </w:r>
      <w:r>
        <w:rPr>
          <w:spacing w:val="-3"/>
          <w:sz w:val="24"/>
        </w:rPr>
        <w:t>advento </w:t>
      </w:r>
      <w:r>
        <w:rPr>
          <w:sz w:val="24"/>
        </w:rPr>
        <w:t>da Emenda </w:t>
      </w:r>
      <w:r>
        <w:rPr>
          <w:spacing w:val="-3"/>
          <w:sz w:val="24"/>
        </w:rPr>
        <w:t>Constitucional </w:t>
      </w:r>
      <w:r>
        <w:rPr>
          <w:sz w:val="24"/>
        </w:rPr>
        <w:t>nº 95, de 15 de </w:t>
      </w:r>
      <w:r>
        <w:rPr>
          <w:spacing w:val="-3"/>
          <w:sz w:val="24"/>
        </w:rPr>
        <w:t>dezembro </w:t>
      </w:r>
      <w:r>
        <w:rPr>
          <w:sz w:val="24"/>
        </w:rPr>
        <w:t>de </w:t>
      </w:r>
      <w:r>
        <w:rPr>
          <w:spacing w:val="-3"/>
          <w:sz w:val="24"/>
        </w:rPr>
        <w:t>2016, </w:t>
      </w:r>
      <w:r>
        <w:rPr>
          <w:sz w:val="24"/>
        </w:rPr>
        <w:t>tem requerido </w:t>
      </w:r>
      <w:r>
        <w:rPr>
          <w:spacing w:val="-3"/>
          <w:sz w:val="24"/>
        </w:rPr>
        <w:t>das </w:t>
      </w:r>
      <w:r>
        <w:rPr>
          <w:sz w:val="24"/>
        </w:rPr>
        <w:t>instituições </w:t>
      </w:r>
      <w:r>
        <w:rPr>
          <w:spacing w:val="-3"/>
          <w:sz w:val="24"/>
        </w:rPr>
        <w:t>públicas coordenação das diversas estruturas </w:t>
      </w:r>
      <w:r>
        <w:rPr>
          <w:sz w:val="24"/>
        </w:rPr>
        <w:t>e </w:t>
      </w:r>
      <w:r>
        <w:rPr>
          <w:spacing w:val="-3"/>
          <w:sz w:val="24"/>
        </w:rPr>
        <w:t>recursos disponíveis, </w:t>
      </w:r>
      <w:r>
        <w:rPr>
          <w:sz w:val="24"/>
        </w:rPr>
        <w:t>de maneira a </w:t>
      </w:r>
      <w:r>
        <w:rPr>
          <w:spacing w:val="-3"/>
          <w:sz w:val="24"/>
        </w:rPr>
        <w:t>assegurar </w:t>
      </w:r>
      <w:r>
        <w:rPr>
          <w:sz w:val="24"/>
        </w:rPr>
        <w:t>o </w:t>
      </w:r>
      <w:r>
        <w:rPr>
          <w:spacing w:val="-3"/>
          <w:sz w:val="24"/>
        </w:rPr>
        <w:t>cumprimento </w:t>
      </w:r>
      <w:r>
        <w:rPr>
          <w:sz w:val="24"/>
        </w:rPr>
        <w:t>de objetivos, </w:t>
      </w:r>
      <w:r>
        <w:rPr>
          <w:spacing w:val="-3"/>
          <w:sz w:val="24"/>
        </w:rPr>
        <w:t>observados custos razoáveis </w:t>
      </w:r>
      <w:r>
        <w:rPr>
          <w:sz w:val="24"/>
        </w:rPr>
        <w:t>e </w:t>
      </w:r>
      <w:r>
        <w:rPr>
          <w:spacing w:val="-3"/>
          <w:sz w:val="24"/>
        </w:rPr>
        <w:t>riscos</w:t>
      </w:r>
      <w:r>
        <w:rPr>
          <w:spacing w:val="-19"/>
          <w:sz w:val="24"/>
        </w:rPr>
        <w:t> </w:t>
      </w:r>
      <w:r>
        <w:rPr>
          <w:spacing w:val="-3"/>
          <w:sz w:val="24"/>
        </w:rPr>
        <w:t>aceitáveis.</w:t>
      </w:r>
    </w:p>
    <w:p>
      <w:pPr>
        <w:pStyle w:val="ListParagraph"/>
        <w:numPr>
          <w:ilvl w:val="0"/>
          <w:numId w:val="2"/>
        </w:numPr>
        <w:tabs>
          <w:tab w:pos="547" w:val="left" w:leader="none"/>
        </w:tabs>
        <w:spacing w:line="240" w:lineRule="auto" w:before="1" w:after="0"/>
        <w:ind w:left="546" w:right="367" w:hanging="428"/>
        <w:jc w:val="both"/>
        <w:rPr>
          <w:sz w:val="24"/>
        </w:rPr>
      </w:pPr>
      <w:r>
        <w:rPr>
          <w:sz w:val="24"/>
        </w:rPr>
        <w:t>Do</w:t>
      </w:r>
      <w:r>
        <w:rPr>
          <w:spacing w:val="-9"/>
          <w:sz w:val="24"/>
        </w:rPr>
        <w:t> </w:t>
      </w:r>
      <w:r>
        <w:rPr>
          <w:sz w:val="24"/>
        </w:rPr>
        <w:t>mesmo</w:t>
      </w:r>
      <w:r>
        <w:rPr>
          <w:spacing w:val="-8"/>
          <w:sz w:val="24"/>
        </w:rPr>
        <w:t> </w:t>
      </w:r>
      <w:r>
        <w:rPr>
          <w:sz w:val="24"/>
        </w:rPr>
        <w:t>modo,</w:t>
      </w:r>
      <w:r>
        <w:rPr>
          <w:spacing w:val="-9"/>
          <w:sz w:val="24"/>
        </w:rPr>
        <w:t> </w:t>
      </w:r>
      <w:r>
        <w:rPr>
          <w:sz w:val="24"/>
        </w:rPr>
        <w:t>os</w:t>
      </w:r>
      <w:r>
        <w:rPr>
          <w:spacing w:val="-7"/>
          <w:sz w:val="24"/>
        </w:rPr>
        <w:t> </w:t>
      </w:r>
      <w:r>
        <w:rPr>
          <w:spacing w:val="-3"/>
          <w:sz w:val="24"/>
        </w:rPr>
        <w:t>desafios</w:t>
      </w:r>
      <w:r>
        <w:rPr>
          <w:spacing w:val="-8"/>
          <w:sz w:val="24"/>
        </w:rPr>
        <w:t> </w:t>
      </w:r>
      <w:r>
        <w:rPr>
          <w:sz w:val="24"/>
        </w:rPr>
        <w:t>impostos</w:t>
      </w:r>
      <w:r>
        <w:rPr>
          <w:spacing w:val="-9"/>
          <w:sz w:val="24"/>
        </w:rPr>
        <w:t> </w:t>
      </w:r>
      <w:r>
        <w:rPr>
          <w:sz w:val="24"/>
        </w:rPr>
        <w:t>às</w:t>
      </w:r>
      <w:r>
        <w:rPr>
          <w:spacing w:val="-8"/>
          <w:sz w:val="24"/>
        </w:rPr>
        <w:t> </w:t>
      </w:r>
      <w:r>
        <w:rPr>
          <w:sz w:val="24"/>
        </w:rPr>
        <w:t>Unidades</w:t>
      </w:r>
      <w:r>
        <w:rPr>
          <w:spacing w:val="-8"/>
          <w:sz w:val="24"/>
        </w:rPr>
        <w:t> </w:t>
      </w:r>
      <w:r>
        <w:rPr>
          <w:sz w:val="24"/>
        </w:rPr>
        <w:t>de</w:t>
      </w:r>
      <w:r>
        <w:rPr>
          <w:spacing w:val="-8"/>
          <w:sz w:val="24"/>
        </w:rPr>
        <w:t> </w:t>
      </w:r>
      <w:r>
        <w:rPr>
          <w:spacing w:val="-3"/>
          <w:sz w:val="24"/>
        </w:rPr>
        <w:t>Auditoria</w:t>
      </w:r>
      <w:r>
        <w:rPr>
          <w:spacing w:val="-5"/>
          <w:sz w:val="24"/>
        </w:rPr>
        <w:t> </w:t>
      </w:r>
      <w:r>
        <w:rPr>
          <w:spacing w:val="-3"/>
          <w:sz w:val="24"/>
        </w:rPr>
        <w:t>Interna,</w:t>
      </w:r>
      <w:r>
        <w:rPr>
          <w:spacing w:val="-8"/>
          <w:sz w:val="24"/>
        </w:rPr>
        <w:t> </w:t>
      </w:r>
      <w:r>
        <w:rPr>
          <w:sz w:val="24"/>
        </w:rPr>
        <w:t>instâncias</w:t>
      </w:r>
      <w:r>
        <w:rPr>
          <w:spacing w:val="-9"/>
          <w:sz w:val="24"/>
        </w:rPr>
        <w:t> </w:t>
      </w:r>
      <w:r>
        <w:rPr>
          <w:sz w:val="24"/>
        </w:rPr>
        <w:t>de</w:t>
      </w:r>
      <w:r>
        <w:rPr>
          <w:spacing w:val="-7"/>
          <w:sz w:val="24"/>
        </w:rPr>
        <w:t> </w:t>
      </w:r>
      <w:r>
        <w:rPr>
          <w:spacing w:val="-3"/>
          <w:sz w:val="24"/>
        </w:rPr>
        <w:t>apoio</w:t>
      </w:r>
      <w:r>
        <w:rPr>
          <w:spacing w:val="-7"/>
          <w:sz w:val="24"/>
        </w:rPr>
        <w:t> </w:t>
      </w:r>
      <w:r>
        <w:rPr>
          <w:sz w:val="24"/>
        </w:rPr>
        <w:t>à </w:t>
      </w:r>
      <w:r>
        <w:rPr>
          <w:spacing w:val="-3"/>
          <w:sz w:val="24"/>
        </w:rPr>
        <w:t>governança corporativa associadas </w:t>
      </w:r>
      <w:r>
        <w:rPr>
          <w:sz w:val="24"/>
        </w:rPr>
        <w:t>ao </w:t>
      </w:r>
      <w:r>
        <w:rPr>
          <w:spacing w:val="-3"/>
          <w:sz w:val="24"/>
        </w:rPr>
        <w:t>mecanismo controle, </w:t>
      </w:r>
      <w:r>
        <w:rPr>
          <w:spacing w:val="-2"/>
          <w:sz w:val="24"/>
        </w:rPr>
        <w:t>tem-se </w:t>
      </w:r>
      <w:r>
        <w:rPr>
          <w:spacing w:val="-3"/>
          <w:sz w:val="24"/>
        </w:rPr>
        <w:t>aprofundado, </w:t>
      </w:r>
      <w:r>
        <w:rPr>
          <w:sz w:val="24"/>
        </w:rPr>
        <w:t>na medida em que o </w:t>
      </w:r>
      <w:r>
        <w:rPr>
          <w:spacing w:val="-3"/>
          <w:sz w:val="24"/>
        </w:rPr>
        <w:t>aperfeiçoamento </w:t>
      </w:r>
      <w:r>
        <w:rPr>
          <w:sz w:val="24"/>
        </w:rPr>
        <w:t>de </w:t>
      </w:r>
      <w:r>
        <w:rPr>
          <w:spacing w:val="-3"/>
          <w:sz w:val="24"/>
        </w:rPr>
        <w:t>processos </w:t>
      </w:r>
      <w:r>
        <w:rPr>
          <w:sz w:val="24"/>
        </w:rPr>
        <w:t>de </w:t>
      </w:r>
      <w:r>
        <w:rPr>
          <w:spacing w:val="-3"/>
          <w:sz w:val="24"/>
        </w:rPr>
        <w:t>trabalho, notadamente daqueles afetos </w:t>
      </w:r>
      <w:r>
        <w:rPr>
          <w:sz w:val="24"/>
        </w:rPr>
        <w:t>à governança, </w:t>
      </w:r>
      <w:r>
        <w:rPr>
          <w:spacing w:val="-3"/>
          <w:sz w:val="24"/>
        </w:rPr>
        <w:t>gerenciamento </w:t>
      </w:r>
      <w:r>
        <w:rPr>
          <w:sz w:val="24"/>
        </w:rPr>
        <w:t>de </w:t>
      </w:r>
      <w:r>
        <w:rPr>
          <w:spacing w:val="-3"/>
          <w:sz w:val="24"/>
        </w:rPr>
        <w:t>riscos </w:t>
      </w:r>
      <w:r>
        <w:rPr>
          <w:sz w:val="24"/>
        </w:rPr>
        <w:t>e </w:t>
      </w:r>
      <w:r>
        <w:rPr>
          <w:spacing w:val="-3"/>
          <w:sz w:val="24"/>
        </w:rPr>
        <w:t>controle </w:t>
      </w:r>
      <w:r>
        <w:rPr>
          <w:sz w:val="24"/>
        </w:rPr>
        <w:t>interno, </w:t>
      </w:r>
      <w:r>
        <w:rPr>
          <w:spacing w:val="-3"/>
          <w:sz w:val="24"/>
        </w:rPr>
        <w:t>constitui condição essencial </w:t>
      </w:r>
      <w:r>
        <w:rPr>
          <w:sz w:val="24"/>
        </w:rPr>
        <w:t>à </w:t>
      </w:r>
      <w:r>
        <w:rPr>
          <w:spacing w:val="-3"/>
          <w:sz w:val="24"/>
        </w:rPr>
        <w:t>mitigação </w:t>
      </w:r>
      <w:r>
        <w:rPr>
          <w:sz w:val="24"/>
        </w:rPr>
        <w:t>de </w:t>
      </w:r>
      <w:r>
        <w:rPr>
          <w:spacing w:val="-3"/>
          <w:sz w:val="24"/>
        </w:rPr>
        <w:t>riscos </w:t>
      </w:r>
      <w:r>
        <w:rPr>
          <w:sz w:val="24"/>
        </w:rPr>
        <w:t>ao alcance de </w:t>
      </w:r>
      <w:r>
        <w:rPr>
          <w:spacing w:val="-3"/>
          <w:sz w:val="24"/>
        </w:rPr>
        <w:t>objetivos </w:t>
      </w:r>
      <w:r>
        <w:rPr>
          <w:sz w:val="24"/>
        </w:rPr>
        <w:t>e, por </w:t>
      </w:r>
      <w:r>
        <w:rPr>
          <w:spacing w:val="-3"/>
          <w:sz w:val="24"/>
        </w:rPr>
        <w:t>consequência, </w:t>
      </w:r>
      <w:r>
        <w:rPr>
          <w:sz w:val="24"/>
        </w:rPr>
        <w:t>à </w:t>
      </w:r>
      <w:r>
        <w:rPr>
          <w:spacing w:val="-3"/>
          <w:sz w:val="24"/>
        </w:rPr>
        <w:t>maximização </w:t>
      </w:r>
      <w:r>
        <w:rPr>
          <w:sz w:val="24"/>
        </w:rPr>
        <w:t>de </w:t>
      </w:r>
      <w:r>
        <w:rPr>
          <w:spacing w:val="-3"/>
          <w:sz w:val="24"/>
        </w:rPr>
        <w:t>resultados</w:t>
      </w:r>
      <w:r>
        <w:rPr>
          <w:spacing w:val="-35"/>
          <w:sz w:val="24"/>
        </w:rPr>
        <w:t> </w:t>
      </w:r>
      <w:r>
        <w:rPr>
          <w:spacing w:val="-3"/>
          <w:sz w:val="24"/>
        </w:rPr>
        <w:t>pretendidos.</w:t>
      </w:r>
    </w:p>
    <w:p>
      <w:pPr>
        <w:pStyle w:val="ListParagraph"/>
        <w:numPr>
          <w:ilvl w:val="0"/>
          <w:numId w:val="2"/>
        </w:numPr>
        <w:tabs>
          <w:tab w:pos="547" w:val="left" w:leader="none"/>
        </w:tabs>
        <w:spacing w:line="240" w:lineRule="auto" w:before="0" w:after="0"/>
        <w:ind w:left="546" w:right="370" w:hanging="428"/>
        <w:jc w:val="both"/>
        <w:rPr>
          <w:sz w:val="24"/>
        </w:rPr>
      </w:pPr>
      <w:r>
        <w:rPr>
          <w:sz w:val="24"/>
        </w:rPr>
        <w:t>Nesse</w:t>
      </w:r>
      <w:r>
        <w:rPr>
          <w:spacing w:val="-10"/>
          <w:sz w:val="24"/>
        </w:rPr>
        <w:t> </w:t>
      </w:r>
      <w:r>
        <w:rPr>
          <w:spacing w:val="-3"/>
          <w:sz w:val="24"/>
        </w:rPr>
        <w:t>sentido,</w:t>
      </w:r>
      <w:r>
        <w:rPr>
          <w:spacing w:val="-8"/>
          <w:sz w:val="24"/>
        </w:rPr>
        <w:t> </w:t>
      </w:r>
      <w:r>
        <w:rPr>
          <w:sz w:val="24"/>
        </w:rPr>
        <w:t>a</w:t>
      </w:r>
      <w:r>
        <w:rPr>
          <w:spacing w:val="-11"/>
          <w:sz w:val="24"/>
        </w:rPr>
        <w:t> </w:t>
      </w:r>
      <w:r>
        <w:rPr>
          <w:sz w:val="24"/>
        </w:rPr>
        <w:t>seleção</w:t>
      </w:r>
      <w:r>
        <w:rPr>
          <w:spacing w:val="-10"/>
          <w:sz w:val="24"/>
        </w:rPr>
        <w:t> </w:t>
      </w:r>
      <w:r>
        <w:rPr>
          <w:sz w:val="24"/>
        </w:rPr>
        <w:t>de</w:t>
      </w:r>
      <w:r>
        <w:rPr>
          <w:spacing w:val="-11"/>
          <w:sz w:val="24"/>
        </w:rPr>
        <w:t> </w:t>
      </w:r>
      <w:r>
        <w:rPr>
          <w:sz w:val="24"/>
        </w:rPr>
        <w:t>áreas</w:t>
      </w:r>
      <w:r>
        <w:rPr>
          <w:spacing w:val="-7"/>
          <w:sz w:val="24"/>
        </w:rPr>
        <w:t> </w:t>
      </w:r>
      <w:r>
        <w:rPr>
          <w:spacing w:val="-3"/>
          <w:sz w:val="24"/>
        </w:rPr>
        <w:t>auditáveis</w:t>
      </w:r>
      <w:r>
        <w:rPr>
          <w:spacing w:val="-7"/>
          <w:sz w:val="24"/>
        </w:rPr>
        <w:t> </w:t>
      </w:r>
      <w:r>
        <w:rPr>
          <w:spacing w:val="-3"/>
          <w:sz w:val="24"/>
        </w:rPr>
        <w:t>com</w:t>
      </w:r>
      <w:r>
        <w:rPr>
          <w:spacing w:val="-7"/>
          <w:sz w:val="24"/>
        </w:rPr>
        <w:t> </w:t>
      </w:r>
      <w:r>
        <w:rPr>
          <w:sz w:val="24"/>
        </w:rPr>
        <w:t>base</w:t>
      </w:r>
      <w:r>
        <w:rPr>
          <w:spacing w:val="-11"/>
          <w:sz w:val="24"/>
        </w:rPr>
        <w:t> </w:t>
      </w:r>
      <w:r>
        <w:rPr>
          <w:sz w:val="24"/>
        </w:rPr>
        <w:t>em</w:t>
      </w:r>
      <w:r>
        <w:rPr>
          <w:spacing w:val="-7"/>
          <w:sz w:val="24"/>
        </w:rPr>
        <w:t> </w:t>
      </w:r>
      <w:r>
        <w:rPr>
          <w:spacing w:val="-3"/>
          <w:sz w:val="24"/>
        </w:rPr>
        <w:t>critérios</w:t>
      </w:r>
      <w:r>
        <w:rPr>
          <w:spacing w:val="-9"/>
          <w:sz w:val="24"/>
        </w:rPr>
        <w:t> </w:t>
      </w:r>
      <w:r>
        <w:rPr>
          <w:sz w:val="24"/>
        </w:rPr>
        <w:t>objetivos</w:t>
      </w:r>
      <w:r>
        <w:rPr>
          <w:spacing w:val="-7"/>
          <w:sz w:val="24"/>
        </w:rPr>
        <w:t> </w:t>
      </w:r>
      <w:r>
        <w:rPr>
          <w:sz w:val="24"/>
        </w:rPr>
        <w:t>e</w:t>
      </w:r>
      <w:r>
        <w:rPr>
          <w:spacing w:val="-8"/>
          <w:sz w:val="24"/>
        </w:rPr>
        <w:t> </w:t>
      </w:r>
      <w:r>
        <w:rPr>
          <w:spacing w:val="-3"/>
          <w:sz w:val="24"/>
        </w:rPr>
        <w:t>consistentes</w:t>
      </w:r>
      <w:r>
        <w:rPr>
          <w:spacing w:val="-7"/>
          <w:sz w:val="24"/>
        </w:rPr>
        <w:t> </w:t>
      </w:r>
      <w:r>
        <w:rPr>
          <w:spacing w:val="-3"/>
          <w:sz w:val="24"/>
        </w:rPr>
        <w:t>com </w:t>
      </w:r>
      <w:r>
        <w:rPr>
          <w:sz w:val="24"/>
        </w:rPr>
        <w:t>as metas </w:t>
      </w:r>
      <w:r>
        <w:rPr>
          <w:spacing w:val="-3"/>
          <w:sz w:val="24"/>
        </w:rPr>
        <w:t>organizacionais apresenta-se </w:t>
      </w:r>
      <w:r>
        <w:rPr>
          <w:sz w:val="24"/>
        </w:rPr>
        <w:t>como </w:t>
      </w:r>
      <w:r>
        <w:rPr>
          <w:spacing w:val="-3"/>
          <w:sz w:val="24"/>
        </w:rPr>
        <w:t>oportunidade </w:t>
      </w:r>
      <w:r>
        <w:rPr>
          <w:sz w:val="24"/>
        </w:rPr>
        <w:t>de </w:t>
      </w:r>
      <w:r>
        <w:rPr>
          <w:spacing w:val="-2"/>
          <w:sz w:val="24"/>
        </w:rPr>
        <w:t>qualificação </w:t>
      </w:r>
      <w:r>
        <w:rPr>
          <w:sz w:val="24"/>
        </w:rPr>
        <w:t>da </w:t>
      </w:r>
      <w:r>
        <w:rPr>
          <w:spacing w:val="-3"/>
          <w:sz w:val="24"/>
        </w:rPr>
        <w:t>atividade </w:t>
      </w:r>
      <w:r>
        <w:rPr>
          <w:sz w:val="24"/>
        </w:rPr>
        <w:t>de </w:t>
      </w:r>
      <w:r>
        <w:rPr>
          <w:spacing w:val="-3"/>
          <w:sz w:val="24"/>
        </w:rPr>
        <w:t>auditoria </w:t>
      </w:r>
      <w:r>
        <w:rPr>
          <w:sz w:val="24"/>
        </w:rPr>
        <w:t>interna e dos </w:t>
      </w:r>
      <w:r>
        <w:rPr>
          <w:spacing w:val="-3"/>
          <w:sz w:val="24"/>
        </w:rPr>
        <w:t>resultados agregados </w:t>
      </w:r>
      <w:r>
        <w:rPr>
          <w:sz w:val="24"/>
        </w:rPr>
        <w:t>à</w:t>
      </w:r>
      <w:r>
        <w:rPr>
          <w:spacing w:val="-24"/>
          <w:sz w:val="24"/>
        </w:rPr>
        <w:t> </w:t>
      </w:r>
      <w:r>
        <w:rPr>
          <w:sz w:val="24"/>
        </w:rPr>
        <w:t>gestão.</w:t>
      </w:r>
    </w:p>
    <w:p>
      <w:pPr>
        <w:pStyle w:val="ListParagraph"/>
        <w:numPr>
          <w:ilvl w:val="0"/>
          <w:numId w:val="2"/>
        </w:numPr>
        <w:tabs>
          <w:tab w:pos="547" w:val="left" w:leader="none"/>
        </w:tabs>
        <w:spacing w:line="240" w:lineRule="auto" w:before="0" w:after="0"/>
        <w:ind w:left="546" w:right="369" w:hanging="428"/>
        <w:jc w:val="both"/>
        <w:rPr>
          <w:sz w:val="24"/>
        </w:rPr>
      </w:pPr>
      <w:r>
        <w:rPr>
          <w:spacing w:val="-3"/>
          <w:sz w:val="24"/>
        </w:rPr>
        <w:t>Assim, </w:t>
      </w:r>
      <w:r>
        <w:rPr>
          <w:sz w:val="24"/>
        </w:rPr>
        <w:t>a </w:t>
      </w:r>
      <w:r>
        <w:rPr>
          <w:spacing w:val="-3"/>
          <w:sz w:val="24"/>
        </w:rPr>
        <w:t>Coordenadoria </w:t>
      </w:r>
      <w:r>
        <w:rPr>
          <w:sz w:val="24"/>
        </w:rPr>
        <w:t>de </w:t>
      </w:r>
      <w:r>
        <w:rPr>
          <w:spacing w:val="-3"/>
          <w:sz w:val="24"/>
        </w:rPr>
        <w:t>Auditoria Interna </w:t>
      </w:r>
      <w:r>
        <w:rPr>
          <w:sz w:val="24"/>
        </w:rPr>
        <w:t>(COAUD) deste </w:t>
      </w:r>
      <w:r>
        <w:rPr>
          <w:spacing w:val="-3"/>
          <w:sz w:val="24"/>
        </w:rPr>
        <w:t>Regional, </w:t>
      </w:r>
      <w:r>
        <w:rPr>
          <w:sz w:val="24"/>
        </w:rPr>
        <w:t>em </w:t>
      </w:r>
      <w:r>
        <w:rPr>
          <w:spacing w:val="-3"/>
          <w:sz w:val="24"/>
        </w:rPr>
        <w:t>cumprimento </w:t>
      </w:r>
      <w:r>
        <w:rPr>
          <w:sz w:val="24"/>
        </w:rPr>
        <w:t>ao </w:t>
      </w:r>
      <w:r>
        <w:rPr>
          <w:spacing w:val="-3"/>
          <w:sz w:val="24"/>
        </w:rPr>
        <w:t>quanto</w:t>
      </w:r>
      <w:r>
        <w:rPr>
          <w:spacing w:val="-11"/>
          <w:sz w:val="24"/>
        </w:rPr>
        <w:t> </w:t>
      </w:r>
      <w:r>
        <w:rPr>
          <w:sz w:val="24"/>
        </w:rPr>
        <w:t>requerido</w:t>
      </w:r>
      <w:r>
        <w:rPr>
          <w:spacing w:val="-10"/>
          <w:sz w:val="24"/>
        </w:rPr>
        <w:t> </w:t>
      </w:r>
      <w:r>
        <w:rPr>
          <w:sz w:val="24"/>
        </w:rPr>
        <w:t>no</w:t>
      </w:r>
      <w:r>
        <w:rPr>
          <w:spacing w:val="-10"/>
          <w:sz w:val="24"/>
        </w:rPr>
        <w:t> </w:t>
      </w:r>
      <w:r>
        <w:rPr>
          <w:sz w:val="24"/>
        </w:rPr>
        <w:t>artigo</w:t>
      </w:r>
      <w:r>
        <w:rPr>
          <w:spacing w:val="-10"/>
          <w:sz w:val="24"/>
        </w:rPr>
        <w:t> </w:t>
      </w:r>
      <w:r>
        <w:rPr>
          <w:sz w:val="24"/>
        </w:rPr>
        <w:t>32</w:t>
      </w:r>
      <w:r>
        <w:rPr>
          <w:spacing w:val="-10"/>
          <w:sz w:val="24"/>
        </w:rPr>
        <w:t> </w:t>
      </w:r>
      <w:r>
        <w:rPr>
          <w:sz w:val="24"/>
        </w:rPr>
        <w:t>e</w:t>
      </w:r>
      <w:r>
        <w:rPr>
          <w:spacing w:val="-12"/>
          <w:sz w:val="24"/>
        </w:rPr>
        <w:t> </w:t>
      </w:r>
      <w:r>
        <w:rPr>
          <w:spacing w:val="-3"/>
          <w:sz w:val="24"/>
        </w:rPr>
        <w:t>seguintes</w:t>
      </w:r>
      <w:r>
        <w:rPr>
          <w:spacing w:val="-9"/>
          <w:sz w:val="24"/>
        </w:rPr>
        <w:t> </w:t>
      </w:r>
      <w:r>
        <w:rPr>
          <w:sz w:val="24"/>
        </w:rPr>
        <w:t>da</w:t>
      </w:r>
      <w:r>
        <w:rPr>
          <w:spacing w:val="-11"/>
          <w:sz w:val="24"/>
        </w:rPr>
        <w:t> </w:t>
      </w:r>
      <w:r>
        <w:rPr>
          <w:spacing w:val="-3"/>
          <w:sz w:val="24"/>
        </w:rPr>
        <w:t>Resolução</w:t>
      </w:r>
      <w:r>
        <w:rPr>
          <w:spacing w:val="-10"/>
          <w:sz w:val="24"/>
        </w:rPr>
        <w:t> </w:t>
      </w:r>
      <w:r>
        <w:rPr>
          <w:sz w:val="24"/>
        </w:rPr>
        <w:t>do</w:t>
      </w:r>
      <w:r>
        <w:rPr>
          <w:spacing w:val="-10"/>
          <w:sz w:val="24"/>
        </w:rPr>
        <w:t> </w:t>
      </w:r>
      <w:r>
        <w:rPr>
          <w:spacing w:val="-3"/>
          <w:sz w:val="24"/>
        </w:rPr>
        <w:t>Conselho</w:t>
      </w:r>
      <w:r>
        <w:rPr>
          <w:spacing w:val="-10"/>
          <w:sz w:val="24"/>
        </w:rPr>
        <w:t> </w:t>
      </w:r>
      <w:r>
        <w:rPr>
          <w:spacing w:val="-3"/>
          <w:sz w:val="24"/>
        </w:rPr>
        <w:t>Nacional</w:t>
      </w:r>
      <w:r>
        <w:rPr>
          <w:spacing w:val="-10"/>
          <w:sz w:val="24"/>
        </w:rPr>
        <w:t> </w:t>
      </w:r>
      <w:r>
        <w:rPr>
          <w:sz w:val="24"/>
        </w:rPr>
        <w:t>de</w:t>
      </w:r>
      <w:r>
        <w:rPr>
          <w:spacing w:val="-11"/>
          <w:sz w:val="24"/>
        </w:rPr>
        <w:t> </w:t>
      </w:r>
      <w:r>
        <w:rPr>
          <w:sz w:val="24"/>
        </w:rPr>
        <w:t>Justiça</w:t>
      </w:r>
      <w:r>
        <w:rPr>
          <w:spacing w:val="-11"/>
          <w:sz w:val="24"/>
        </w:rPr>
        <w:t> </w:t>
      </w:r>
      <w:r>
        <w:rPr>
          <w:sz w:val="24"/>
        </w:rPr>
        <w:t>(CNJ) nº 309, de 11 de março de 2020, </w:t>
      </w:r>
      <w:r>
        <w:rPr>
          <w:spacing w:val="-3"/>
          <w:sz w:val="24"/>
        </w:rPr>
        <w:t>apresenta </w:t>
      </w:r>
      <w:r>
        <w:rPr>
          <w:sz w:val="24"/>
        </w:rPr>
        <w:t>o Plano Anual de Auditoria Interna para </w:t>
      </w:r>
      <w:r>
        <w:rPr>
          <w:spacing w:val="-3"/>
          <w:sz w:val="24"/>
        </w:rPr>
        <w:t>2020</w:t>
      </w:r>
      <w:r>
        <w:rPr>
          <w:spacing w:val="54"/>
          <w:sz w:val="24"/>
        </w:rPr>
        <w:t> </w:t>
      </w:r>
      <w:r>
        <w:rPr>
          <w:spacing w:val="-3"/>
          <w:sz w:val="24"/>
        </w:rPr>
        <w:t>(PAA2020), </w:t>
      </w:r>
      <w:r>
        <w:rPr>
          <w:sz w:val="24"/>
        </w:rPr>
        <w:t>contemplando ações </w:t>
      </w:r>
      <w:r>
        <w:rPr>
          <w:spacing w:val="-3"/>
          <w:sz w:val="24"/>
        </w:rPr>
        <w:t>fiscalizatórias </w:t>
      </w:r>
      <w:r>
        <w:rPr>
          <w:sz w:val="24"/>
        </w:rPr>
        <w:t>a serem </w:t>
      </w:r>
      <w:r>
        <w:rPr>
          <w:spacing w:val="-3"/>
          <w:sz w:val="24"/>
        </w:rPr>
        <w:t>desenvolvidas </w:t>
      </w:r>
      <w:r>
        <w:rPr>
          <w:sz w:val="24"/>
        </w:rPr>
        <w:t>no exercício de 2020, </w:t>
      </w:r>
      <w:r>
        <w:rPr>
          <w:spacing w:val="-3"/>
          <w:sz w:val="24"/>
        </w:rPr>
        <w:t>selecionadas com </w:t>
      </w:r>
      <w:r>
        <w:rPr>
          <w:sz w:val="24"/>
        </w:rPr>
        <w:t>base em </w:t>
      </w:r>
      <w:r>
        <w:rPr>
          <w:spacing w:val="-3"/>
          <w:sz w:val="24"/>
        </w:rPr>
        <w:t>critérios objetivos </w:t>
      </w:r>
      <w:r>
        <w:rPr>
          <w:sz w:val="24"/>
        </w:rPr>
        <w:t>de materialidade, </w:t>
      </w:r>
      <w:r>
        <w:rPr>
          <w:spacing w:val="-3"/>
          <w:sz w:val="24"/>
        </w:rPr>
        <w:t>relevância </w:t>
      </w:r>
      <w:r>
        <w:rPr>
          <w:sz w:val="24"/>
        </w:rPr>
        <w:t>e</w:t>
      </w:r>
      <w:r>
        <w:rPr>
          <w:spacing w:val="-28"/>
          <w:sz w:val="24"/>
        </w:rPr>
        <w:t> </w:t>
      </w:r>
      <w:r>
        <w:rPr>
          <w:spacing w:val="-3"/>
          <w:sz w:val="24"/>
        </w:rPr>
        <w:t>criticidade.</w:t>
      </w:r>
    </w:p>
    <w:p>
      <w:pPr>
        <w:pStyle w:val="ListParagraph"/>
        <w:numPr>
          <w:ilvl w:val="0"/>
          <w:numId w:val="2"/>
        </w:numPr>
        <w:tabs>
          <w:tab w:pos="547" w:val="left" w:leader="none"/>
        </w:tabs>
        <w:spacing w:line="240" w:lineRule="auto" w:before="0" w:after="0"/>
        <w:ind w:left="546" w:right="366" w:hanging="428"/>
        <w:jc w:val="both"/>
        <w:rPr>
          <w:sz w:val="24"/>
        </w:rPr>
      </w:pPr>
      <w:r>
        <w:rPr>
          <w:spacing w:val="-3"/>
          <w:sz w:val="24"/>
        </w:rPr>
        <w:t>Ressalte-se </w:t>
      </w:r>
      <w:r>
        <w:rPr>
          <w:sz w:val="24"/>
        </w:rPr>
        <w:t>que o presente </w:t>
      </w:r>
      <w:r>
        <w:rPr>
          <w:spacing w:val="-3"/>
          <w:sz w:val="24"/>
        </w:rPr>
        <w:t>planejamento anual contempla, ainda, </w:t>
      </w:r>
      <w:r>
        <w:rPr>
          <w:sz w:val="24"/>
        </w:rPr>
        <w:t>diretriz do </w:t>
      </w:r>
      <w:r>
        <w:rPr>
          <w:spacing w:val="-3"/>
          <w:sz w:val="24"/>
        </w:rPr>
        <w:t>Tribunal Superior Eleitoral (TSE), </w:t>
      </w:r>
      <w:r>
        <w:rPr>
          <w:sz w:val="24"/>
        </w:rPr>
        <w:t>referente à </w:t>
      </w:r>
      <w:r>
        <w:rPr>
          <w:spacing w:val="-3"/>
          <w:sz w:val="24"/>
        </w:rPr>
        <w:t>auditoria </w:t>
      </w:r>
      <w:r>
        <w:rPr>
          <w:sz w:val="24"/>
        </w:rPr>
        <w:t>integrada a ser realizada por toda a Justiça Eleitoral no </w:t>
      </w:r>
      <w:r>
        <w:rPr>
          <w:spacing w:val="-3"/>
          <w:sz w:val="24"/>
        </w:rPr>
        <w:t>exercício, consoante </w:t>
      </w:r>
      <w:r>
        <w:rPr>
          <w:sz w:val="24"/>
        </w:rPr>
        <w:t>disposto na </w:t>
      </w:r>
      <w:r>
        <w:rPr>
          <w:spacing w:val="-3"/>
          <w:sz w:val="24"/>
        </w:rPr>
        <w:t>Resolução </w:t>
      </w:r>
      <w:r>
        <w:rPr>
          <w:sz w:val="24"/>
        </w:rPr>
        <w:t>TSE nº </w:t>
      </w:r>
      <w:r>
        <w:rPr>
          <w:spacing w:val="-3"/>
          <w:sz w:val="24"/>
        </w:rPr>
        <w:t>23.500, </w:t>
      </w:r>
      <w:r>
        <w:rPr>
          <w:sz w:val="24"/>
        </w:rPr>
        <w:t>de 19 de </w:t>
      </w:r>
      <w:r>
        <w:rPr>
          <w:spacing w:val="-3"/>
          <w:sz w:val="24"/>
        </w:rPr>
        <w:t>dezembro </w:t>
      </w:r>
      <w:r>
        <w:rPr>
          <w:sz w:val="24"/>
        </w:rPr>
        <w:t>de </w:t>
      </w:r>
      <w:r>
        <w:rPr>
          <w:spacing w:val="-3"/>
          <w:sz w:val="24"/>
        </w:rPr>
        <w:t>2016, </w:t>
      </w:r>
      <w:r>
        <w:rPr>
          <w:sz w:val="24"/>
        </w:rPr>
        <w:t>bem </w:t>
      </w:r>
      <w:r>
        <w:rPr>
          <w:spacing w:val="-3"/>
          <w:sz w:val="24"/>
        </w:rPr>
        <w:t>como</w:t>
      </w:r>
      <w:r>
        <w:rPr>
          <w:spacing w:val="-11"/>
          <w:sz w:val="24"/>
        </w:rPr>
        <w:t> </w:t>
      </w:r>
      <w:r>
        <w:rPr>
          <w:spacing w:val="-3"/>
          <w:sz w:val="24"/>
        </w:rPr>
        <w:t>determinação</w:t>
      </w:r>
      <w:r>
        <w:rPr>
          <w:spacing w:val="-7"/>
          <w:sz w:val="24"/>
        </w:rPr>
        <w:t> </w:t>
      </w:r>
      <w:r>
        <w:rPr>
          <w:sz w:val="24"/>
        </w:rPr>
        <w:t>contida</w:t>
      </w:r>
      <w:r>
        <w:rPr>
          <w:spacing w:val="-11"/>
          <w:sz w:val="24"/>
        </w:rPr>
        <w:t> </w:t>
      </w:r>
      <w:r>
        <w:rPr>
          <w:sz w:val="24"/>
        </w:rPr>
        <w:t>na</w:t>
      </w:r>
      <w:r>
        <w:rPr>
          <w:spacing w:val="-9"/>
          <w:sz w:val="24"/>
        </w:rPr>
        <w:t> </w:t>
      </w:r>
      <w:r>
        <w:rPr>
          <w:spacing w:val="-3"/>
          <w:sz w:val="24"/>
        </w:rPr>
        <w:t>Instrução</w:t>
      </w:r>
      <w:r>
        <w:rPr>
          <w:spacing w:val="-10"/>
          <w:sz w:val="24"/>
        </w:rPr>
        <w:t> </w:t>
      </w:r>
      <w:r>
        <w:rPr>
          <w:sz w:val="24"/>
        </w:rPr>
        <w:t>Normativa</w:t>
      </w:r>
      <w:r>
        <w:rPr>
          <w:spacing w:val="-11"/>
          <w:sz w:val="24"/>
        </w:rPr>
        <w:t> </w:t>
      </w:r>
      <w:r>
        <w:rPr>
          <w:sz w:val="24"/>
        </w:rPr>
        <w:t>do</w:t>
      </w:r>
      <w:r>
        <w:rPr>
          <w:spacing w:val="-10"/>
          <w:sz w:val="24"/>
        </w:rPr>
        <w:t> </w:t>
      </w:r>
      <w:r>
        <w:rPr>
          <w:sz w:val="24"/>
        </w:rPr>
        <w:t>TCU</w:t>
      </w:r>
      <w:r>
        <w:rPr>
          <w:spacing w:val="-11"/>
          <w:sz w:val="24"/>
        </w:rPr>
        <w:t> </w:t>
      </w:r>
      <w:r>
        <w:rPr>
          <w:sz w:val="24"/>
        </w:rPr>
        <w:t>nº</w:t>
      </w:r>
      <w:r>
        <w:rPr>
          <w:spacing w:val="-10"/>
          <w:sz w:val="24"/>
        </w:rPr>
        <w:t> </w:t>
      </w:r>
      <w:r>
        <w:rPr>
          <w:sz w:val="24"/>
        </w:rPr>
        <w:t>84,</w:t>
      </w:r>
      <w:r>
        <w:rPr>
          <w:spacing w:val="-10"/>
          <w:sz w:val="24"/>
        </w:rPr>
        <w:t> </w:t>
      </w:r>
      <w:r>
        <w:rPr>
          <w:sz w:val="24"/>
        </w:rPr>
        <w:t>de</w:t>
      </w:r>
      <w:r>
        <w:rPr>
          <w:spacing w:val="-11"/>
          <w:sz w:val="24"/>
        </w:rPr>
        <w:t> </w:t>
      </w:r>
      <w:r>
        <w:rPr>
          <w:sz w:val="24"/>
        </w:rPr>
        <w:t>22</w:t>
      </w:r>
      <w:r>
        <w:rPr>
          <w:spacing w:val="-11"/>
          <w:sz w:val="24"/>
        </w:rPr>
        <w:t> </w:t>
      </w:r>
      <w:r>
        <w:rPr>
          <w:sz w:val="24"/>
        </w:rPr>
        <w:t>de</w:t>
      </w:r>
      <w:r>
        <w:rPr>
          <w:spacing w:val="-8"/>
          <w:sz w:val="24"/>
        </w:rPr>
        <w:t> </w:t>
      </w:r>
      <w:r>
        <w:rPr>
          <w:spacing w:val="-3"/>
          <w:sz w:val="24"/>
        </w:rPr>
        <w:t>abril</w:t>
      </w:r>
      <w:r>
        <w:rPr>
          <w:spacing w:val="-9"/>
          <w:sz w:val="24"/>
        </w:rPr>
        <w:t> </w:t>
      </w:r>
      <w:r>
        <w:rPr>
          <w:sz w:val="24"/>
        </w:rPr>
        <w:t>de</w:t>
      </w:r>
      <w:r>
        <w:rPr>
          <w:spacing w:val="-12"/>
          <w:sz w:val="24"/>
        </w:rPr>
        <w:t> </w:t>
      </w:r>
      <w:r>
        <w:rPr>
          <w:spacing w:val="-3"/>
          <w:sz w:val="24"/>
        </w:rPr>
        <w:t>2020,</w:t>
      </w:r>
      <w:r>
        <w:rPr>
          <w:spacing w:val="-10"/>
          <w:sz w:val="24"/>
        </w:rPr>
        <w:t> </w:t>
      </w:r>
      <w:r>
        <w:rPr>
          <w:sz w:val="24"/>
        </w:rPr>
        <w:t>para </w:t>
      </w:r>
      <w:r>
        <w:rPr>
          <w:spacing w:val="-3"/>
          <w:sz w:val="24"/>
        </w:rPr>
        <w:t>realização anual </w:t>
      </w:r>
      <w:r>
        <w:rPr>
          <w:sz w:val="24"/>
        </w:rPr>
        <w:t>de </w:t>
      </w:r>
      <w:r>
        <w:rPr>
          <w:spacing w:val="-3"/>
          <w:sz w:val="24"/>
        </w:rPr>
        <w:t>auditoria financeira </w:t>
      </w:r>
      <w:r>
        <w:rPr>
          <w:sz w:val="24"/>
        </w:rPr>
        <w:t>integrada </w:t>
      </w:r>
      <w:r>
        <w:rPr>
          <w:spacing w:val="-3"/>
          <w:sz w:val="24"/>
        </w:rPr>
        <w:t>com conformidade, </w:t>
      </w:r>
      <w:r>
        <w:rPr>
          <w:sz w:val="24"/>
        </w:rPr>
        <w:t>a fim de proceder à </w:t>
      </w:r>
      <w:r>
        <w:rPr>
          <w:spacing w:val="-3"/>
          <w:sz w:val="24"/>
        </w:rPr>
        <w:t>certificação nas contas, </w:t>
      </w:r>
      <w:r>
        <w:rPr>
          <w:sz w:val="24"/>
        </w:rPr>
        <w:t>nos termos do </w:t>
      </w:r>
      <w:r>
        <w:rPr>
          <w:spacing w:val="-3"/>
          <w:sz w:val="24"/>
        </w:rPr>
        <w:t>art. </w:t>
      </w:r>
      <w:r>
        <w:rPr>
          <w:sz w:val="24"/>
        </w:rPr>
        <w:t>14, inciso I e </w:t>
      </w:r>
      <w:r>
        <w:rPr>
          <w:spacing w:val="-3"/>
          <w:sz w:val="24"/>
        </w:rPr>
        <w:t>II, </w:t>
      </w:r>
      <w:r>
        <w:rPr>
          <w:sz w:val="24"/>
        </w:rPr>
        <w:t>do </w:t>
      </w:r>
      <w:r>
        <w:rPr>
          <w:spacing w:val="-3"/>
          <w:sz w:val="24"/>
        </w:rPr>
        <w:t>referido</w:t>
      </w:r>
      <w:r>
        <w:rPr>
          <w:spacing w:val="-43"/>
          <w:sz w:val="24"/>
        </w:rPr>
        <w:t> </w:t>
      </w:r>
      <w:r>
        <w:rPr>
          <w:spacing w:val="-3"/>
          <w:sz w:val="24"/>
        </w:rPr>
        <w:t>normativo.</w:t>
      </w:r>
    </w:p>
    <w:p>
      <w:pPr>
        <w:pStyle w:val="ListParagraph"/>
        <w:numPr>
          <w:ilvl w:val="0"/>
          <w:numId w:val="2"/>
        </w:numPr>
        <w:tabs>
          <w:tab w:pos="547" w:val="left" w:leader="none"/>
        </w:tabs>
        <w:spacing w:line="240" w:lineRule="auto" w:before="0" w:after="0"/>
        <w:ind w:left="546" w:right="368" w:hanging="428"/>
        <w:jc w:val="both"/>
        <w:rPr>
          <w:sz w:val="24"/>
        </w:rPr>
      </w:pPr>
      <w:r>
        <w:rPr>
          <w:spacing w:val="-3"/>
          <w:sz w:val="24"/>
        </w:rPr>
        <w:t>Cumpre registrar </w:t>
      </w:r>
      <w:r>
        <w:rPr>
          <w:sz w:val="24"/>
        </w:rPr>
        <w:t>que, em </w:t>
      </w:r>
      <w:r>
        <w:rPr>
          <w:spacing w:val="-3"/>
          <w:sz w:val="24"/>
        </w:rPr>
        <w:t>função </w:t>
      </w:r>
      <w:r>
        <w:rPr>
          <w:sz w:val="24"/>
        </w:rPr>
        <w:t>da </w:t>
      </w:r>
      <w:r>
        <w:rPr>
          <w:spacing w:val="-3"/>
          <w:sz w:val="24"/>
        </w:rPr>
        <w:t>pandemia, </w:t>
      </w:r>
      <w:r>
        <w:rPr>
          <w:sz w:val="24"/>
        </w:rPr>
        <w:t>houve o </w:t>
      </w:r>
      <w:r>
        <w:rPr>
          <w:spacing w:val="-3"/>
          <w:sz w:val="24"/>
        </w:rPr>
        <w:t>cancelamento </w:t>
      </w:r>
      <w:r>
        <w:rPr>
          <w:sz w:val="24"/>
        </w:rPr>
        <w:t>da ação </w:t>
      </w:r>
      <w:r>
        <w:rPr>
          <w:spacing w:val="-3"/>
          <w:sz w:val="24"/>
        </w:rPr>
        <w:t>coordenada </w:t>
      </w:r>
      <w:r>
        <w:rPr>
          <w:sz w:val="24"/>
        </w:rPr>
        <w:t>em </w:t>
      </w:r>
      <w:r>
        <w:rPr>
          <w:spacing w:val="-3"/>
          <w:sz w:val="24"/>
        </w:rPr>
        <w:t>Acessibilidade, </w:t>
      </w:r>
      <w:r>
        <w:rPr>
          <w:sz w:val="24"/>
        </w:rPr>
        <w:t>comunicada pela Secretaria de </w:t>
      </w:r>
      <w:r>
        <w:rPr>
          <w:spacing w:val="-3"/>
          <w:sz w:val="24"/>
        </w:rPr>
        <w:t>Auditoria </w:t>
      </w:r>
      <w:r>
        <w:rPr>
          <w:sz w:val="24"/>
        </w:rPr>
        <w:t>Interna do CNJ, e a </w:t>
      </w:r>
      <w:r>
        <w:rPr>
          <w:spacing w:val="-3"/>
          <w:sz w:val="24"/>
        </w:rPr>
        <w:t>prorrogação </w:t>
      </w:r>
      <w:r>
        <w:rPr>
          <w:sz w:val="24"/>
        </w:rPr>
        <w:t>do </w:t>
      </w:r>
      <w:r>
        <w:rPr>
          <w:spacing w:val="-3"/>
          <w:sz w:val="24"/>
        </w:rPr>
        <w:t>período</w:t>
      </w:r>
      <w:r>
        <w:rPr>
          <w:spacing w:val="-14"/>
          <w:sz w:val="24"/>
        </w:rPr>
        <w:t> </w:t>
      </w:r>
      <w:r>
        <w:rPr>
          <w:sz w:val="24"/>
        </w:rPr>
        <w:t>de</w:t>
      </w:r>
      <w:r>
        <w:rPr>
          <w:spacing w:val="-12"/>
          <w:sz w:val="24"/>
        </w:rPr>
        <w:t> </w:t>
      </w:r>
      <w:r>
        <w:rPr>
          <w:spacing w:val="-3"/>
          <w:sz w:val="24"/>
        </w:rPr>
        <w:t>execução</w:t>
      </w:r>
      <w:r>
        <w:rPr>
          <w:spacing w:val="-11"/>
          <w:sz w:val="24"/>
        </w:rPr>
        <w:t> </w:t>
      </w:r>
      <w:r>
        <w:rPr>
          <w:sz w:val="24"/>
        </w:rPr>
        <w:t>da</w:t>
      </w:r>
      <w:r>
        <w:rPr>
          <w:spacing w:val="-12"/>
          <w:sz w:val="24"/>
        </w:rPr>
        <w:t> </w:t>
      </w:r>
      <w:r>
        <w:rPr>
          <w:spacing w:val="-3"/>
          <w:sz w:val="24"/>
        </w:rPr>
        <w:t>auditoria</w:t>
      </w:r>
      <w:r>
        <w:rPr>
          <w:spacing w:val="-12"/>
          <w:sz w:val="24"/>
        </w:rPr>
        <w:t> </w:t>
      </w:r>
      <w:r>
        <w:rPr>
          <w:sz w:val="24"/>
        </w:rPr>
        <w:t>integrada</w:t>
      </w:r>
      <w:r>
        <w:rPr>
          <w:spacing w:val="-15"/>
          <w:sz w:val="24"/>
        </w:rPr>
        <w:t> </w:t>
      </w:r>
      <w:r>
        <w:rPr>
          <w:sz w:val="24"/>
        </w:rPr>
        <w:t>TRE´s/TSE</w:t>
      </w:r>
      <w:r>
        <w:rPr>
          <w:spacing w:val="-14"/>
          <w:sz w:val="24"/>
        </w:rPr>
        <w:t> </w:t>
      </w:r>
      <w:r>
        <w:rPr>
          <w:sz w:val="24"/>
        </w:rPr>
        <w:t>no</w:t>
      </w:r>
      <w:r>
        <w:rPr>
          <w:spacing w:val="-11"/>
          <w:sz w:val="24"/>
        </w:rPr>
        <w:t> </w:t>
      </w:r>
      <w:r>
        <w:rPr>
          <w:spacing w:val="-3"/>
          <w:sz w:val="24"/>
        </w:rPr>
        <w:t>processo</w:t>
      </w:r>
      <w:r>
        <w:rPr>
          <w:spacing w:val="-11"/>
          <w:sz w:val="24"/>
        </w:rPr>
        <w:t> </w:t>
      </w:r>
      <w:r>
        <w:rPr>
          <w:sz w:val="24"/>
        </w:rPr>
        <w:t>de</w:t>
      </w:r>
      <w:r>
        <w:rPr>
          <w:spacing w:val="-14"/>
          <w:sz w:val="24"/>
        </w:rPr>
        <w:t> </w:t>
      </w:r>
      <w:r>
        <w:rPr>
          <w:spacing w:val="-3"/>
          <w:sz w:val="24"/>
        </w:rPr>
        <w:t>gerenciamento</w:t>
      </w:r>
      <w:r>
        <w:rPr>
          <w:spacing w:val="-12"/>
          <w:sz w:val="24"/>
        </w:rPr>
        <w:t> </w:t>
      </w:r>
      <w:r>
        <w:rPr>
          <w:sz w:val="24"/>
        </w:rPr>
        <w:t>de</w:t>
      </w:r>
      <w:r>
        <w:rPr>
          <w:spacing w:val="-12"/>
          <w:sz w:val="24"/>
        </w:rPr>
        <w:t> </w:t>
      </w:r>
      <w:r>
        <w:rPr>
          <w:sz w:val="24"/>
        </w:rPr>
        <w:t>ativos de TIC (SEI nº </w:t>
      </w:r>
      <w:r>
        <w:rPr>
          <w:spacing w:val="-3"/>
          <w:sz w:val="24"/>
        </w:rPr>
        <w:t>0092286-11.2020.6.05.8000 </w:t>
      </w:r>
      <w:r>
        <w:rPr>
          <w:sz w:val="24"/>
        </w:rPr>
        <w:t>e SEI nº </w:t>
      </w:r>
      <w:r>
        <w:rPr>
          <w:spacing w:val="-3"/>
          <w:sz w:val="24"/>
        </w:rPr>
        <w:t>0047815-07.2020.6.05.8000, respectivamente).</w:t>
      </w:r>
    </w:p>
    <w:p>
      <w:pPr>
        <w:pStyle w:val="ListParagraph"/>
        <w:numPr>
          <w:ilvl w:val="0"/>
          <w:numId w:val="2"/>
        </w:numPr>
        <w:tabs>
          <w:tab w:pos="547" w:val="left" w:leader="none"/>
        </w:tabs>
        <w:spacing w:line="240" w:lineRule="auto" w:before="1" w:after="0"/>
        <w:ind w:left="546" w:right="371" w:hanging="428"/>
        <w:jc w:val="both"/>
        <w:rPr>
          <w:sz w:val="24"/>
        </w:rPr>
      </w:pPr>
      <w:r>
        <w:rPr>
          <w:spacing w:val="-3"/>
          <w:sz w:val="24"/>
        </w:rPr>
        <w:t>Espera-se </w:t>
      </w:r>
      <w:r>
        <w:rPr>
          <w:sz w:val="24"/>
        </w:rPr>
        <w:t>que os resultados </w:t>
      </w:r>
      <w:r>
        <w:rPr>
          <w:spacing w:val="-3"/>
          <w:sz w:val="24"/>
        </w:rPr>
        <w:t>advindos </w:t>
      </w:r>
      <w:r>
        <w:rPr>
          <w:sz w:val="24"/>
        </w:rPr>
        <w:t>das </w:t>
      </w:r>
      <w:r>
        <w:rPr>
          <w:spacing w:val="-3"/>
          <w:sz w:val="24"/>
        </w:rPr>
        <w:t>ações elencadas </w:t>
      </w:r>
      <w:r>
        <w:rPr>
          <w:sz w:val="24"/>
        </w:rPr>
        <w:t>neste </w:t>
      </w:r>
      <w:r>
        <w:rPr>
          <w:spacing w:val="-3"/>
          <w:sz w:val="24"/>
        </w:rPr>
        <w:t>planejamento adicionem </w:t>
      </w:r>
      <w:r>
        <w:rPr>
          <w:sz w:val="24"/>
        </w:rPr>
        <w:t>valor à gestão deste Regional, </w:t>
      </w:r>
      <w:r>
        <w:rPr>
          <w:spacing w:val="-3"/>
          <w:sz w:val="24"/>
        </w:rPr>
        <w:t>contribuindo </w:t>
      </w:r>
      <w:r>
        <w:rPr>
          <w:sz w:val="24"/>
        </w:rPr>
        <w:t>para a melhoria dos processos de trabalho </w:t>
      </w:r>
      <w:r>
        <w:rPr>
          <w:spacing w:val="-3"/>
          <w:sz w:val="24"/>
        </w:rPr>
        <w:t>organizacionais, </w:t>
      </w:r>
      <w:r>
        <w:rPr>
          <w:sz w:val="24"/>
        </w:rPr>
        <w:t>por meio do </w:t>
      </w:r>
      <w:r>
        <w:rPr>
          <w:spacing w:val="-3"/>
          <w:sz w:val="24"/>
        </w:rPr>
        <w:t>fortalecimento </w:t>
      </w:r>
      <w:r>
        <w:rPr>
          <w:sz w:val="24"/>
        </w:rPr>
        <w:t>dos </w:t>
      </w:r>
      <w:r>
        <w:rPr>
          <w:spacing w:val="-3"/>
          <w:sz w:val="24"/>
        </w:rPr>
        <w:t>controles </w:t>
      </w:r>
      <w:r>
        <w:rPr>
          <w:sz w:val="24"/>
        </w:rPr>
        <w:t>internos </w:t>
      </w:r>
      <w:r>
        <w:rPr>
          <w:spacing w:val="-3"/>
          <w:sz w:val="24"/>
        </w:rPr>
        <w:t>administrativos </w:t>
      </w:r>
      <w:r>
        <w:rPr>
          <w:sz w:val="24"/>
        </w:rPr>
        <w:t>e </w:t>
      </w:r>
      <w:r>
        <w:rPr>
          <w:spacing w:val="-3"/>
          <w:sz w:val="24"/>
        </w:rPr>
        <w:t>consequente mitigação </w:t>
      </w:r>
      <w:r>
        <w:rPr>
          <w:sz w:val="24"/>
        </w:rPr>
        <w:t>dos </w:t>
      </w:r>
      <w:r>
        <w:rPr>
          <w:spacing w:val="-3"/>
          <w:sz w:val="24"/>
        </w:rPr>
        <w:t>riscos associados, </w:t>
      </w:r>
      <w:r>
        <w:rPr>
          <w:sz w:val="24"/>
        </w:rPr>
        <w:t>bem </w:t>
      </w:r>
      <w:r>
        <w:rPr>
          <w:spacing w:val="-3"/>
          <w:sz w:val="24"/>
        </w:rPr>
        <w:t>como </w:t>
      </w:r>
      <w:r>
        <w:rPr>
          <w:sz w:val="24"/>
        </w:rPr>
        <w:t>do </w:t>
      </w:r>
      <w:r>
        <w:rPr>
          <w:spacing w:val="-3"/>
          <w:sz w:val="24"/>
        </w:rPr>
        <w:t>aperfeiçoamento </w:t>
      </w:r>
      <w:r>
        <w:rPr>
          <w:sz w:val="24"/>
        </w:rPr>
        <w:t>de </w:t>
      </w:r>
      <w:r>
        <w:rPr>
          <w:spacing w:val="-3"/>
          <w:sz w:val="24"/>
        </w:rPr>
        <w:t>aspectos relacionados </w:t>
      </w:r>
      <w:r>
        <w:rPr>
          <w:sz w:val="24"/>
        </w:rPr>
        <w:t>à eficiência, eficácia, </w:t>
      </w:r>
      <w:r>
        <w:rPr>
          <w:spacing w:val="-3"/>
          <w:sz w:val="24"/>
        </w:rPr>
        <w:t>efetividade, economicidade </w:t>
      </w:r>
      <w:r>
        <w:rPr>
          <w:sz w:val="24"/>
        </w:rPr>
        <w:t>e </w:t>
      </w:r>
      <w:r>
        <w:rPr>
          <w:spacing w:val="-3"/>
          <w:sz w:val="24"/>
        </w:rPr>
        <w:t>transparência </w:t>
      </w:r>
      <w:r>
        <w:rPr>
          <w:sz w:val="24"/>
        </w:rPr>
        <w:t>dos </w:t>
      </w:r>
      <w:r>
        <w:rPr>
          <w:spacing w:val="-3"/>
          <w:sz w:val="24"/>
        </w:rPr>
        <w:t>atos </w:t>
      </w:r>
      <w:r>
        <w:rPr>
          <w:sz w:val="24"/>
        </w:rPr>
        <w:t>de </w:t>
      </w:r>
      <w:r>
        <w:rPr>
          <w:spacing w:val="-3"/>
          <w:sz w:val="24"/>
        </w:rPr>
        <w:t>gestão.</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1"/>
        </w:rPr>
      </w:pPr>
    </w:p>
    <w:p>
      <w:pPr>
        <w:pStyle w:val="BodyText"/>
        <w:spacing w:before="1"/>
        <w:ind w:right="369"/>
        <w:jc w:val="right"/>
        <w:rPr>
          <w:rFonts w:ascii="Arial"/>
        </w:rPr>
      </w:pPr>
      <w:r>
        <w:rPr>
          <w:rFonts w:ascii="Arial"/>
          <w:w w:val="99"/>
        </w:rPr>
        <w:t>4</w:t>
      </w:r>
    </w:p>
    <w:p>
      <w:pPr>
        <w:spacing w:after="0"/>
        <w:jc w:val="right"/>
        <w:rPr>
          <w:rFonts w:ascii="Arial"/>
        </w:rPr>
        <w:sectPr>
          <w:pgSz w:w="11910" w:h="16840"/>
          <w:pgMar w:top="560" w:bottom="280" w:left="1300" w:right="760"/>
        </w:sectPr>
      </w:pPr>
    </w:p>
    <w:p>
      <w:pPr>
        <w:spacing w:before="79"/>
        <w:ind w:left="1803" w:right="2060" w:firstLine="0"/>
        <w:jc w:val="center"/>
        <w:rPr>
          <w:b/>
          <w:sz w:val="24"/>
        </w:rPr>
      </w:pPr>
      <w:r>
        <w:rPr>
          <w:b/>
          <w:sz w:val="24"/>
        </w:rPr>
        <w:t>PLANO ANUAL DE AUDITORIA INTERNA - PAA2020</w:t>
      </w:r>
    </w:p>
    <w:p>
      <w:pPr>
        <w:pStyle w:val="BodyText"/>
        <w:rPr>
          <w:b/>
          <w:sz w:val="26"/>
        </w:rPr>
      </w:pPr>
    </w:p>
    <w:p>
      <w:pPr>
        <w:pStyle w:val="Heading1"/>
        <w:numPr>
          <w:ilvl w:val="0"/>
          <w:numId w:val="3"/>
        </w:numPr>
        <w:tabs>
          <w:tab w:pos="477" w:val="left" w:leader="none"/>
        </w:tabs>
        <w:spacing w:line="240" w:lineRule="auto" w:before="217" w:after="0"/>
        <w:ind w:left="476" w:right="0" w:hanging="359"/>
        <w:jc w:val="left"/>
      </w:pPr>
      <w:bookmarkStart w:name="_bookmark1" w:id="2"/>
      <w:bookmarkEnd w:id="2"/>
      <w:r>
        <w:rPr>
          <w:b w:val="0"/>
        </w:rPr>
      </w:r>
      <w:bookmarkStart w:name="_bookmark1" w:id="3"/>
      <w:bookmarkEnd w:id="3"/>
      <w:r>
        <w:rPr/>
        <w:t>INTRODU</w:t>
      </w:r>
      <w:r>
        <w:rPr/>
        <w:t>ÇÃO</w:t>
      </w:r>
    </w:p>
    <w:p>
      <w:pPr>
        <w:pStyle w:val="ListParagraph"/>
        <w:numPr>
          <w:ilvl w:val="1"/>
          <w:numId w:val="3"/>
        </w:numPr>
        <w:tabs>
          <w:tab w:pos="686" w:val="left" w:leader="none"/>
        </w:tabs>
        <w:spacing w:line="240" w:lineRule="auto" w:before="120" w:after="0"/>
        <w:ind w:left="685" w:right="373" w:hanging="567"/>
        <w:jc w:val="both"/>
        <w:rPr>
          <w:sz w:val="24"/>
        </w:rPr>
      </w:pPr>
      <w:r>
        <w:rPr>
          <w:sz w:val="24"/>
        </w:rPr>
        <w:t>Com o advento da Instrução Normativa do TCU nº 84, de 22 de abril de 2020, a Corte de Contas atualizou a disciplina de prestação de contas das unidades prestadores de contas na esfera</w:t>
      </w:r>
      <w:r>
        <w:rPr>
          <w:spacing w:val="-8"/>
          <w:sz w:val="24"/>
        </w:rPr>
        <w:t> </w:t>
      </w:r>
      <w:r>
        <w:rPr>
          <w:sz w:val="24"/>
        </w:rPr>
        <w:t>federal.</w:t>
      </w:r>
      <w:r>
        <w:rPr>
          <w:spacing w:val="-6"/>
          <w:sz w:val="24"/>
        </w:rPr>
        <w:t> </w:t>
      </w:r>
      <w:r>
        <w:rPr>
          <w:sz w:val="24"/>
        </w:rPr>
        <w:t>Ao</w:t>
      </w:r>
      <w:r>
        <w:rPr>
          <w:spacing w:val="-7"/>
          <w:sz w:val="24"/>
        </w:rPr>
        <w:t> </w:t>
      </w:r>
      <w:r>
        <w:rPr>
          <w:sz w:val="24"/>
        </w:rPr>
        <w:t>lado</w:t>
      </w:r>
      <w:r>
        <w:rPr>
          <w:spacing w:val="-7"/>
          <w:sz w:val="24"/>
        </w:rPr>
        <w:t> </w:t>
      </w:r>
      <w:r>
        <w:rPr>
          <w:sz w:val="24"/>
        </w:rPr>
        <w:t>dessa</w:t>
      </w:r>
      <w:r>
        <w:rPr>
          <w:spacing w:val="-7"/>
          <w:sz w:val="24"/>
        </w:rPr>
        <w:t> </w:t>
      </w:r>
      <w:r>
        <w:rPr>
          <w:sz w:val="24"/>
        </w:rPr>
        <w:t>inovação,</w:t>
      </w:r>
      <w:r>
        <w:rPr>
          <w:spacing w:val="-6"/>
          <w:sz w:val="24"/>
        </w:rPr>
        <w:t> </w:t>
      </w:r>
      <w:r>
        <w:rPr>
          <w:sz w:val="24"/>
        </w:rPr>
        <w:t>disciplinou,</w:t>
      </w:r>
      <w:r>
        <w:rPr>
          <w:spacing w:val="-6"/>
          <w:sz w:val="24"/>
        </w:rPr>
        <w:t> </w:t>
      </w:r>
      <w:r>
        <w:rPr>
          <w:sz w:val="24"/>
        </w:rPr>
        <w:t>nos</w:t>
      </w:r>
      <w:r>
        <w:rPr>
          <w:spacing w:val="-6"/>
          <w:sz w:val="24"/>
        </w:rPr>
        <w:t> </w:t>
      </w:r>
      <w:r>
        <w:rPr>
          <w:sz w:val="24"/>
        </w:rPr>
        <w:t>artigos</w:t>
      </w:r>
      <w:r>
        <w:rPr>
          <w:spacing w:val="-6"/>
          <w:sz w:val="24"/>
        </w:rPr>
        <w:t> </w:t>
      </w:r>
      <w:r>
        <w:rPr>
          <w:sz w:val="24"/>
        </w:rPr>
        <w:t>12</w:t>
      </w:r>
      <w:r>
        <w:rPr>
          <w:spacing w:val="-6"/>
          <w:sz w:val="24"/>
        </w:rPr>
        <w:t> </w:t>
      </w:r>
      <w:r>
        <w:rPr>
          <w:sz w:val="24"/>
        </w:rPr>
        <w:t>e</w:t>
      </w:r>
      <w:r>
        <w:rPr>
          <w:spacing w:val="-7"/>
          <w:sz w:val="24"/>
        </w:rPr>
        <w:t> </w:t>
      </w:r>
      <w:r>
        <w:rPr>
          <w:sz w:val="24"/>
        </w:rPr>
        <w:t>seguintes,</w:t>
      </w:r>
      <w:r>
        <w:rPr>
          <w:spacing w:val="-6"/>
          <w:sz w:val="24"/>
        </w:rPr>
        <w:t> </w:t>
      </w:r>
      <w:r>
        <w:rPr>
          <w:sz w:val="24"/>
        </w:rPr>
        <w:t>a</w:t>
      </w:r>
      <w:r>
        <w:rPr>
          <w:spacing w:val="-7"/>
          <w:sz w:val="24"/>
        </w:rPr>
        <w:t> </w:t>
      </w:r>
      <w:r>
        <w:rPr>
          <w:sz w:val="24"/>
        </w:rPr>
        <w:t>atuação</w:t>
      </w:r>
      <w:r>
        <w:rPr>
          <w:spacing w:val="-6"/>
          <w:sz w:val="24"/>
        </w:rPr>
        <w:t> </w:t>
      </w:r>
      <w:r>
        <w:rPr>
          <w:sz w:val="24"/>
        </w:rPr>
        <w:t>das unidades de auditoria interna que deverá abranger a avaliação do cumprimento de prestar contas;</w:t>
      </w:r>
      <w:r>
        <w:rPr>
          <w:spacing w:val="-13"/>
          <w:sz w:val="24"/>
        </w:rPr>
        <w:t> </w:t>
      </w:r>
      <w:r>
        <w:rPr>
          <w:sz w:val="24"/>
        </w:rPr>
        <w:t>a</w:t>
      </w:r>
      <w:r>
        <w:rPr>
          <w:spacing w:val="-14"/>
          <w:sz w:val="24"/>
        </w:rPr>
        <w:t> </w:t>
      </w:r>
      <w:r>
        <w:rPr>
          <w:sz w:val="24"/>
        </w:rPr>
        <w:t>certificação,</w:t>
      </w:r>
      <w:r>
        <w:rPr>
          <w:spacing w:val="-13"/>
          <w:sz w:val="24"/>
        </w:rPr>
        <w:t> </w:t>
      </w:r>
      <w:r>
        <w:rPr>
          <w:sz w:val="24"/>
        </w:rPr>
        <w:t>mediante</w:t>
      </w:r>
      <w:r>
        <w:rPr>
          <w:spacing w:val="-14"/>
          <w:sz w:val="24"/>
        </w:rPr>
        <w:t> </w:t>
      </w:r>
      <w:r>
        <w:rPr>
          <w:sz w:val="24"/>
        </w:rPr>
        <w:t>auditoria</w:t>
      </w:r>
      <w:r>
        <w:rPr>
          <w:spacing w:val="-14"/>
          <w:sz w:val="24"/>
        </w:rPr>
        <w:t> </w:t>
      </w:r>
      <w:r>
        <w:rPr>
          <w:sz w:val="24"/>
        </w:rPr>
        <w:t>integrada</w:t>
      </w:r>
      <w:r>
        <w:rPr>
          <w:spacing w:val="-12"/>
          <w:sz w:val="24"/>
        </w:rPr>
        <w:t> </w:t>
      </w:r>
      <w:r>
        <w:rPr>
          <w:sz w:val="24"/>
        </w:rPr>
        <w:t>financeira</w:t>
      </w:r>
      <w:r>
        <w:rPr>
          <w:spacing w:val="-14"/>
          <w:sz w:val="24"/>
        </w:rPr>
        <w:t> </w:t>
      </w:r>
      <w:r>
        <w:rPr>
          <w:sz w:val="24"/>
        </w:rPr>
        <w:t>e</w:t>
      </w:r>
      <w:r>
        <w:rPr>
          <w:spacing w:val="-14"/>
          <w:sz w:val="24"/>
        </w:rPr>
        <w:t> </w:t>
      </w:r>
      <w:r>
        <w:rPr>
          <w:sz w:val="24"/>
        </w:rPr>
        <w:t>de</w:t>
      </w:r>
      <w:r>
        <w:rPr>
          <w:spacing w:val="-14"/>
          <w:sz w:val="24"/>
        </w:rPr>
        <w:t> </w:t>
      </w:r>
      <w:r>
        <w:rPr>
          <w:sz w:val="24"/>
        </w:rPr>
        <w:t>conformidade,</w:t>
      </w:r>
      <w:r>
        <w:rPr>
          <w:spacing w:val="-12"/>
          <w:sz w:val="24"/>
        </w:rPr>
        <w:t> </w:t>
      </w:r>
      <w:r>
        <w:rPr>
          <w:sz w:val="24"/>
        </w:rPr>
        <w:t>nos</w:t>
      </w:r>
      <w:r>
        <w:rPr>
          <w:spacing w:val="-13"/>
          <w:sz w:val="24"/>
        </w:rPr>
        <w:t> </w:t>
      </w:r>
      <w:r>
        <w:rPr>
          <w:sz w:val="24"/>
        </w:rPr>
        <w:t>termos do artigo 12 e os demais trabalhos de avaliação e de outras naturezas.</w:t>
      </w:r>
    </w:p>
    <w:p>
      <w:pPr>
        <w:pStyle w:val="ListParagraph"/>
        <w:numPr>
          <w:ilvl w:val="1"/>
          <w:numId w:val="3"/>
        </w:numPr>
        <w:tabs>
          <w:tab w:pos="686" w:val="left" w:leader="none"/>
        </w:tabs>
        <w:spacing w:line="240" w:lineRule="auto" w:before="0" w:after="0"/>
        <w:ind w:left="685" w:right="372" w:hanging="567"/>
        <w:jc w:val="both"/>
        <w:rPr>
          <w:sz w:val="24"/>
        </w:rPr>
      </w:pPr>
      <w:r>
        <w:rPr>
          <w:sz w:val="24"/>
        </w:rPr>
        <w:t>Nesse contexto, as unidades de auditoria interna devem inserir nos seus planos anuais de atividades, a auditoria financeira integrada com conformidade ao lado dos demais trabalhos de avaliação, inclusive os determinados pelo Tribunal Superior Eleitoral previstos na Res. TSE</w:t>
      </w:r>
      <w:r>
        <w:rPr>
          <w:spacing w:val="-2"/>
          <w:sz w:val="24"/>
        </w:rPr>
        <w:t> </w:t>
      </w:r>
      <w:r>
        <w:rPr>
          <w:sz w:val="24"/>
        </w:rPr>
        <w:t>nº</w:t>
      </w:r>
      <w:r>
        <w:rPr>
          <w:spacing w:val="-4"/>
          <w:sz w:val="24"/>
        </w:rPr>
        <w:t> </w:t>
      </w:r>
      <w:r>
        <w:rPr>
          <w:spacing w:val="-3"/>
          <w:sz w:val="24"/>
        </w:rPr>
        <w:t>23.500/2016</w:t>
      </w:r>
      <w:r>
        <w:rPr>
          <w:spacing w:val="-6"/>
          <w:sz w:val="24"/>
        </w:rPr>
        <w:t> </w:t>
      </w:r>
      <w:r>
        <w:rPr>
          <w:sz w:val="24"/>
        </w:rPr>
        <w:t>ou</w:t>
      </w:r>
      <w:r>
        <w:rPr>
          <w:spacing w:val="-6"/>
          <w:sz w:val="24"/>
        </w:rPr>
        <w:t> </w:t>
      </w:r>
      <w:r>
        <w:rPr>
          <w:sz w:val="24"/>
        </w:rPr>
        <w:t>pelo</w:t>
      </w:r>
      <w:r>
        <w:rPr>
          <w:spacing w:val="-6"/>
          <w:sz w:val="24"/>
        </w:rPr>
        <w:t> </w:t>
      </w:r>
      <w:r>
        <w:rPr>
          <w:spacing w:val="-3"/>
          <w:sz w:val="24"/>
        </w:rPr>
        <w:t>Conselho</w:t>
      </w:r>
      <w:r>
        <w:rPr>
          <w:spacing w:val="-4"/>
          <w:sz w:val="24"/>
        </w:rPr>
        <w:t> </w:t>
      </w:r>
      <w:r>
        <w:rPr>
          <w:spacing w:val="-3"/>
          <w:sz w:val="24"/>
        </w:rPr>
        <w:t>Nacional</w:t>
      </w:r>
      <w:r>
        <w:rPr>
          <w:spacing w:val="-4"/>
          <w:sz w:val="24"/>
        </w:rPr>
        <w:t> </w:t>
      </w:r>
      <w:r>
        <w:rPr>
          <w:sz w:val="24"/>
        </w:rPr>
        <w:t>de</w:t>
      </w:r>
      <w:r>
        <w:rPr>
          <w:spacing w:val="-5"/>
          <w:sz w:val="24"/>
        </w:rPr>
        <w:t> </w:t>
      </w:r>
      <w:r>
        <w:rPr>
          <w:sz w:val="24"/>
        </w:rPr>
        <w:t>Justiça</w:t>
      </w:r>
      <w:r>
        <w:rPr>
          <w:spacing w:val="-7"/>
          <w:sz w:val="24"/>
        </w:rPr>
        <w:t> </w:t>
      </w:r>
      <w:r>
        <w:rPr>
          <w:sz w:val="24"/>
        </w:rPr>
        <w:t>para</w:t>
      </w:r>
      <w:r>
        <w:rPr>
          <w:spacing w:val="-5"/>
          <w:sz w:val="24"/>
        </w:rPr>
        <w:t> </w:t>
      </w:r>
      <w:r>
        <w:rPr>
          <w:sz w:val="24"/>
        </w:rPr>
        <w:t>todo</w:t>
      </w:r>
      <w:r>
        <w:rPr>
          <w:spacing w:val="-6"/>
          <w:sz w:val="24"/>
        </w:rPr>
        <w:t> </w:t>
      </w:r>
      <w:r>
        <w:rPr>
          <w:sz w:val="24"/>
        </w:rPr>
        <w:t>o</w:t>
      </w:r>
      <w:r>
        <w:rPr>
          <w:spacing w:val="-4"/>
          <w:sz w:val="24"/>
        </w:rPr>
        <w:t> </w:t>
      </w:r>
      <w:r>
        <w:rPr>
          <w:sz w:val="24"/>
        </w:rPr>
        <w:t>Poder</w:t>
      </w:r>
      <w:r>
        <w:rPr>
          <w:spacing w:val="-6"/>
          <w:sz w:val="24"/>
        </w:rPr>
        <w:t> </w:t>
      </w:r>
      <w:r>
        <w:rPr>
          <w:spacing w:val="-3"/>
          <w:sz w:val="24"/>
        </w:rPr>
        <w:t>Judiciário.</w:t>
      </w:r>
    </w:p>
    <w:p>
      <w:pPr>
        <w:pStyle w:val="ListParagraph"/>
        <w:numPr>
          <w:ilvl w:val="1"/>
          <w:numId w:val="3"/>
        </w:numPr>
        <w:tabs>
          <w:tab w:pos="743" w:val="left" w:leader="none"/>
        </w:tabs>
        <w:spacing w:line="240" w:lineRule="auto" w:before="1" w:after="0"/>
        <w:ind w:left="685" w:right="371" w:hanging="567"/>
        <w:jc w:val="both"/>
        <w:rPr>
          <w:color w:val="162937"/>
          <w:sz w:val="24"/>
        </w:rPr>
      </w:pPr>
      <w:r>
        <w:rPr/>
        <w:tab/>
      </w:r>
      <w:r>
        <w:rPr>
          <w:sz w:val="24"/>
        </w:rPr>
        <w:t>A utilização de abordagem baseada em riscos para delimitação de objetos de exame de auditoria está prevista no item 2010</w:t>
      </w:r>
      <w:r>
        <w:rPr>
          <w:sz w:val="24"/>
          <w:vertAlign w:val="superscript"/>
        </w:rPr>
        <w:t>1</w:t>
      </w:r>
      <w:r>
        <w:rPr>
          <w:sz w:val="24"/>
          <w:vertAlign w:val="baseline"/>
        </w:rPr>
        <w:t> das normas internacionais para a prática profissional de auditoria interna (IPPF), editadas pelo Instituto Global dos Auditores Internos (IIA), na norma</w:t>
      </w:r>
      <w:r>
        <w:rPr>
          <w:spacing w:val="-6"/>
          <w:sz w:val="24"/>
          <w:vertAlign w:val="baseline"/>
        </w:rPr>
        <w:t> </w:t>
      </w:r>
      <w:r>
        <w:rPr>
          <w:sz w:val="24"/>
          <w:vertAlign w:val="baseline"/>
        </w:rPr>
        <w:t>de</w:t>
      </w:r>
      <w:r>
        <w:rPr>
          <w:spacing w:val="-5"/>
          <w:sz w:val="24"/>
          <w:vertAlign w:val="baseline"/>
        </w:rPr>
        <w:t> </w:t>
      </w:r>
      <w:r>
        <w:rPr>
          <w:sz w:val="24"/>
          <w:vertAlign w:val="baseline"/>
        </w:rPr>
        <w:t>auditoria</w:t>
      </w:r>
      <w:r>
        <w:rPr>
          <w:spacing w:val="-4"/>
          <w:sz w:val="24"/>
          <w:vertAlign w:val="baseline"/>
        </w:rPr>
        <w:t> </w:t>
      </w:r>
      <w:r>
        <w:rPr>
          <w:sz w:val="24"/>
          <w:vertAlign w:val="baseline"/>
        </w:rPr>
        <w:t>(NAT)</w:t>
      </w:r>
      <w:r>
        <w:rPr>
          <w:spacing w:val="-6"/>
          <w:sz w:val="24"/>
          <w:vertAlign w:val="baseline"/>
        </w:rPr>
        <w:t> </w:t>
      </w:r>
      <w:r>
        <w:rPr>
          <w:sz w:val="24"/>
          <w:vertAlign w:val="baseline"/>
        </w:rPr>
        <w:t>nº</w:t>
      </w:r>
      <w:r>
        <w:rPr>
          <w:spacing w:val="-5"/>
          <w:sz w:val="24"/>
          <w:vertAlign w:val="baseline"/>
        </w:rPr>
        <w:t> </w:t>
      </w:r>
      <w:r>
        <w:rPr>
          <w:sz w:val="24"/>
          <w:vertAlign w:val="baseline"/>
        </w:rPr>
        <w:t>65</w:t>
      </w:r>
      <w:r>
        <w:rPr>
          <w:sz w:val="24"/>
          <w:vertAlign w:val="superscript"/>
        </w:rPr>
        <w:t>2</w:t>
      </w:r>
      <w:r>
        <w:rPr>
          <w:sz w:val="24"/>
          <w:vertAlign w:val="baseline"/>
        </w:rPr>
        <w:t>,</w:t>
      </w:r>
      <w:r>
        <w:rPr>
          <w:spacing w:val="-5"/>
          <w:sz w:val="24"/>
          <w:vertAlign w:val="baseline"/>
        </w:rPr>
        <w:t> </w:t>
      </w:r>
      <w:r>
        <w:rPr>
          <w:sz w:val="24"/>
          <w:vertAlign w:val="baseline"/>
        </w:rPr>
        <w:t>do</w:t>
      </w:r>
      <w:r>
        <w:rPr>
          <w:spacing w:val="-5"/>
          <w:sz w:val="24"/>
          <w:vertAlign w:val="baseline"/>
        </w:rPr>
        <w:t> </w:t>
      </w:r>
      <w:r>
        <w:rPr>
          <w:sz w:val="24"/>
          <w:vertAlign w:val="baseline"/>
        </w:rPr>
        <w:t>Tribunal</w:t>
      </w:r>
      <w:r>
        <w:rPr>
          <w:spacing w:val="-5"/>
          <w:sz w:val="24"/>
          <w:vertAlign w:val="baseline"/>
        </w:rPr>
        <w:t> </w:t>
      </w:r>
      <w:r>
        <w:rPr>
          <w:sz w:val="24"/>
          <w:vertAlign w:val="baseline"/>
        </w:rPr>
        <w:t>de</w:t>
      </w:r>
      <w:r>
        <w:rPr>
          <w:spacing w:val="-6"/>
          <w:sz w:val="24"/>
          <w:vertAlign w:val="baseline"/>
        </w:rPr>
        <w:t> </w:t>
      </w:r>
      <w:r>
        <w:rPr>
          <w:sz w:val="24"/>
          <w:vertAlign w:val="baseline"/>
        </w:rPr>
        <w:t>Contas</w:t>
      </w:r>
      <w:r>
        <w:rPr>
          <w:spacing w:val="-6"/>
          <w:sz w:val="24"/>
          <w:vertAlign w:val="baseline"/>
        </w:rPr>
        <w:t> </w:t>
      </w:r>
      <w:r>
        <w:rPr>
          <w:sz w:val="24"/>
          <w:vertAlign w:val="baseline"/>
        </w:rPr>
        <w:t>da</w:t>
      </w:r>
      <w:r>
        <w:rPr>
          <w:spacing w:val="-6"/>
          <w:sz w:val="24"/>
          <w:vertAlign w:val="baseline"/>
        </w:rPr>
        <w:t> </w:t>
      </w:r>
      <w:r>
        <w:rPr>
          <w:sz w:val="24"/>
          <w:vertAlign w:val="baseline"/>
        </w:rPr>
        <w:t>União</w:t>
      </w:r>
      <w:r>
        <w:rPr>
          <w:spacing w:val="-5"/>
          <w:sz w:val="24"/>
          <w:vertAlign w:val="baseline"/>
        </w:rPr>
        <w:t> </w:t>
      </w:r>
      <w:r>
        <w:rPr>
          <w:sz w:val="24"/>
          <w:vertAlign w:val="baseline"/>
        </w:rPr>
        <w:t>(TCU),</w:t>
      </w:r>
      <w:r>
        <w:rPr>
          <w:spacing w:val="-3"/>
          <w:sz w:val="24"/>
          <w:vertAlign w:val="baseline"/>
        </w:rPr>
        <w:t> </w:t>
      </w:r>
      <w:r>
        <w:rPr>
          <w:sz w:val="24"/>
          <w:vertAlign w:val="baseline"/>
        </w:rPr>
        <w:t>bem</w:t>
      </w:r>
      <w:r>
        <w:rPr>
          <w:spacing w:val="-5"/>
          <w:sz w:val="24"/>
          <w:vertAlign w:val="baseline"/>
        </w:rPr>
        <w:t> </w:t>
      </w:r>
      <w:r>
        <w:rPr>
          <w:sz w:val="24"/>
          <w:vertAlign w:val="baseline"/>
        </w:rPr>
        <w:t>como</w:t>
      </w:r>
      <w:r>
        <w:rPr>
          <w:spacing w:val="-5"/>
          <w:sz w:val="24"/>
          <w:vertAlign w:val="baseline"/>
        </w:rPr>
        <w:t> </w:t>
      </w:r>
      <w:r>
        <w:rPr>
          <w:sz w:val="24"/>
          <w:vertAlign w:val="baseline"/>
        </w:rPr>
        <w:t>no</w:t>
      </w:r>
      <w:r>
        <w:rPr>
          <w:spacing w:val="-3"/>
          <w:sz w:val="24"/>
          <w:vertAlign w:val="baseline"/>
        </w:rPr>
        <w:t> </w:t>
      </w:r>
      <w:r>
        <w:rPr>
          <w:sz w:val="24"/>
          <w:vertAlign w:val="baseline"/>
        </w:rPr>
        <w:t>art. 32</w:t>
      </w:r>
      <w:r>
        <w:rPr>
          <w:sz w:val="24"/>
          <w:vertAlign w:val="superscript"/>
        </w:rPr>
        <w:t>3</w:t>
      </w:r>
      <w:r>
        <w:rPr>
          <w:sz w:val="24"/>
          <w:vertAlign w:val="baseline"/>
        </w:rPr>
        <w:t>da Resolução do Conselho Nacional de Justiça (CNJ) nº 309, de 11 de março de</w:t>
      </w:r>
      <w:r>
        <w:rPr>
          <w:spacing w:val="-11"/>
          <w:sz w:val="24"/>
          <w:vertAlign w:val="baseline"/>
        </w:rPr>
        <w:t> </w:t>
      </w:r>
      <w:r>
        <w:rPr>
          <w:sz w:val="24"/>
          <w:vertAlign w:val="baseline"/>
        </w:rPr>
        <w:t>2020.</w:t>
      </w:r>
    </w:p>
    <w:p>
      <w:pPr>
        <w:pStyle w:val="ListParagraph"/>
        <w:numPr>
          <w:ilvl w:val="1"/>
          <w:numId w:val="3"/>
        </w:numPr>
        <w:tabs>
          <w:tab w:pos="686" w:val="left" w:leader="none"/>
        </w:tabs>
        <w:spacing w:line="240" w:lineRule="auto" w:before="0" w:after="0"/>
        <w:ind w:left="685" w:right="373" w:hanging="567"/>
        <w:jc w:val="both"/>
        <w:rPr>
          <w:sz w:val="24"/>
        </w:rPr>
      </w:pPr>
      <w:r>
        <w:rPr>
          <w:sz w:val="24"/>
        </w:rPr>
        <w:t>Paralelamente, a Corte de Contas externa tem ratificado a necessidade de ponderação de riscos, dentre outras variáveis, quando da definição do planejamento de ações de auditoria, primando pela eleição de áreas/objetos auditáveis com fundamento em critérios objetivos, </w:t>
      </w:r>
      <w:r>
        <w:rPr>
          <w:spacing w:val="-11"/>
          <w:sz w:val="24"/>
        </w:rPr>
        <w:t>a </w:t>
      </w:r>
      <w:r>
        <w:rPr>
          <w:sz w:val="24"/>
        </w:rPr>
        <w:t>exemplo da materialidade, relevância e criticidade dos processos</w:t>
      </w:r>
      <w:r>
        <w:rPr>
          <w:spacing w:val="-4"/>
          <w:sz w:val="24"/>
        </w:rPr>
        <w:t> </w:t>
      </w:r>
      <w:r>
        <w:rPr>
          <w:sz w:val="24"/>
        </w:rPr>
        <w:t>organizacionais.</w:t>
      </w:r>
    </w:p>
    <w:p>
      <w:pPr>
        <w:pStyle w:val="ListParagraph"/>
        <w:numPr>
          <w:ilvl w:val="1"/>
          <w:numId w:val="3"/>
        </w:numPr>
        <w:tabs>
          <w:tab w:pos="686" w:val="left" w:leader="none"/>
        </w:tabs>
        <w:spacing w:line="240" w:lineRule="auto" w:before="0" w:after="0"/>
        <w:ind w:left="685" w:right="369" w:hanging="567"/>
        <w:jc w:val="both"/>
        <w:rPr>
          <w:sz w:val="24"/>
        </w:rPr>
      </w:pPr>
      <w:r>
        <w:rPr>
          <w:sz w:val="24"/>
        </w:rPr>
        <w:t>Assim, a concepção do presente plano de atividades de auditoria interna visando a atender às premissas descritas, alicerçou-se no desdobramento das macro áreas </w:t>
      </w:r>
      <w:r>
        <w:rPr>
          <w:spacing w:val="-3"/>
          <w:sz w:val="24"/>
        </w:rPr>
        <w:t>auditáveis</w:t>
      </w:r>
      <w:r>
        <w:rPr>
          <w:spacing w:val="54"/>
          <w:sz w:val="24"/>
        </w:rPr>
        <w:t> </w:t>
      </w:r>
      <w:r>
        <w:rPr>
          <w:spacing w:val="-3"/>
          <w:sz w:val="24"/>
        </w:rPr>
        <w:t>explicitadas </w:t>
      </w:r>
      <w:r>
        <w:rPr>
          <w:sz w:val="24"/>
        </w:rPr>
        <w:t>no Plano de </w:t>
      </w:r>
      <w:r>
        <w:rPr>
          <w:spacing w:val="-3"/>
          <w:sz w:val="24"/>
        </w:rPr>
        <w:t>Auditoria </w:t>
      </w:r>
      <w:r>
        <w:rPr>
          <w:sz w:val="24"/>
        </w:rPr>
        <w:t>de </w:t>
      </w:r>
      <w:r>
        <w:rPr>
          <w:spacing w:val="-3"/>
          <w:sz w:val="24"/>
        </w:rPr>
        <w:t>Longo </w:t>
      </w:r>
      <w:r>
        <w:rPr>
          <w:sz w:val="24"/>
        </w:rPr>
        <w:t>Prazo 2018-2021 </w:t>
      </w:r>
      <w:r>
        <w:rPr>
          <w:spacing w:val="-3"/>
          <w:sz w:val="24"/>
        </w:rPr>
        <w:t>(PALP) </w:t>
      </w:r>
      <w:r>
        <w:rPr>
          <w:sz w:val="24"/>
        </w:rPr>
        <w:t>em </w:t>
      </w:r>
      <w:r>
        <w:rPr>
          <w:spacing w:val="-3"/>
          <w:sz w:val="24"/>
        </w:rPr>
        <w:t>processos </w:t>
      </w:r>
      <w:r>
        <w:rPr>
          <w:sz w:val="24"/>
        </w:rPr>
        <w:t>de </w:t>
      </w:r>
      <w:r>
        <w:rPr>
          <w:spacing w:val="-3"/>
          <w:sz w:val="24"/>
        </w:rPr>
        <w:t>trabalho avaliados conforme </w:t>
      </w:r>
      <w:r>
        <w:rPr>
          <w:sz w:val="24"/>
        </w:rPr>
        <w:t>matriz explicitada na seção 3, observada, ainda, relativização determinada</w:t>
      </w:r>
      <w:r>
        <w:rPr>
          <w:spacing w:val="-7"/>
          <w:sz w:val="24"/>
        </w:rPr>
        <w:t> </w:t>
      </w:r>
      <w:r>
        <w:rPr>
          <w:sz w:val="24"/>
        </w:rPr>
        <w:t>pela</w:t>
      </w:r>
      <w:r>
        <w:rPr>
          <w:spacing w:val="-7"/>
          <w:sz w:val="24"/>
        </w:rPr>
        <w:t> </w:t>
      </w:r>
      <w:r>
        <w:rPr>
          <w:sz w:val="24"/>
        </w:rPr>
        <w:t>oportunidade,</w:t>
      </w:r>
      <w:r>
        <w:rPr>
          <w:spacing w:val="-5"/>
          <w:sz w:val="24"/>
        </w:rPr>
        <w:t> </w:t>
      </w:r>
      <w:r>
        <w:rPr>
          <w:sz w:val="24"/>
        </w:rPr>
        <w:t>proficiência</w:t>
      </w:r>
      <w:r>
        <w:rPr>
          <w:spacing w:val="-7"/>
          <w:sz w:val="24"/>
        </w:rPr>
        <w:t> </w:t>
      </w:r>
      <w:r>
        <w:rPr>
          <w:sz w:val="24"/>
        </w:rPr>
        <w:t>dos</w:t>
      </w:r>
      <w:r>
        <w:rPr>
          <w:spacing w:val="-3"/>
          <w:sz w:val="24"/>
        </w:rPr>
        <w:t> </w:t>
      </w:r>
      <w:r>
        <w:rPr>
          <w:sz w:val="24"/>
        </w:rPr>
        <w:t>auditores</w:t>
      </w:r>
      <w:r>
        <w:rPr>
          <w:spacing w:val="-6"/>
          <w:sz w:val="24"/>
        </w:rPr>
        <w:t> </w:t>
      </w:r>
      <w:r>
        <w:rPr>
          <w:sz w:val="24"/>
        </w:rPr>
        <w:t>internos</w:t>
      </w:r>
      <w:r>
        <w:rPr>
          <w:spacing w:val="-6"/>
          <w:sz w:val="24"/>
        </w:rPr>
        <w:t> </w:t>
      </w:r>
      <w:r>
        <w:rPr>
          <w:sz w:val="24"/>
        </w:rPr>
        <w:t>e</w:t>
      </w:r>
      <w:r>
        <w:rPr>
          <w:spacing w:val="-7"/>
          <w:sz w:val="24"/>
        </w:rPr>
        <w:t> </w:t>
      </w:r>
      <w:r>
        <w:rPr>
          <w:sz w:val="24"/>
        </w:rPr>
        <w:t>quantidade</w:t>
      </w:r>
      <w:r>
        <w:rPr>
          <w:spacing w:val="-6"/>
          <w:sz w:val="24"/>
        </w:rPr>
        <w:t> </w:t>
      </w:r>
      <w:r>
        <w:rPr>
          <w:sz w:val="24"/>
        </w:rPr>
        <w:t>de</w:t>
      </w:r>
      <w:r>
        <w:rPr>
          <w:spacing w:val="-7"/>
          <w:sz w:val="24"/>
        </w:rPr>
        <w:t> </w:t>
      </w:r>
      <w:r>
        <w:rPr>
          <w:sz w:val="24"/>
        </w:rPr>
        <w:t>horas</w:t>
      </w:r>
      <w:r>
        <w:rPr>
          <w:spacing w:val="-5"/>
          <w:sz w:val="24"/>
        </w:rPr>
        <w:t> </w:t>
      </w:r>
      <w:r>
        <w:rPr>
          <w:sz w:val="24"/>
        </w:rPr>
        <w:t>de trabalho disponíveis no exercício na Coordenadoria de Auditoria Interna (COAUD) e respectivas</w:t>
      </w:r>
      <w:r>
        <w:rPr>
          <w:spacing w:val="-7"/>
          <w:sz w:val="24"/>
        </w:rPr>
        <w:t> </w:t>
      </w:r>
      <w:r>
        <w:rPr>
          <w:sz w:val="24"/>
        </w:rPr>
        <w:t>seções</w:t>
      </w:r>
      <w:r>
        <w:rPr>
          <w:spacing w:val="-6"/>
          <w:sz w:val="24"/>
        </w:rPr>
        <w:t> </w:t>
      </w:r>
      <w:r>
        <w:rPr>
          <w:sz w:val="24"/>
        </w:rPr>
        <w:t>vinculadas</w:t>
      </w:r>
      <w:r>
        <w:rPr>
          <w:spacing w:val="-4"/>
          <w:sz w:val="24"/>
        </w:rPr>
        <w:t> </w:t>
      </w:r>
      <w:r>
        <w:rPr>
          <w:sz w:val="24"/>
        </w:rPr>
        <w:t>–</w:t>
      </w:r>
      <w:r>
        <w:rPr>
          <w:spacing w:val="-6"/>
          <w:sz w:val="24"/>
        </w:rPr>
        <w:t> </w:t>
      </w:r>
      <w:r>
        <w:rPr>
          <w:sz w:val="24"/>
        </w:rPr>
        <w:t>Seção</w:t>
      </w:r>
      <w:r>
        <w:rPr>
          <w:spacing w:val="-6"/>
          <w:sz w:val="24"/>
        </w:rPr>
        <w:t> </w:t>
      </w:r>
      <w:r>
        <w:rPr>
          <w:sz w:val="24"/>
        </w:rPr>
        <w:t>de</w:t>
      </w:r>
      <w:r>
        <w:rPr>
          <w:spacing w:val="-8"/>
          <w:sz w:val="24"/>
        </w:rPr>
        <w:t> </w:t>
      </w:r>
      <w:r>
        <w:rPr>
          <w:sz w:val="24"/>
        </w:rPr>
        <w:t>Auditoria</w:t>
      </w:r>
      <w:r>
        <w:rPr>
          <w:spacing w:val="-7"/>
          <w:sz w:val="24"/>
        </w:rPr>
        <w:t> </w:t>
      </w:r>
      <w:r>
        <w:rPr>
          <w:sz w:val="24"/>
        </w:rPr>
        <w:t>de</w:t>
      </w:r>
      <w:r>
        <w:rPr>
          <w:spacing w:val="-7"/>
          <w:sz w:val="24"/>
        </w:rPr>
        <w:t> </w:t>
      </w:r>
      <w:r>
        <w:rPr>
          <w:sz w:val="24"/>
        </w:rPr>
        <w:t>Governança</w:t>
      </w:r>
      <w:r>
        <w:rPr>
          <w:spacing w:val="-7"/>
          <w:sz w:val="24"/>
        </w:rPr>
        <w:t> </w:t>
      </w:r>
      <w:r>
        <w:rPr>
          <w:sz w:val="24"/>
        </w:rPr>
        <w:t>e</w:t>
      </w:r>
      <w:r>
        <w:rPr>
          <w:spacing w:val="-7"/>
          <w:sz w:val="24"/>
        </w:rPr>
        <w:t> </w:t>
      </w:r>
      <w:r>
        <w:rPr>
          <w:sz w:val="24"/>
        </w:rPr>
        <w:t>Gestão</w:t>
      </w:r>
      <w:r>
        <w:rPr>
          <w:spacing w:val="-6"/>
          <w:sz w:val="24"/>
        </w:rPr>
        <w:t> </w:t>
      </w:r>
      <w:r>
        <w:rPr>
          <w:sz w:val="24"/>
        </w:rPr>
        <w:t>Organizacional (SEAGO); Seção de Auditoria de Licitações e Contratos (SEALIC); e Seção de Auditoria de Pessoal (SEAPE), bem assim as diretrizes impostas pelos órgãos de controle externo, TSE, CNJ e</w:t>
      </w:r>
      <w:r>
        <w:rPr>
          <w:spacing w:val="-1"/>
          <w:sz w:val="24"/>
        </w:rPr>
        <w:t> </w:t>
      </w:r>
      <w:r>
        <w:rPr>
          <w:sz w:val="24"/>
        </w:rPr>
        <w:t>TCU.</w:t>
      </w:r>
    </w:p>
    <w:p>
      <w:pPr>
        <w:pStyle w:val="ListParagraph"/>
        <w:numPr>
          <w:ilvl w:val="1"/>
          <w:numId w:val="3"/>
        </w:numPr>
        <w:tabs>
          <w:tab w:pos="686" w:val="left" w:leader="none"/>
        </w:tabs>
        <w:spacing w:line="240" w:lineRule="auto" w:before="1" w:after="0"/>
        <w:ind w:left="685" w:right="379" w:hanging="567"/>
        <w:jc w:val="both"/>
        <w:rPr>
          <w:sz w:val="24"/>
        </w:rPr>
      </w:pPr>
      <w:r>
        <w:rPr>
          <w:sz w:val="24"/>
        </w:rPr>
        <w:t>Ademais, o presente planejamento elencou objetivo e escopo preliminares e cronograma, além da estimativa de tempo, recursos necessários e capacitação mínima requerida aos auditores internos designados para a condução dos trabalhos</w:t>
      </w:r>
      <w:r>
        <w:rPr>
          <w:spacing w:val="-1"/>
          <w:sz w:val="24"/>
        </w:rPr>
        <w:t> </w:t>
      </w:r>
      <w:r>
        <w:rPr>
          <w:sz w:val="24"/>
        </w:rPr>
        <w:t>propostos.</w:t>
      </w:r>
    </w:p>
    <w:p>
      <w:pPr>
        <w:pStyle w:val="BodyText"/>
        <w:rPr>
          <w:sz w:val="20"/>
        </w:rPr>
      </w:pPr>
    </w:p>
    <w:p>
      <w:pPr>
        <w:pStyle w:val="BodyText"/>
        <w:spacing w:before="6"/>
        <w:rPr>
          <w:sz w:val="20"/>
        </w:rPr>
      </w:pPr>
      <w:r>
        <w:rPr/>
        <w:pict>
          <v:rect style="position:absolute;margin-left:70.944pt;margin-top:13.76211pt;width:144.020pt;height:.599980pt;mso-position-horizontal-relative:page;mso-position-vertical-relative:paragraph;z-index:-15728640;mso-wrap-distance-left:0;mso-wrap-distance-right:0" filled="true" fillcolor="#000000" stroked="false">
            <v:fill type="solid"/>
            <w10:wrap type="topAndBottom"/>
          </v:rect>
        </w:pict>
      </w:r>
    </w:p>
    <w:p>
      <w:pPr>
        <w:pStyle w:val="ListParagraph"/>
        <w:numPr>
          <w:ilvl w:val="0"/>
          <w:numId w:val="4"/>
        </w:numPr>
        <w:tabs>
          <w:tab w:pos="304" w:val="left" w:leader="none"/>
        </w:tabs>
        <w:spacing w:line="240" w:lineRule="auto" w:before="72" w:after="0"/>
        <w:ind w:left="118" w:right="574" w:firstLine="0"/>
        <w:jc w:val="left"/>
        <w:rPr>
          <w:rFonts w:ascii="Arial" w:hAnsi="Arial"/>
          <w:sz w:val="24"/>
        </w:rPr>
      </w:pPr>
      <w:r>
        <w:rPr>
          <w:sz w:val="20"/>
        </w:rPr>
        <w:t>Estrutura Internacional de Práticas Profissionais de Auditoria Interna (IPPF), 2016. Instituto Global dos Auditores Internos (IIA). 2010 – Planejamento. O executivo chefe de auditoria deve estabelecer um plano</w:t>
      </w:r>
      <w:r>
        <w:rPr>
          <w:spacing w:val="-28"/>
          <w:sz w:val="20"/>
        </w:rPr>
        <w:t> </w:t>
      </w:r>
      <w:r>
        <w:rPr>
          <w:sz w:val="20"/>
        </w:rPr>
        <w:t>baseado em riscos para determinar as prioridades da atividade de auditoria interna, de forma consistente com as metas da organização.</w:t>
      </w:r>
    </w:p>
    <w:p>
      <w:pPr>
        <w:pStyle w:val="ListParagraph"/>
        <w:numPr>
          <w:ilvl w:val="0"/>
          <w:numId w:val="4"/>
        </w:numPr>
        <w:tabs>
          <w:tab w:pos="278" w:val="left" w:leader="none"/>
        </w:tabs>
        <w:spacing w:line="240" w:lineRule="auto" w:before="0" w:after="0"/>
        <w:ind w:left="118" w:right="366" w:firstLine="0"/>
        <w:jc w:val="left"/>
        <w:rPr>
          <w:rFonts w:ascii="Arial" w:hAnsi="Arial"/>
          <w:sz w:val="20"/>
        </w:rPr>
      </w:pPr>
      <w:r>
        <w:rPr>
          <w:sz w:val="20"/>
        </w:rPr>
        <w:t>Normas</w:t>
      </w:r>
      <w:r>
        <w:rPr>
          <w:spacing w:val="-14"/>
          <w:sz w:val="20"/>
        </w:rPr>
        <w:t> </w:t>
      </w:r>
      <w:r>
        <w:rPr>
          <w:sz w:val="20"/>
        </w:rPr>
        <w:t>de</w:t>
      </w:r>
      <w:r>
        <w:rPr>
          <w:spacing w:val="-12"/>
          <w:sz w:val="20"/>
        </w:rPr>
        <w:t> </w:t>
      </w:r>
      <w:r>
        <w:rPr>
          <w:sz w:val="20"/>
        </w:rPr>
        <w:t>Auditoria</w:t>
      </w:r>
      <w:r>
        <w:rPr>
          <w:spacing w:val="-12"/>
          <w:sz w:val="20"/>
        </w:rPr>
        <w:t> </w:t>
      </w:r>
      <w:r>
        <w:rPr>
          <w:sz w:val="20"/>
        </w:rPr>
        <w:t>do</w:t>
      </w:r>
      <w:r>
        <w:rPr>
          <w:spacing w:val="-12"/>
          <w:sz w:val="20"/>
        </w:rPr>
        <w:t> </w:t>
      </w:r>
      <w:r>
        <w:rPr>
          <w:sz w:val="20"/>
        </w:rPr>
        <w:t>Tribunal</w:t>
      </w:r>
      <w:r>
        <w:rPr>
          <w:spacing w:val="-13"/>
          <w:sz w:val="20"/>
        </w:rPr>
        <w:t> </w:t>
      </w:r>
      <w:r>
        <w:rPr>
          <w:sz w:val="20"/>
        </w:rPr>
        <w:t>de</w:t>
      </w:r>
      <w:r>
        <w:rPr>
          <w:spacing w:val="-12"/>
          <w:sz w:val="20"/>
        </w:rPr>
        <w:t> </w:t>
      </w:r>
      <w:r>
        <w:rPr>
          <w:sz w:val="20"/>
        </w:rPr>
        <w:t>Contas</w:t>
      </w:r>
      <w:r>
        <w:rPr>
          <w:spacing w:val="-13"/>
          <w:sz w:val="20"/>
        </w:rPr>
        <w:t> </w:t>
      </w:r>
      <w:r>
        <w:rPr>
          <w:sz w:val="20"/>
        </w:rPr>
        <w:t>da</w:t>
      </w:r>
      <w:r>
        <w:rPr>
          <w:spacing w:val="-12"/>
          <w:sz w:val="20"/>
        </w:rPr>
        <w:t> </w:t>
      </w:r>
      <w:r>
        <w:rPr>
          <w:sz w:val="20"/>
        </w:rPr>
        <w:t>União.</w:t>
      </w:r>
      <w:r>
        <w:rPr>
          <w:spacing w:val="-10"/>
          <w:sz w:val="20"/>
        </w:rPr>
        <w:t> </w:t>
      </w:r>
      <w:r>
        <w:rPr>
          <w:sz w:val="20"/>
        </w:rPr>
        <w:t>Portaria</w:t>
      </w:r>
      <w:r>
        <w:rPr>
          <w:spacing w:val="-13"/>
          <w:sz w:val="20"/>
        </w:rPr>
        <w:t> </w:t>
      </w:r>
      <w:r>
        <w:rPr>
          <w:spacing w:val="-2"/>
          <w:sz w:val="20"/>
        </w:rPr>
        <w:t>TCU</w:t>
      </w:r>
      <w:r>
        <w:rPr>
          <w:spacing w:val="-12"/>
          <w:sz w:val="20"/>
        </w:rPr>
        <w:t> </w:t>
      </w:r>
      <w:r>
        <w:rPr>
          <w:sz w:val="20"/>
        </w:rPr>
        <w:t>nº</w:t>
      </w:r>
      <w:r>
        <w:rPr>
          <w:spacing w:val="-12"/>
          <w:sz w:val="20"/>
        </w:rPr>
        <w:t> </w:t>
      </w:r>
      <w:r>
        <w:rPr>
          <w:sz w:val="20"/>
        </w:rPr>
        <w:t>280,</w:t>
      </w:r>
      <w:r>
        <w:rPr>
          <w:spacing w:val="-12"/>
          <w:sz w:val="20"/>
        </w:rPr>
        <w:t> </w:t>
      </w:r>
      <w:r>
        <w:rPr>
          <w:sz w:val="20"/>
        </w:rPr>
        <w:t>de</w:t>
      </w:r>
      <w:r>
        <w:rPr>
          <w:spacing w:val="-12"/>
          <w:sz w:val="20"/>
        </w:rPr>
        <w:t> </w:t>
      </w:r>
      <w:r>
        <w:rPr>
          <w:sz w:val="20"/>
        </w:rPr>
        <w:t>8</w:t>
      </w:r>
      <w:r>
        <w:rPr>
          <w:spacing w:val="-12"/>
          <w:sz w:val="20"/>
        </w:rPr>
        <w:t> </w:t>
      </w:r>
      <w:r>
        <w:rPr>
          <w:sz w:val="20"/>
        </w:rPr>
        <w:t>de</w:t>
      </w:r>
      <w:r>
        <w:rPr>
          <w:spacing w:val="-12"/>
          <w:sz w:val="20"/>
        </w:rPr>
        <w:t> </w:t>
      </w:r>
      <w:r>
        <w:rPr>
          <w:sz w:val="20"/>
        </w:rPr>
        <w:t>dezembro</w:t>
      </w:r>
      <w:r>
        <w:rPr>
          <w:spacing w:val="-12"/>
          <w:sz w:val="20"/>
        </w:rPr>
        <w:t> </w:t>
      </w:r>
      <w:r>
        <w:rPr>
          <w:sz w:val="20"/>
        </w:rPr>
        <w:t>de</w:t>
      </w:r>
      <w:r>
        <w:rPr>
          <w:spacing w:val="-12"/>
          <w:sz w:val="20"/>
        </w:rPr>
        <w:t> </w:t>
      </w:r>
      <w:r>
        <w:rPr>
          <w:sz w:val="20"/>
        </w:rPr>
        <w:t>2010,</w:t>
      </w:r>
      <w:r>
        <w:rPr>
          <w:spacing w:val="-12"/>
          <w:sz w:val="20"/>
        </w:rPr>
        <w:t> </w:t>
      </w:r>
      <w:r>
        <w:rPr>
          <w:sz w:val="20"/>
        </w:rPr>
        <w:t>alterada</w:t>
      </w:r>
      <w:r>
        <w:rPr>
          <w:spacing w:val="-12"/>
          <w:sz w:val="20"/>
        </w:rPr>
        <w:t> </w:t>
      </w:r>
      <w:r>
        <w:rPr>
          <w:sz w:val="20"/>
        </w:rPr>
        <w:t>pela </w:t>
      </w:r>
      <w:r>
        <w:rPr>
          <w:spacing w:val="-3"/>
          <w:sz w:val="20"/>
        </w:rPr>
        <w:t>Portaria </w:t>
      </w:r>
      <w:r>
        <w:rPr>
          <w:sz w:val="20"/>
        </w:rPr>
        <w:t>nº 181, de 30 de junho de 2011. Item 65. O planejamento geral deve documentar e justificar as seleções realizadas,</w:t>
      </w:r>
      <w:r>
        <w:rPr>
          <w:spacing w:val="-17"/>
          <w:sz w:val="20"/>
        </w:rPr>
        <w:t> </w:t>
      </w:r>
      <w:r>
        <w:rPr>
          <w:sz w:val="20"/>
        </w:rPr>
        <w:t>calcando-se</w:t>
      </w:r>
      <w:r>
        <w:rPr>
          <w:spacing w:val="-16"/>
          <w:sz w:val="20"/>
        </w:rPr>
        <w:t> </w:t>
      </w:r>
      <w:r>
        <w:rPr>
          <w:sz w:val="20"/>
        </w:rPr>
        <w:t>em</w:t>
      </w:r>
      <w:r>
        <w:rPr>
          <w:spacing w:val="-16"/>
          <w:sz w:val="20"/>
        </w:rPr>
        <w:t> </w:t>
      </w:r>
      <w:r>
        <w:rPr>
          <w:sz w:val="20"/>
        </w:rPr>
        <w:t>modelos</w:t>
      </w:r>
      <w:r>
        <w:rPr>
          <w:spacing w:val="-18"/>
          <w:sz w:val="20"/>
        </w:rPr>
        <w:t> </w:t>
      </w:r>
      <w:r>
        <w:rPr>
          <w:sz w:val="20"/>
        </w:rPr>
        <w:t>que</w:t>
      </w:r>
      <w:r>
        <w:rPr>
          <w:spacing w:val="-16"/>
          <w:sz w:val="20"/>
        </w:rPr>
        <w:t> </w:t>
      </w:r>
      <w:r>
        <w:rPr>
          <w:sz w:val="20"/>
        </w:rPr>
        <w:t>incluam</w:t>
      </w:r>
      <w:r>
        <w:rPr>
          <w:spacing w:val="-16"/>
          <w:sz w:val="20"/>
        </w:rPr>
        <w:t> </w:t>
      </w:r>
      <w:r>
        <w:rPr>
          <w:sz w:val="20"/>
        </w:rPr>
        <w:t>métodos</w:t>
      </w:r>
      <w:r>
        <w:rPr>
          <w:spacing w:val="-18"/>
          <w:sz w:val="20"/>
        </w:rPr>
        <w:t> </w:t>
      </w:r>
      <w:r>
        <w:rPr>
          <w:sz w:val="20"/>
        </w:rPr>
        <w:t>de</w:t>
      </w:r>
      <w:r>
        <w:rPr>
          <w:spacing w:val="-15"/>
          <w:sz w:val="20"/>
        </w:rPr>
        <w:t> </w:t>
      </w:r>
      <w:r>
        <w:rPr>
          <w:sz w:val="20"/>
        </w:rPr>
        <w:t>seleção,</w:t>
      </w:r>
      <w:r>
        <w:rPr>
          <w:spacing w:val="-16"/>
          <w:sz w:val="20"/>
        </w:rPr>
        <w:t> </w:t>
      </w:r>
      <w:r>
        <w:rPr>
          <w:sz w:val="20"/>
        </w:rPr>
        <w:t>hierarquização</w:t>
      </w:r>
      <w:r>
        <w:rPr>
          <w:spacing w:val="-16"/>
          <w:sz w:val="20"/>
        </w:rPr>
        <w:t> </w:t>
      </w:r>
      <w:r>
        <w:rPr>
          <w:sz w:val="20"/>
        </w:rPr>
        <w:t>e</w:t>
      </w:r>
      <w:r>
        <w:rPr>
          <w:spacing w:val="-16"/>
          <w:sz w:val="20"/>
        </w:rPr>
        <w:t> </w:t>
      </w:r>
      <w:r>
        <w:rPr>
          <w:sz w:val="20"/>
        </w:rPr>
        <w:t>priorização</w:t>
      </w:r>
      <w:r>
        <w:rPr>
          <w:spacing w:val="-17"/>
          <w:sz w:val="20"/>
        </w:rPr>
        <w:t> </w:t>
      </w:r>
      <w:r>
        <w:rPr>
          <w:sz w:val="20"/>
        </w:rPr>
        <w:t>fundamentados</w:t>
      </w:r>
      <w:r>
        <w:rPr>
          <w:spacing w:val="-17"/>
          <w:sz w:val="20"/>
        </w:rPr>
        <w:t> </w:t>
      </w:r>
      <w:r>
        <w:rPr>
          <w:sz w:val="20"/>
        </w:rPr>
        <w:t>em critérios de relevância, materialidade, </w:t>
      </w:r>
      <w:r>
        <w:rPr>
          <w:spacing w:val="-3"/>
          <w:sz w:val="20"/>
        </w:rPr>
        <w:t>risco </w:t>
      </w:r>
      <w:r>
        <w:rPr>
          <w:sz w:val="20"/>
        </w:rPr>
        <w:t>e </w:t>
      </w:r>
      <w:r>
        <w:rPr>
          <w:spacing w:val="-2"/>
          <w:sz w:val="20"/>
        </w:rPr>
        <w:t>oportunidade, </w:t>
      </w:r>
      <w:r>
        <w:rPr>
          <w:sz w:val="20"/>
        </w:rPr>
        <w:t>dentre outras técnicas de alocação da capacidade operacional,</w:t>
      </w:r>
      <w:r>
        <w:rPr>
          <w:spacing w:val="-16"/>
          <w:sz w:val="20"/>
        </w:rPr>
        <w:t> </w:t>
      </w:r>
      <w:r>
        <w:rPr>
          <w:spacing w:val="-3"/>
          <w:sz w:val="20"/>
        </w:rPr>
        <w:t>levando-se</w:t>
      </w:r>
      <w:r>
        <w:rPr>
          <w:spacing w:val="-15"/>
          <w:sz w:val="20"/>
        </w:rPr>
        <w:t> </w:t>
      </w:r>
      <w:r>
        <w:rPr>
          <w:sz w:val="20"/>
        </w:rPr>
        <w:t>também</w:t>
      </w:r>
      <w:r>
        <w:rPr>
          <w:spacing w:val="-14"/>
          <w:sz w:val="20"/>
        </w:rPr>
        <w:t> </w:t>
      </w:r>
      <w:r>
        <w:rPr>
          <w:sz w:val="20"/>
        </w:rPr>
        <w:t>em</w:t>
      </w:r>
      <w:r>
        <w:rPr>
          <w:spacing w:val="-15"/>
          <w:sz w:val="20"/>
        </w:rPr>
        <w:t> </w:t>
      </w:r>
      <w:r>
        <w:rPr>
          <w:sz w:val="20"/>
        </w:rPr>
        <w:t>conta</w:t>
      </w:r>
      <w:r>
        <w:rPr>
          <w:spacing w:val="-15"/>
          <w:sz w:val="20"/>
        </w:rPr>
        <w:t> </w:t>
      </w:r>
      <w:r>
        <w:rPr>
          <w:sz w:val="20"/>
        </w:rPr>
        <w:t>a</w:t>
      </w:r>
      <w:r>
        <w:rPr>
          <w:spacing w:val="-15"/>
          <w:sz w:val="20"/>
        </w:rPr>
        <w:t> </w:t>
      </w:r>
      <w:r>
        <w:rPr>
          <w:sz w:val="20"/>
        </w:rPr>
        <w:t>demanda</w:t>
      </w:r>
      <w:r>
        <w:rPr>
          <w:spacing w:val="-15"/>
          <w:sz w:val="20"/>
        </w:rPr>
        <w:t> </w:t>
      </w:r>
      <w:r>
        <w:rPr>
          <w:sz w:val="20"/>
        </w:rPr>
        <w:t>potencial</w:t>
      </w:r>
      <w:r>
        <w:rPr>
          <w:spacing w:val="-16"/>
          <w:sz w:val="20"/>
        </w:rPr>
        <w:t> </w:t>
      </w:r>
      <w:r>
        <w:rPr>
          <w:sz w:val="20"/>
        </w:rPr>
        <w:t>por</w:t>
      </w:r>
      <w:r>
        <w:rPr>
          <w:spacing w:val="-15"/>
          <w:sz w:val="20"/>
        </w:rPr>
        <w:t> </w:t>
      </w:r>
      <w:r>
        <w:rPr>
          <w:sz w:val="20"/>
        </w:rPr>
        <w:t>ações</w:t>
      </w:r>
      <w:r>
        <w:rPr>
          <w:spacing w:val="-17"/>
          <w:sz w:val="20"/>
        </w:rPr>
        <w:t> </w:t>
      </w:r>
      <w:r>
        <w:rPr>
          <w:sz w:val="20"/>
        </w:rPr>
        <w:t>de</w:t>
      </w:r>
      <w:r>
        <w:rPr>
          <w:spacing w:val="-15"/>
          <w:sz w:val="20"/>
        </w:rPr>
        <w:t> </w:t>
      </w:r>
      <w:r>
        <w:rPr>
          <w:sz w:val="20"/>
        </w:rPr>
        <w:t>controle</w:t>
      </w:r>
      <w:r>
        <w:rPr>
          <w:spacing w:val="-15"/>
          <w:sz w:val="20"/>
        </w:rPr>
        <w:t> </w:t>
      </w:r>
      <w:r>
        <w:rPr>
          <w:sz w:val="20"/>
        </w:rPr>
        <w:t>originadas</w:t>
      </w:r>
      <w:r>
        <w:rPr>
          <w:spacing w:val="-16"/>
          <w:sz w:val="20"/>
        </w:rPr>
        <w:t> </w:t>
      </w:r>
      <w:r>
        <w:rPr>
          <w:sz w:val="20"/>
        </w:rPr>
        <w:t>de</w:t>
      </w:r>
      <w:r>
        <w:rPr>
          <w:spacing w:val="-15"/>
          <w:sz w:val="20"/>
        </w:rPr>
        <w:t> </w:t>
      </w:r>
      <w:r>
        <w:rPr>
          <w:sz w:val="20"/>
        </w:rPr>
        <w:t>iniciativas</w:t>
      </w:r>
      <w:r>
        <w:rPr>
          <w:spacing w:val="-16"/>
          <w:sz w:val="20"/>
        </w:rPr>
        <w:t> </w:t>
      </w:r>
      <w:r>
        <w:rPr>
          <w:sz w:val="20"/>
        </w:rPr>
        <w:t>externas. </w:t>
      </w:r>
      <w:r>
        <w:rPr>
          <w:rFonts w:ascii="Arial" w:hAnsi="Arial"/>
          <w:sz w:val="24"/>
        </w:rPr>
        <w:t>3 </w:t>
      </w:r>
      <w:r>
        <w:rPr>
          <w:sz w:val="20"/>
        </w:rPr>
        <w:t>Resolução do </w:t>
      </w:r>
      <w:r>
        <w:rPr>
          <w:spacing w:val="-3"/>
          <w:sz w:val="20"/>
        </w:rPr>
        <w:t>Conselho </w:t>
      </w:r>
      <w:r>
        <w:rPr>
          <w:sz w:val="20"/>
        </w:rPr>
        <w:t>Nacional de </w:t>
      </w:r>
      <w:r>
        <w:rPr>
          <w:spacing w:val="-3"/>
          <w:sz w:val="20"/>
        </w:rPr>
        <w:t>Justiça </w:t>
      </w:r>
      <w:r>
        <w:rPr>
          <w:sz w:val="20"/>
        </w:rPr>
        <w:t>nº 309, de 11 de março de 2020. Art. 32. Para fins de realização de </w:t>
      </w:r>
      <w:r>
        <w:rPr>
          <w:spacing w:val="-3"/>
          <w:sz w:val="20"/>
        </w:rPr>
        <w:t>auditorias,</w:t>
      </w:r>
      <w:r>
        <w:rPr>
          <w:spacing w:val="-17"/>
          <w:sz w:val="20"/>
        </w:rPr>
        <w:t> </w:t>
      </w:r>
      <w:r>
        <w:rPr>
          <w:sz w:val="20"/>
        </w:rPr>
        <w:t>a</w:t>
      </w:r>
      <w:r>
        <w:rPr>
          <w:spacing w:val="-19"/>
          <w:sz w:val="20"/>
        </w:rPr>
        <w:t> </w:t>
      </w:r>
      <w:r>
        <w:rPr>
          <w:sz w:val="20"/>
        </w:rPr>
        <w:t>unidade</w:t>
      </w:r>
      <w:r>
        <w:rPr>
          <w:spacing w:val="-17"/>
          <w:sz w:val="20"/>
        </w:rPr>
        <w:t> </w:t>
      </w:r>
      <w:r>
        <w:rPr>
          <w:sz w:val="20"/>
        </w:rPr>
        <w:t>de</w:t>
      </w:r>
      <w:r>
        <w:rPr>
          <w:spacing w:val="-19"/>
          <w:sz w:val="20"/>
        </w:rPr>
        <w:t> </w:t>
      </w:r>
      <w:r>
        <w:rPr>
          <w:sz w:val="20"/>
        </w:rPr>
        <w:t>auditoria</w:t>
      </w:r>
      <w:r>
        <w:rPr>
          <w:spacing w:val="-19"/>
          <w:sz w:val="20"/>
        </w:rPr>
        <w:t> </w:t>
      </w:r>
      <w:r>
        <w:rPr>
          <w:sz w:val="20"/>
        </w:rPr>
        <w:t>interna</w:t>
      </w:r>
      <w:r>
        <w:rPr>
          <w:spacing w:val="-20"/>
          <w:sz w:val="20"/>
        </w:rPr>
        <w:t> </w:t>
      </w:r>
      <w:r>
        <w:rPr>
          <w:sz w:val="20"/>
        </w:rPr>
        <w:t>deve</w:t>
      </w:r>
      <w:r>
        <w:rPr>
          <w:spacing w:val="-16"/>
          <w:sz w:val="20"/>
        </w:rPr>
        <w:t> </w:t>
      </w:r>
      <w:r>
        <w:rPr>
          <w:sz w:val="20"/>
        </w:rPr>
        <w:t>estabelecer</w:t>
      </w:r>
      <w:r>
        <w:rPr>
          <w:spacing w:val="-17"/>
          <w:sz w:val="20"/>
        </w:rPr>
        <w:t> </w:t>
      </w:r>
      <w:r>
        <w:rPr>
          <w:sz w:val="20"/>
        </w:rPr>
        <w:t>um</w:t>
      </w:r>
      <w:r>
        <w:rPr>
          <w:spacing w:val="-17"/>
          <w:sz w:val="20"/>
        </w:rPr>
        <w:t> </w:t>
      </w:r>
      <w:r>
        <w:rPr>
          <w:spacing w:val="-3"/>
          <w:sz w:val="20"/>
        </w:rPr>
        <w:t>PALP,</w:t>
      </w:r>
      <w:r>
        <w:rPr>
          <w:spacing w:val="-16"/>
          <w:sz w:val="20"/>
        </w:rPr>
        <w:t> </w:t>
      </w:r>
      <w:r>
        <w:rPr>
          <w:sz w:val="20"/>
        </w:rPr>
        <w:t>quadrienal,</w:t>
      </w:r>
      <w:r>
        <w:rPr>
          <w:spacing w:val="-17"/>
          <w:sz w:val="20"/>
        </w:rPr>
        <w:t> </w:t>
      </w:r>
      <w:r>
        <w:rPr>
          <w:sz w:val="20"/>
        </w:rPr>
        <w:t>e</w:t>
      </w:r>
      <w:r>
        <w:rPr>
          <w:spacing w:val="-19"/>
          <w:sz w:val="20"/>
        </w:rPr>
        <w:t> </w:t>
      </w:r>
      <w:r>
        <w:rPr>
          <w:sz w:val="20"/>
        </w:rPr>
        <w:t>um</w:t>
      </w:r>
      <w:r>
        <w:rPr>
          <w:spacing w:val="-17"/>
          <w:sz w:val="20"/>
        </w:rPr>
        <w:t> </w:t>
      </w:r>
      <w:r>
        <w:rPr>
          <w:sz w:val="20"/>
        </w:rPr>
        <w:t>PAA,</w:t>
      </w:r>
      <w:r>
        <w:rPr>
          <w:spacing w:val="-17"/>
          <w:sz w:val="20"/>
        </w:rPr>
        <w:t> </w:t>
      </w:r>
      <w:r>
        <w:rPr>
          <w:spacing w:val="-3"/>
          <w:sz w:val="20"/>
        </w:rPr>
        <w:t>preferencialmente</w:t>
      </w:r>
      <w:r>
        <w:rPr>
          <w:spacing w:val="-16"/>
          <w:sz w:val="20"/>
        </w:rPr>
        <w:t> </w:t>
      </w:r>
      <w:r>
        <w:rPr>
          <w:sz w:val="20"/>
        </w:rPr>
        <w:t>baseados em riscos, para determinar as prioridades da auditoria, de forma </w:t>
      </w:r>
      <w:r>
        <w:rPr>
          <w:spacing w:val="-3"/>
          <w:sz w:val="20"/>
        </w:rPr>
        <w:t>consistente </w:t>
      </w:r>
      <w:r>
        <w:rPr>
          <w:sz w:val="20"/>
        </w:rPr>
        <w:t>com objetivos e metas institucionais da entidade</w:t>
      </w:r>
      <w:r>
        <w:rPr>
          <w:spacing w:val="-5"/>
          <w:sz w:val="20"/>
        </w:rPr>
        <w:t> </w:t>
      </w:r>
      <w:r>
        <w:rPr>
          <w:spacing w:val="-3"/>
          <w:sz w:val="20"/>
        </w:rPr>
        <w:t>auditada.</w:t>
      </w:r>
    </w:p>
    <w:p>
      <w:pPr>
        <w:pStyle w:val="BodyText"/>
        <w:rPr>
          <w:sz w:val="20"/>
        </w:rPr>
      </w:pPr>
    </w:p>
    <w:p>
      <w:pPr>
        <w:pStyle w:val="BodyText"/>
        <w:spacing w:before="3"/>
        <w:rPr>
          <w:sz w:val="18"/>
        </w:rPr>
      </w:pPr>
    </w:p>
    <w:p>
      <w:pPr>
        <w:pStyle w:val="BodyText"/>
        <w:spacing w:before="92"/>
        <w:ind w:right="369"/>
        <w:jc w:val="right"/>
        <w:rPr>
          <w:rFonts w:ascii="Arial"/>
        </w:rPr>
      </w:pPr>
      <w:r>
        <w:rPr>
          <w:rFonts w:ascii="Arial"/>
          <w:w w:val="99"/>
        </w:rPr>
        <w:t>5</w:t>
      </w:r>
    </w:p>
    <w:p>
      <w:pPr>
        <w:spacing w:after="0"/>
        <w:jc w:val="right"/>
        <w:rPr>
          <w:rFonts w:ascii="Arial"/>
        </w:rPr>
        <w:sectPr>
          <w:pgSz w:w="11910" w:h="16840"/>
          <w:pgMar w:top="1320" w:bottom="280" w:left="1300" w:right="760"/>
        </w:sectPr>
      </w:pPr>
    </w:p>
    <w:p>
      <w:pPr>
        <w:pStyle w:val="ListParagraph"/>
        <w:numPr>
          <w:ilvl w:val="1"/>
          <w:numId w:val="3"/>
        </w:numPr>
        <w:tabs>
          <w:tab w:pos="686" w:val="left" w:leader="none"/>
        </w:tabs>
        <w:spacing w:line="240" w:lineRule="auto" w:before="79" w:after="0"/>
        <w:ind w:left="685" w:right="372" w:hanging="567"/>
        <w:jc w:val="both"/>
        <w:rPr>
          <w:sz w:val="24"/>
        </w:rPr>
      </w:pPr>
      <w:r>
        <w:rPr>
          <w:sz w:val="24"/>
        </w:rPr>
        <w:t>Esclareça-se que a presente proposta de planejamento já contempla revisão imposta pela ocorrência</w:t>
      </w:r>
      <w:r>
        <w:rPr>
          <w:spacing w:val="-13"/>
          <w:sz w:val="24"/>
        </w:rPr>
        <w:t> </w:t>
      </w:r>
      <w:r>
        <w:rPr>
          <w:sz w:val="24"/>
        </w:rPr>
        <w:t>da</w:t>
      </w:r>
      <w:r>
        <w:rPr>
          <w:spacing w:val="-10"/>
          <w:sz w:val="24"/>
        </w:rPr>
        <w:t> </w:t>
      </w:r>
      <w:r>
        <w:rPr>
          <w:sz w:val="24"/>
        </w:rPr>
        <w:t>pandemia,</w:t>
      </w:r>
      <w:r>
        <w:rPr>
          <w:spacing w:val="-7"/>
          <w:sz w:val="24"/>
        </w:rPr>
        <w:t> </w:t>
      </w:r>
      <w:r>
        <w:rPr>
          <w:sz w:val="24"/>
        </w:rPr>
        <w:t>que</w:t>
      </w:r>
      <w:r>
        <w:rPr>
          <w:spacing w:val="-12"/>
          <w:sz w:val="24"/>
        </w:rPr>
        <w:t> </w:t>
      </w:r>
      <w:r>
        <w:rPr>
          <w:sz w:val="24"/>
        </w:rPr>
        <w:t>ensejou</w:t>
      </w:r>
      <w:r>
        <w:rPr>
          <w:spacing w:val="-11"/>
          <w:sz w:val="24"/>
        </w:rPr>
        <w:t> </w:t>
      </w:r>
      <w:r>
        <w:rPr>
          <w:sz w:val="24"/>
        </w:rPr>
        <w:t>o</w:t>
      </w:r>
      <w:r>
        <w:rPr>
          <w:spacing w:val="-9"/>
          <w:sz w:val="24"/>
        </w:rPr>
        <w:t> </w:t>
      </w:r>
      <w:r>
        <w:rPr>
          <w:sz w:val="24"/>
        </w:rPr>
        <w:t>cancelamento</w:t>
      </w:r>
      <w:r>
        <w:rPr>
          <w:spacing w:val="-11"/>
          <w:sz w:val="24"/>
        </w:rPr>
        <w:t> </w:t>
      </w:r>
      <w:r>
        <w:rPr>
          <w:sz w:val="24"/>
        </w:rPr>
        <w:t>de</w:t>
      </w:r>
      <w:r>
        <w:rPr>
          <w:spacing w:val="-12"/>
          <w:sz w:val="24"/>
        </w:rPr>
        <w:t> </w:t>
      </w:r>
      <w:r>
        <w:rPr>
          <w:sz w:val="24"/>
        </w:rPr>
        <w:t>ação</w:t>
      </w:r>
      <w:r>
        <w:rPr>
          <w:spacing w:val="-11"/>
          <w:sz w:val="24"/>
        </w:rPr>
        <w:t> </w:t>
      </w:r>
      <w:r>
        <w:rPr>
          <w:sz w:val="24"/>
        </w:rPr>
        <w:t>coordenada</w:t>
      </w:r>
      <w:r>
        <w:rPr>
          <w:spacing w:val="-12"/>
          <w:sz w:val="24"/>
        </w:rPr>
        <w:t> </w:t>
      </w:r>
      <w:r>
        <w:rPr>
          <w:sz w:val="24"/>
        </w:rPr>
        <w:t>em</w:t>
      </w:r>
      <w:r>
        <w:rPr>
          <w:spacing w:val="-11"/>
          <w:sz w:val="24"/>
        </w:rPr>
        <w:t> </w:t>
      </w:r>
      <w:r>
        <w:rPr>
          <w:sz w:val="24"/>
        </w:rPr>
        <w:t>Acessibilidade do</w:t>
      </w:r>
      <w:r>
        <w:rPr>
          <w:spacing w:val="-11"/>
          <w:sz w:val="24"/>
        </w:rPr>
        <w:t> </w:t>
      </w:r>
      <w:r>
        <w:rPr>
          <w:sz w:val="24"/>
        </w:rPr>
        <w:t>CNJ</w:t>
      </w:r>
      <w:r>
        <w:rPr>
          <w:spacing w:val="-10"/>
          <w:sz w:val="24"/>
        </w:rPr>
        <w:t> </w:t>
      </w:r>
      <w:r>
        <w:rPr>
          <w:sz w:val="24"/>
        </w:rPr>
        <w:t>e</w:t>
      </w:r>
      <w:r>
        <w:rPr>
          <w:spacing w:val="-11"/>
          <w:sz w:val="24"/>
        </w:rPr>
        <w:t> </w:t>
      </w:r>
      <w:r>
        <w:rPr>
          <w:sz w:val="24"/>
        </w:rPr>
        <w:t>prorrogação</w:t>
      </w:r>
      <w:r>
        <w:rPr>
          <w:spacing w:val="-11"/>
          <w:sz w:val="24"/>
        </w:rPr>
        <w:t> </w:t>
      </w:r>
      <w:r>
        <w:rPr>
          <w:sz w:val="24"/>
        </w:rPr>
        <w:t>do</w:t>
      </w:r>
      <w:r>
        <w:rPr>
          <w:spacing w:val="-6"/>
          <w:sz w:val="24"/>
        </w:rPr>
        <w:t> </w:t>
      </w:r>
      <w:r>
        <w:rPr>
          <w:sz w:val="24"/>
        </w:rPr>
        <w:t>prazo</w:t>
      </w:r>
      <w:r>
        <w:rPr>
          <w:spacing w:val="-10"/>
          <w:sz w:val="24"/>
        </w:rPr>
        <w:t> </w:t>
      </w:r>
      <w:r>
        <w:rPr>
          <w:sz w:val="24"/>
        </w:rPr>
        <w:t>de</w:t>
      </w:r>
      <w:r>
        <w:rPr>
          <w:spacing w:val="-12"/>
          <w:sz w:val="24"/>
        </w:rPr>
        <w:t> </w:t>
      </w:r>
      <w:r>
        <w:rPr>
          <w:sz w:val="24"/>
        </w:rPr>
        <w:t>conclusão</w:t>
      </w:r>
      <w:r>
        <w:rPr>
          <w:spacing w:val="-10"/>
          <w:sz w:val="24"/>
        </w:rPr>
        <w:t> </w:t>
      </w:r>
      <w:r>
        <w:rPr>
          <w:sz w:val="24"/>
        </w:rPr>
        <w:t>da</w:t>
      </w:r>
      <w:r>
        <w:rPr>
          <w:spacing w:val="-11"/>
          <w:sz w:val="24"/>
        </w:rPr>
        <w:t> </w:t>
      </w:r>
      <w:r>
        <w:rPr>
          <w:sz w:val="24"/>
        </w:rPr>
        <w:t>auditoria</w:t>
      </w:r>
      <w:r>
        <w:rPr>
          <w:spacing w:val="-12"/>
          <w:sz w:val="24"/>
        </w:rPr>
        <w:t> </w:t>
      </w:r>
      <w:r>
        <w:rPr>
          <w:sz w:val="24"/>
        </w:rPr>
        <w:t>integrada</w:t>
      </w:r>
      <w:r>
        <w:rPr>
          <w:spacing w:val="-9"/>
          <w:sz w:val="24"/>
        </w:rPr>
        <w:t> </w:t>
      </w:r>
      <w:r>
        <w:rPr>
          <w:sz w:val="24"/>
        </w:rPr>
        <w:t>TRE´s/TSE,</w:t>
      </w:r>
      <w:r>
        <w:rPr>
          <w:spacing w:val="-10"/>
          <w:sz w:val="24"/>
        </w:rPr>
        <w:t> </w:t>
      </w:r>
      <w:r>
        <w:rPr>
          <w:sz w:val="24"/>
        </w:rPr>
        <w:t>no</w:t>
      </w:r>
      <w:r>
        <w:rPr>
          <w:spacing w:val="-11"/>
          <w:sz w:val="24"/>
        </w:rPr>
        <w:t> </w:t>
      </w:r>
      <w:r>
        <w:rPr>
          <w:sz w:val="24"/>
        </w:rPr>
        <w:t>processo de</w:t>
      </w:r>
      <w:r>
        <w:rPr>
          <w:spacing w:val="-11"/>
          <w:sz w:val="24"/>
        </w:rPr>
        <w:t> </w:t>
      </w:r>
      <w:r>
        <w:rPr>
          <w:sz w:val="24"/>
        </w:rPr>
        <w:t>gerenciamento</w:t>
      </w:r>
      <w:r>
        <w:rPr>
          <w:spacing w:val="-8"/>
          <w:sz w:val="24"/>
        </w:rPr>
        <w:t> </w:t>
      </w:r>
      <w:r>
        <w:rPr>
          <w:sz w:val="24"/>
        </w:rPr>
        <w:t>de</w:t>
      </w:r>
      <w:r>
        <w:rPr>
          <w:spacing w:val="-10"/>
          <w:sz w:val="24"/>
        </w:rPr>
        <w:t> </w:t>
      </w:r>
      <w:r>
        <w:rPr>
          <w:sz w:val="24"/>
        </w:rPr>
        <w:t>ativos</w:t>
      </w:r>
      <w:r>
        <w:rPr>
          <w:spacing w:val="-9"/>
          <w:sz w:val="24"/>
        </w:rPr>
        <w:t> </w:t>
      </w:r>
      <w:r>
        <w:rPr>
          <w:sz w:val="24"/>
        </w:rPr>
        <w:t>de</w:t>
      </w:r>
      <w:r>
        <w:rPr>
          <w:spacing w:val="-10"/>
          <w:sz w:val="24"/>
        </w:rPr>
        <w:t> </w:t>
      </w:r>
      <w:r>
        <w:rPr>
          <w:sz w:val="24"/>
        </w:rPr>
        <w:t>TIC,</w:t>
      </w:r>
      <w:r>
        <w:rPr>
          <w:spacing w:val="-9"/>
          <w:sz w:val="24"/>
        </w:rPr>
        <w:t> </w:t>
      </w:r>
      <w:r>
        <w:rPr>
          <w:sz w:val="24"/>
        </w:rPr>
        <w:t>bem</w:t>
      </w:r>
      <w:r>
        <w:rPr>
          <w:spacing w:val="-7"/>
          <w:sz w:val="24"/>
        </w:rPr>
        <w:t> </w:t>
      </w:r>
      <w:r>
        <w:rPr>
          <w:sz w:val="24"/>
        </w:rPr>
        <w:t>assim</w:t>
      </w:r>
      <w:r>
        <w:rPr>
          <w:spacing w:val="-9"/>
          <w:sz w:val="24"/>
        </w:rPr>
        <w:t> </w:t>
      </w:r>
      <w:r>
        <w:rPr>
          <w:sz w:val="24"/>
        </w:rPr>
        <w:t>a</w:t>
      </w:r>
      <w:r>
        <w:rPr>
          <w:spacing w:val="-9"/>
          <w:sz w:val="24"/>
        </w:rPr>
        <w:t> </w:t>
      </w:r>
      <w:r>
        <w:rPr>
          <w:sz w:val="24"/>
        </w:rPr>
        <w:t>exclusão</w:t>
      </w:r>
      <w:r>
        <w:rPr>
          <w:spacing w:val="-9"/>
          <w:sz w:val="24"/>
        </w:rPr>
        <w:t> </w:t>
      </w:r>
      <w:r>
        <w:rPr>
          <w:sz w:val="24"/>
        </w:rPr>
        <w:t>da</w:t>
      </w:r>
      <w:r>
        <w:rPr>
          <w:spacing w:val="-11"/>
          <w:sz w:val="24"/>
        </w:rPr>
        <w:t> </w:t>
      </w:r>
      <w:r>
        <w:rPr>
          <w:sz w:val="24"/>
        </w:rPr>
        <w:t>Auditoria</w:t>
      </w:r>
      <w:r>
        <w:rPr>
          <w:spacing w:val="-7"/>
          <w:sz w:val="24"/>
        </w:rPr>
        <w:t> </w:t>
      </w:r>
      <w:r>
        <w:rPr>
          <w:sz w:val="24"/>
        </w:rPr>
        <w:t>Integrada</w:t>
      </w:r>
      <w:r>
        <w:rPr>
          <w:spacing w:val="-10"/>
          <w:sz w:val="24"/>
        </w:rPr>
        <w:t> </w:t>
      </w:r>
      <w:r>
        <w:rPr>
          <w:sz w:val="24"/>
        </w:rPr>
        <w:t>TSE/TREs</w:t>
      </w:r>
    </w:p>
    <w:p>
      <w:pPr>
        <w:pStyle w:val="BodyText"/>
        <w:ind w:left="685" w:right="368"/>
        <w:jc w:val="both"/>
      </w:pPr>
      <w:r>
        <w:rPr/>
        <w:t>- Gestão da força de trabalho/Dimensionamento da força de trabalho PAA2018 e inclusão de auditoria financeira integrada com conformidade alinhando-se à diretriz constante da IN nº 84/2020, exarada pela Corte de Contas.</w:t>
      </w:r>
    </w:p>
    <w:p>
      <w:pPr>
        <w:pStyle w:val="BodyText"/>
        <w:spacing w:before="10"/>
        <w:rPr>
          <w:sz w:val="20"/>
        </w:rPr>
      </w:pPr>
    </w:p>
    <w:p>
      <w:pPr>
        <w:pStyle w:val="Heading1"/>
        <w:numPr>
          <w:ilvl w:val="0"/>
          <w:numId w:val="3"/>
        </w:numPr>
        <w:tabs>
          <w:tab w:pos="477" w:val="left" w:leader="none"/>
        </w:tabs>
        <w:spacing w:line="240" w:lineRule="auto" w:before="0" w:after="0"/>
        <w:ind w:left="476" w:right="0" w:hanging="359"/>
        <w:jc w:val="left"/>
      </w:pPr>
      <w:bookmarkStart w:name="_bookmark2" w:id="4"/>
      <w:bookmarkEnd w:id="4"/>
      <w:r>
        <w:rPr>
          <w:b w:val="0"/>
        </w:rPr>
      </w:r>
      <w:bookmarkStart w:name="_bookmark2" w:id="5"/>
      <w:bookmarkEnd w:id="5"/>
      <w:r>
        <w:rPr/>
        <w:t>M</w:t>
      </w:r>
      <w:r>
        <w:rPr/>
        <w:t>ETODOLOGIA DE SELEÇÃO DE ÁREAS</w:t>
      </w:r>
      <w:r>
        <w:rPr>
          <w:spacing w:val="-5"/>
        </w:rPr>
        <w:t> </w:t>
      </w:r>
      <w:r>
        <w:rPr/>
        <w:t>AUDITÁVEIS</w:t>
      </w:r>
    </w:p>
    <w:p>
      <w:pPr>
        <w:pStyle w:val="ListParagraph"/>
        <w:numPr>
          <w:ilvl w:val="1"/>
          <w:numId w:val="3"/>
        </w:numPr>
        <w:tabs>
          <w:tab w:pos="686" w:val="left" w:leader="none"/>
        </w:tabs>
        <w:spacing w:line="240" w:lineRule="auto" w:before="120" w:after="0"/>
        <w:ind w:left="685" w:right="369" w:hanging="567"/>
        <w:jc w:val="both"/>
        <w:rPr>
          <w:sz w:val="24"/>
        </w:rPr>
      </w:pPr>
      <w:r>
        <w:rPr>
          <w:sz w:val="24"/>
        </w:rPr>
        <w:t>A metodologia de seleção de objetos a </w:t>
      </w:r>
      <w:r>
        <w:rPr>
          <w:spacing w:val="-3"/>
          <w:sz w:val="24"/>
        </w:rPr>
        <w:t>serem auditados </w:t>
      </w:r>
      <w:r>
        <w:rPr>
          <w:sz w:val="24"/>
        </w:rPr>
        <w:t>ao longo do </w:t>
      </w:r>
      <w:r>
        <w:rPr>
          <w:spacing w:val="-3"/>
          <w:sz w:val="24"/>
        </w:rPr>
        <w:t>exercício </w:t>
      </w:r>
      <w:r>
        <w:rPr>
          <w:sz w:val="24"/>
        </w:rPr>
        <w:t>2020, </w:t>
      </w:r>
      <w:r>
        <w:rPr>
          <w:spacing w:val="-3"/>
          <w:sz w:val="24"/>
        </w:rPr>
        <w:t>referenciou-se nas </w:t>
      </w:r>
      <w:r>
        <w:rPr>
          <w:sz w:val="24"/>
        </w:rPr>
        <w:t>macro áreas </w:t>
      </w:r>
      <w:r>
        <w:rPr>
          <w:spacing w:val="-3"/>
          <w:sz w:val="24"/>
        </w:rPr>
        <w:t>auditáveis </w:t>
      </w:r>
      <w:r>
        <w:rPr>
          <w:sz w:val="24"/>
        </w:rPr>
        <w:t>explicitadas no PALP 2018-2021 – Doc. nº </w:t>
      </w:r>
      <w:r>
        <w:rPr>
          <w:spacing w:val="-3"/>
          <w:sz w:val="24"/>
        </w:rPr>
        <w:t>1212934,</w:t>
      </w:r>
      <w:r>
        <w:rPr>
          <w:spacing w:val="-6"/>
          <w:sz w:val="24"/>
        </w:rPr>
        <w:t> </w:t>
      </w:r>
      <w:r>
        <w:rPr>
          <w:spacing w:val="-3"/>
          <w:sz w:val="24"/>
        </w:rPr>
        <w:t>definidas</w:t>
      </w:r>
      <w:r>
        <w:rPr>
          <w:spacing w:val="-5"/>
          <w:sz w:val="24"/>
        </w:rPr>
        <w:t> </w:t>
      </w:r>
      <w:r>
        <w:rPr>
          <w:sz w:val="24"/>
        </w:rPr>
        <w:t>a</w:t>
      </w:r>
      <w:r>
        <w:rPr>
          <w:spacing w:val="-10"/>
          <w:sz w:val="24"/>
        </w:rPr>
        <w:t> </w:t>
      </w:r>
      <w:r>
        <w:rPr>
          <w:sz w:val="24"/>
        </w:rPr>
        <w:t>partir</w:t>
      </w:r>
      <w:r>
        <w:rPr>
          <w:spacing w:val="-8"/>
          <w:sz w:val="24"/>
        </w:rPr>
        <w:t> </w:t>
      </w:r>
      <w:r>
        <w:rPr>
          <w:sz w:val="24"/>
        </w:rPr>
        <w:t>da</w:t>
      </w:r>
      <w:r>
        <w:rPr>
          <w:spacing w:val="-7"/>
          <w:sz w:val="24"/>
        </w:rPr>
        <w:t> </w:t>
      </w:r>
      <w:r>
        <w:rPr>
          <w:spacing w:val="-3"/>
          <w:sz w:val="24"/>
        </w:rPr>
        <w:t>análise</w:t>
      </w:r>
      <w:r>
        <w:rPr>
          <w:spacing w:val="-8"/>
          <w:sz w:val="24"/>
        </w:rPr>
        <w:t> </w:t>
      </w:r>
      <w:r>
        <w:rPr>
          <w:sz w:val="24"/>
        </w:rPr>
        <w:t>do</w:t>
      </w:r>
      <w:r>
        <w:rPr>
          <w:spacing w:val="-9"/>
          <w:sz w:val="24"/>
        </w:rPr>
        <w:t> </w:t>
      </w:r>
      <w:r>
        <w:rPr>
          <w:sz w:val="24"/>
        </w:rPr>
        <w:t>mapa</w:t>
      </w:r>
      <w:r>
        <w:rPr>
          <w:spacing w:val="-6"/>
          <w:sz w:val="24"/>
        </w:rPr>
        <w:t> </w:t>
      </w:r>
      <w:r>
        <w:rPr>
          <w:sz w:val="24"/>
        </w:rPr>
        <w:t>de</w:t>
      </w:r>
      <w:r>
        <w:rPr>
          <w:spacing w:val="-7"/>
          <w:sz w:val="24"/>
        </w:rPr>
        <w:t> </w:t>
      </w:r>
      <w:r>
        <w:rPr>
          <w:spacing w:val="-3"/>
          <w:sz w:val="24"/>
        </w:rPr>
        <w:t>relacionamento</w:t>
      </w:r>
      <w:r>
        <w:rPr>
          <w:spacing w:val="-8"/>
          <w:sz w:val="24"/>
        </w:rPr>
        <w:t> </w:t>
      </w:r>
      <w:r>
        <w:rPr>
          <w:sz w:val="24"/>
        </w:rPr>
        <w:t>da</w:t>
      </w:r>
      <w:r>
        <w:rPr>
          <w:spacing w:val="-6"/>
          <w:sz w:val="24"/>
        </w:rPr>
        <w:t> </w:t>
      </w:r>
      <w:r>
        <w:rPr>
          <w:spacing w:val="-2"/>
          <w:sz w:val="24"/>
        </w:rPr>
        <w:t>cadeia</w:t>
      </w:r>
      <w:r>
        <w:rPr>
          <w:spacing w:val="-9"/>
          <w:sz w:val="24"/>
        </w:rPr>
        <w:t> </w:t>
      </w:r>
      <w:r>
        <w:rPr>
          <w:sz w:val="24"/>
        </w:rPr>
        <w:t>de</w:t>
      </w:r>
      <w:r>
        <w:rPr>
          <w:spacing w:val="-9"/>
          <w:sz w:val="24"/>
        </w:rPr>
        <w:t> </w:t>
      </w:r>
      <w:r>
        <w:rPr>
          <w:sz w:val="24"/>
        </w:rPr>
        <w:t>valor</w:t>
      </w:r>
      <w:r>
        <w:rPr>
          <w:spacing w:val="-7"/>
          <w:sz w:val="24"/>
        </w:rPr>
        <w:t> </w:t>
      </w:r>
      <w:r>
        <w:rPr>
          <w:sz w:val="24"/>
        </w:rPr>
        <w:t>do</w:t>
      </w:r>
      <w:r>
        <w:rPr>
          <w:spacing w:val="-5"/>
          <w:sz w:val="24"/>
        </w:rPr>
        <w:t> </w:t>
      </w:r>
      <w:r>
        <w:rPr>
          <w:sz w:val="24"/>
        </w:rPr>
        <w:t>TRE- BA.</w:t>
      </w:r>
    </w:p>
    <w:p>
      <w:pPr>
        <w:pStyle w:val="ListParagraph"/>
        <w:numPr>
          <w:ilvl w:val="1"/>
          <w:numId w:val="3"/>
        </w:numPr>
        <w:tabs>
          <w:tab w:pos="686" w:val="left" w:leader="none"/>
        </w:tabs>
        <w:spacing w:line="240" w:lineRule="auto" w:before="1" w:after="0"/>
        <w:ind w:left="685" w:right="371" w:hanging="567"/>
        <w:jc w:val="both"/>
        <w:rPr>
          <w:sz w:val="24"/>
        </w:rPr>
      </w:pPr>
      <w:r>
        <w:rPr>
          <w:sz w:val="24"/>
        </w:rPr>
        <w:t>Em </w:t>
      </w:r>
      <w:r>
        <w:rPr>
          <w:spacing w:val="-3"/>
          <w:sz w:val="24"/>
        </w:rPr>
        <w:t>face </w:t>
      </w:r>
      <w:r>
        <w:rPr>
          <w:sz w:val="24"/>
        </w:rPr>
        <w:t>da </w:t>
      </w:r>
      <w:r>
        <w:rPr>
          <w:spacing w:val="-3"/>
          <w:sz w:val="24"/>
        </w:rPr>
        <w:t>utilização </w:t>
      </w:r>
      <w:r>
        <w:rPr>
          <w:sz w:val="24"/>
        </w:rPr>
        <w:t>do </w:t>
      </w:r>
      <w:r>
        <w:rPr>
          <w:spacing w:val="-3"/>
          <w:sz w:val="24"/>
        </w:rPr>
        <w:t>Sistema </w:t>
      </w:r>
      <w:r>
        <w:rPr>
          <w:sz w:val="24"/>
        </w:rPr>
        <w:t>AudiTSE, </w:t>
      </w:r>
      <w:r>
        <w:rPr>
          <w:spacing w:val="-3"/>
          <w:sz w:val="24"/>
        </w:rPr>
        <w:t>ferramenta </w:t>
      </w:r>
      <w:r>
        <w:rPr>
          <w:sz w:val="24"/>
        </w:rPr>
        <w:t>informatizada de suporte ao </w:t>
      </w:r>
      <w:r>
        <w:rPr>
          <w:spacing w:val="-3"/>
          <w:sz w:val="24"/>
        </w:rPr>
        <w:t>planejamento,</w:t>
      </w:r>
      <w:r>
        <w:rPr>
          <w:spacing w:val="-8"/>
          <w:sz w:val="24"/>
        </w:rPr>
        <w:t> </w:t>
      </w:r>
      <w:r>
        <w:rPr>
          <w:spacing w:val="-3"/>
          <w:sz w:val="24"/>
        </w:rPr>
        <w:t>execução,</w:t>
      </w:r>
      <w:r>
        <w:rPr>
          <w:spacing w:val="-6"/>
          <w:sz w:val="24"/>
        </w:rPr>
        <w:t> </w:t>
      </w:r>
      <w:r>
        <w:rPr>
          <w:spacing w:val="-3"/>
          <w:sz w:val="24"/>
        </w:rPr>
        <w:t>comunicação</w:t>
      </w:r>
      <w:r>
        <w:rPr>
          <w:spacing w:val="-5"/>
          <w:sz w:val="24"/>
        </w:rPr>
        <w:t> </w:t>
      </w:r>
      <w:r>
        <w:rPr>
          <w:sz w:val="24"/>
        </w:rPr>
        <w:t>de</w:t>
      </w:r>
      <w:r>
        <w:rPr>
          <w:spacing w:val="-7"/>
          <w:sz w:val="24"/>
        </w:rPr>
        <w:t> </w:t>
      </w:r>
      <w:r>
        <w:rPr>
          <w:spacing w:val="-3"/>
          <w:sz w:val="24"/>
        </w:rPr>
        <w:t>resultados</w:t>
      </w:r>
      <w:r>
        <w:rPr>
          <w:spacing w:val="-8"/>
          <w:sz w:val="24"/>
        </w:rPr>
        <w:t> </w:t>
      </w:r>
      <w:r>
        <w:rPr>
          <w:sz w:val="24"/>
        </w:rPr>
        <w:t>e</w:t>
      </w:r>
      <w:r>
        <w:rPr>
          <w:spacing w:val="-9"/>
          <w:sz w:val="24"/>
        </w:rPr>
        <w:t> </w:t>
      </w:r>
      <w:r>
        <w:rPr>
          <w:spacing w:val="-3"/>
          <w:sz w:val="24"/>
        </w:rPr>
        <w:t>monitoramento</w:t>
      </w:r>
      <w:r>
        <w:rPr>
          <w:spacing w:val="-7"/>
          <w:sz w:val="24"/>
        </w:rPr>
        <w:t> </w:t>
      </w:r>
      <w:r>
        <w:rPr>
          <w:sz w:val="24"/>
        </w:rPr>
        <w:t>de</w:t>
      </w:r>
      <w:r>
        <w:rPr>
          <w:spacing w:val="-9"/>
          <w:sz w:val="24"/>
        </w:rPr>
        <w:t> </w:t>
      </w:r>
      <w:r>
        <w:rPr>
          <w:sz w:val="24"/>
        </w:rPr>
        <w:t>ações</w:t>
      </w:r>
      <w:r>
        <w:rPr>
          <w:spacing w:val="-8"/>
          <w:sz w:val="24"/>
        </w:rPr>
        <w:t> </w:t>
      </w:r>
      <w:r>
        <w:rPr>
          <w:spacing w:val="-3"/>
          <w:sz w:val="24"/>
        </w:rPr>
        <w:t>fiscalizatórias, procedeu-se </w:t>
      </w:r>
      <w:r>
        <w:rPr>
          <w:sz w:val="24"/>
        </w:rPr>
        <w:t>ao </w:t>
      </w:r>
      <w:r>
        <w:rPr>
          <w:spacing w:val="-3"/>
          <w:sz w:val="24"/>
        </w:rPr>
        <w:t>desdobramento </w:t>
      </w:r>
      <w:r>
        <w:rPr>
          <w:sz w:val="24"/>
        </w:rPr>
        <w:t>das </w:t>
      </w:r>
      <w:r>
        <w:rPr>
          <w:spacing w:val="-3"/>
          <w:sz w:val="24"/>
        </w:rPr>
        <w:t>sobreditas </w:t>
      </w:r>
      <w:r>
        <w:rPr>
          <w:sz w:val="24"/>
        </w:rPr>
        <w:t>macro áreas – governança, gestão de riscos e controle interno; gestão orçamentária, financeira, contábil e patrimonial; gestão de compras e contratações; gestão de resultados; gestão de tecnologia da informação e comunicação (TIC); gestão de pessoas e gestão da </w:t>
      </w:r>
      <w:r>
        <w:rPr>
          <w:spacing w:val="-3"/>
          <w:sz w:val="24"/>
        </w:rPr>
        <w:t>acessibilidade </w:t>
      </w:r>
      <w:r>
        <w:rPr>
          <w:sz w:val="24"/>
        </w:rPr>
        <w:t>– em </w:t>
      </w:r>
      <w:r>
        <w:rPr>
          <w:spacing w:val="-3"/>
          <w:sz w:val="24"/>
        </w:rPr>
        <w:t>processos </w:t>
      </w:r>
      <w:r>
        <w:rPr>
          <w:sz w:val="24"/>
        </w:rPr>
        <w:t>e </w:t>
      </w:r>
      <w:r>
        <w:rPr>
          <w:spacing w:val="-3"/>
          <w:sz w:val="24"/>
        </w:rPr>
        <w:t>subprocessos, quando pertinente, consoante detalhamento evidenciado </w:t>
      </w:r>
      <w:r>
        <w:rPr>
          <w:sz w:val="24"/>
        </w:rPr>
        <w:t>no Apêndice </w:t>
      </w:r>
      <w:r>
        <w:rPr>
          <w:spacing w:val="-3"/>
          <w:sz w:val="24"/>
        </w:rPr>
        <w:t>I, </w:t>
      </w:r>
      <w:r>
        <w:rPr>
          <w:sz w:val="24"/>
        </w:rPr>
        <w:t>integrante da </w:t>
      </w:r>
      <w:r>
        <w:rPr>
          <w:spacing w:val="-3"/>
          <w:sz w:val="24"/>
        </w:rPr>
        <w:t>seção Apêndices.</w:t>
      </w:r>
    </w:p>
    <w:p>
      <w:pPr>
        <w:pStyle w:val="ListParagraph"/>
        <w:numPr>
          <w:ilvl w:val="1"/>
          <w:numId w:val="3"/>
        </w:numPr>
        <w:tabs>
          <w:tab w:pos="686" w:val="left" w:leader="none"/>
        </w:tabs>
        <w:spacing w:line="240" w:lineRule="auto" w:before="0" w:after="0"/>
        <w:ind w:left="685" w:right="368" w:hanging="567"/>
        <w:jc w:val="both"/>
        <w:rPr>
          <w:sz w:val="24"/>
        </w:rPr>
      </w:pPr>
      <w:r>
        <w:rPr>
          <w:sz w:val="24"/>
        </w:rPr>
        <w:t>A</w:t>
      </w:r>
      <w:r>
        <w:rPr>
          <w:spacing w:val="-13"/>
          <w:sz w:val="24"/>
        </w:rPr>
        <w:t> </w:t>
      </w:r>
      <w:r>
        <w:rPr>
          <w:spacing w:val="-3"/>
          <w:sz w:val="24"/>
        </w:rPr>
        <w:t>seleção</w:t>
      </w:r>
      <w:r>
        <w:rPr>
          <w:spacing w:val="-9"/>
          <w:sz w:val="24"/>
        </w:rPr>
        <w:t> </w:t>
      </w:r>
      <w:r>
        <w:rPr>
          <w:sz w:val="24"/>
        </w:rPr>
        <w:t>dos</w:t>
      </w:r>
      <w:r>
        <w:rPr>
          <w:spacing w:val="-9"/>
          <w:sz w:val="24"/>
        </w:rPr>
        <w:t> </w:t>
      </w:r>
      <w:r>
        <w:rPr>
          <w:spacing w:val="-3"/>
          <w:sz w:val="24"/>
        </w:rPr>
        <w:t>processos</w:t>
      </w:r>
      <w:r>
        <w:rPr>
          <w:spacing w:val="-9"/>
          <w:sz w:val="24"/>
        </w:rPr>
        <w:t> </w:t>
      </w:r>
      <w:r>
        <w:rPr>
          <w:sz w:val="24"/>
        </w:rPr>
        <w:t>a</w:t>
      </w:r>
      <w:r>
        <w:rPr>
          <w:spacing w:val="-10"/>
          <w:sz w:val="24"/>
        </w:rPr>
        <w:t> </w:t>
      </w:r>
      <w:r>
        <w:rPr>
          <w:spacing w:val="-3"/>
          <w:sz w:val="24"/>
        </w:rPr>
        <w:t>serem</w:t>
      </w:r>
      <w:r>
        <w:rPr>
          <w:spacing w:val="-9"/>
          <w:sz w:val="24"/>
        </w:rPr>
        <w:t> </w:t>
      </w:r>
      <w:r>
        <w:rPr>
          <w:spacing w:val="-2"/>
          <w:sz w:val="24"/>
        </w:rPr>
        <w:t>objeto</w:t>
      </w:r>
      <w:r>
        <w:rPr>
          <w:spacing w:val="-11"/>
          <w:sz w:val="24"/>
        </w:rPr>
        <w:t> </w:t>
      </w:r>
      <w:r>
        <w:rPr>
          <w:sz w:val="24"/>
        </w:rPr>
        <w:t>de</w:t>
      </w:r>
      <w:r>
        <w:rPr>
          <w:spacing w:val="-11"/>
          <w:sz w:val="24"/>
        </w:rPr>
        <w:t> </w:t>
      </w:r>
      <w:r>
        <w:rPr>
          <w:sz w:val="24"/>
        </w:rPr>
        <w:t>exame</w:t>
      </w:r>
      <w:r>
        <w:rPr>
          <w:spacing w:val="-10"/>
          <w:sz w:val="24"/>
        </w:rPr>
        <w:t> </w:t>
      </w:r>
      <w:r>
        <w:rPr>
          <w:sz w:val="24"/>
        </w:rPr>
        <w:t>em</w:t>
      </w:r>
      <w:r>
        <w:rPr>
          <w:spacing w:val="-11"/>
          <w:sz w:val="24"/>
        </w:rPr>
        <w:t> </w:t>
      </w:r>
      <w:r>
        <w:rPr>
          <w:spacing w:val="-3"/>
          <w:sz w:val="24"/>
        </w:rPr>
        <w:t>2020</w:t>
      </w:r>
      <w:r>
        <w:rPr>
          <w:spacing w:val="-9"/>
          <w:sz w:val="24"/>
        </w:rPr>
        <w:t> </w:t>
      </w:r>
      <w:r>
        <w:rPr>
          <w:spacing w:val="-3"/>
          <w:sz w:val="24"/>
        </w:rPr>
        <w:t>observou</w:t>
      </w:r>
      <w:r>
        <w:rPr>
          <w:spacing w:val="-9"/>
          <w:sz w:val="24"/>
        </w:rPr>
        <w:t> </w:t>
      </w:r>
      <w:r>
        <w:rPr>
          <w:sz w:val="24"/>
        </w:rPr>
        <w:t>a</w:t>
      </w:r>
      <w:r>
        <w:rPr>
          <w:spacing w:val="-10"/>
          <w:sz w:val="24"/>
        </w:rPr>
        <w:t> </w:t>
      </w:r>
      <w:r>
        <w:rPr>
          <w:spacing w:val="-3"/>
          <w:sz w:val="24"/>
        </w:rPr>
        <w:t>avaliação,</w:t>
      </w:r>
      <w:r>
        <w:rPr>
          <w:spacing w:val="-9"/>
          <w:sz w:val="24"/>
        </w:rPr>
        <w:t> </w:t>
      </w:r>
      <w:r>
        <w:rPr>
          <w:sz w:val="24"/>
        </w:rPr>
        <w:t>pela</w:t>
      </w:r>
      <w:r>
        <w:rPr>
          <w:spacing w:val="-11"/>
          <w:sz w:val="24"/>
        </w:rPr>
        <w:t> </w:t>
      </w:r>
      <w:r>
        <w:rPr>
          <w:spacing w:val="-3"/>
          <w:sz w:val="24"/>
        </w:rPr>
        <w:t>unidade </w:t>
      </w:r>
      <w:r>
        <w:rPr>
          <w:sz w:val="24"/>
        </w:rPr>
        <w:t>de </w:t>
      </w:r>
      <w:r>
        <w:rPr>
          <w:spacing w:val="-3"/>
          <w:sz w:val="24"/>
        </w:rPr>
        <w:t>auditoria </w:t>
      </w:r>
      <w:r>
        <w:rPr>
          <w:sz w:val="24"/>
        </w:rPr>
        <w:t>interna, dos </w:t>
      </w:r>
      <w:r>
        <w:rPr>
          <w:spacing w:val="-3"/>
          <w:sz w:val="24"/>
        </w:rPr>
        <w:t>critérios constantes </w:t>
      </w:r>
      <w:r>
        <w:rPr>
          <w:sz w:val="24"/>
        </w:rPr>
        <w:t>do Apêndice </w:t>
      </w:r>
      <w:r>
        <w:rPr>
          <w:spacing w:val="-3"/>
          <w:sz w:val="24"/>
        </w:rPr>
        <w:t>II, afetos </w:t>
      </w:r>
      <w:r>
        <w:rPr>
          <w:sz w:val="24"/>
        </w:rPr>
        <w:t>à </w:t>
      </w:r>
      <w:r>
        <w:rPr>
          <w:spacing w:val="-3"/>
          <w:sz w:val="24"/>
        </w:rPr>
        <w:t>materialidade </w:t>
      </w:r>
      <w:r>
        <w:rPr>
          <w:sz w:val="24"/>
        </w:rPr>
        <w:t>– volume de </w:t>
      </w:r>
      <w:r>
        <w:rPr>
          <w:spacing w:val="-3"/>
          <w:sz w:val="24"/>
        </w:rPr>
        <w:t>recursos </w:t>
      </w:r>
      <w:r>
        <w:rPr>
          <w:sz w:val="24"/>
        </w:rPr>
        <w:t>orçamentários –, </w:t>
      </w:r>
      <w:r>
        <w:rPr>
          <w:spacing w:val="-3"/>
          <w:sz w:val="24"/>
        </w:rPr>
        <w:t>relevância </w:t>
      </w:r>
      <w:r>
        <w:rPr>
          <w:sz w:val="24"/>
        </w:rPr>
        <w:t>– </w:t>
      </w:r>
      <w:r>
        <w:rPr>
          <w:spacing w:val="-3"/>
          <w:sz w:val="24"/>
        </w:rPr>
        <w:t>papel </w:t>
      </w:r>
      <w:r>
        <w:rPr>
          <w:sz w:val="24"/>
        </w:rPr>
        <w:t>de </w:t>
      </w:r>
      <w:r>
        <w:rPr>
          <w:spacing w:val="-3"/>
          <w:sz w:val="24"/>
        </w:rPr>
        <w:t>contribuição </w:t>
      </w:r>
      <w:r>
        <w:rPr>
          <w:sz w:val="24"/>
        </w:rPr>
        <w:t>no alcance dos </w:t>
      </w:r>
      <w:r>
        <w:rPr>
          <w:spacing w:val="-3"/>
          <w:sz w:val="24"/>
        </w:rPr>
        <w:t>objetivos </w:t>
      </w:r>
      <w:r>
        <w:rPr>
          <w:sz w:val="24"/>
        </w:rPr>
        <w:t>e </w:t>
      </w:r>
      <w:r>
        <w:rPr>
          <w:spacing w:val="-3"/>
          <w:sz w:val="24"/>
        </w:rPr>
        <w:t>metas organizacionais </w:t>
      </w:r>
      <w:r>
        <w:rPr>
          <w:sz w:val="24"/>
        </w:rPr>
        <w:t>–, e </w:t>
      </w:r>
      <w:r>
        <w:rPr>
          <w:spacing w:val="-3"/>
          <w:sz w:val="24"/>
        </w:rPr>
        <w:t>criticidade </w:t>
      </w:r>
      <w:r>
        <w:rPr>
          <w:sz w:val="24"/>
        </w:rPr>
        <w:t>– interstício de tempo decorrido desde a última </w:t>
      </w:r>
      <w:r>
        <w:rPr>
          <w:spacing w:val="-3"/>
          <w:sz w:val="24"/>
        </w:rPr>
        <w:t>ação fiscalizatória</w:t>
      </w:r>
      <w:r>
        <w:rPr>
          <w:spacing w:val="-6"/>
          <w:sz w:val="24"/>
        </w:rPr>
        <w:t> </w:t>
      </w:r>
      <w:r>
        <w:rPr>
          <w:spacing w:val="-3"/>
          <w:sz w:val="24"/>
        </w:rPr>
        <w:t>realizada.</w:t>
      </w:r>
    </w:p>
    <w:p>
      <w:pPr>
        <w:pStyle w:val="ListParagraph"/>
        <w:numPr>
          <w:ilvl w:val="1"/>
          <w:numId w:val="3"/>
        </w:numPr>
        <w:tabs>
          <w:tab w:pos="686" w:val="left" w:leader="none"/>
        </w:tabs>
        <w:spacing w:line="240" w:lineRule="auto" w:before="1" w:after="0"/>
        <w:ind w:left="685" w:right="369" w:hanging="567"/>
        <w:jc w:val="both"/>
        <w:rPr>
          <w:sz w:val="24"/>
        </w:rPr>
      </w:pPr>
      <w:r>
        <w:rPr>
          <w:spacing w:val="-3"/>
          <w:sz w:val="24"/>
        </w:rPr>
        <w:t>Assim, </w:t>
      </w:r>
      <w:r>
        <w:rPr>
          <w:sz w:val="24"/>
        </w:rPr>
        <w:t>para mensuração dos </w:t>
      </w:r>
      <w:r>
        <w:rPr>
          <w:spacing w:val="-3"/>
          <w:sz w:val="24"/>
        </w:rPr>
        <w:t>fatores </w:t>
      </w:r>
      <w:r>
        <w:rPr>
          <w:sz w:val="24"/>
        </w:rPr>
        <w:t>de seleção dos </w:t>
      </w:r>
      <w:r>
        <w:rPr>
          <w:spacing w:val="-3"/>
          <w:sz w:val="24"/>
        </w:rPr>
        <w:t>processos </w:t>
      </w:r>
      <w:r>
        <w:rPr>
          <w:sz w:val="24"/>
        </w:rPr>
        <w:t>a serem </w:t>
      </w:r>
      <w:r>
        <w:rPr>
          <w:spacing w:val="-3"/>
          <w:sz w:val="24"/>
        </w:rPr>
        <w:t>avaliados foram</w:t>
      </w:r>
      <w:r>
        <w:rPr>
          <w:spacing w:val="54"/>
          <w:sz w:val="24"/>
        </w:rPr>
        <w:t> </w:t>
      </w:r>
      <w:r>
        <w:rPr>
          <w:spacing w:val="-3"/>
          <w:sz w:val="24"/>
        </w:rPr>
        <w:t>observados parâmetros </w:t>
      </w:r>
      <w:r>
        <w:rPr>
          <w:sz w:val="24"/>
        </w:rPr>
        <w:t>– </w:t>
      </w:r>
      <w:r>
        <w:rPr>
          <w:spacing w:val="-3"/>
          <w:sz w:val="24"/>
        </w:rPr>
        <w:t>critérios </w:t>
      </w:r>
      <w:r>
        <w:rPr>
          <w:sz w:val="24"/>
        </w:rPr>
        <w:t>de </w:t>
      </w:r>
      <w:r>
        <w:rPr>
          <w:spacing w:val="-3"/>
          <w:sz w:val="24"/>
        </w:rPr>
        <w:t>pontuação </w:t>
      </w:r>
      <w:r>
        <w:rPr>
          <w:sz w:val="24"/>
        </w:rPr>
        <w:t>e pesos – </w:t>
      </w:r>
      <w:r>
        <w:rPr>
          <w:spacing w:val="-3"/>
          <w:sz w:val="24"/>
        </w:rPr>
        <w:t>específicos, </w:t>
      </w:r>
      <w:r>
        <w:rPr>
          <w:sz w:val="24"/>
        </w:rPr>
        <w:t>sendo a </w:t>
      </w:r>
      <w:r>
        <w:rPr>
          <w:spacing w:val="-3"/>
          <w:sz w:val="24"/>
        </w:rPr>
        <w:t>priorização </w:t>
      </w:r>
      <w:r>
        <w:rPr>
          <w:sz w:val="24"/>
        </w:rPr>
        <w:t>de </w:t>
      </w:r>
      <w:r>
        <w:rPr>
          <w:spacing w:val="-3"/>
          <w:sz w:val="24"/>
        </w:rPr>
        <w:t>processos auditáveis </w:t>
      </w:r>
      <w:r>
        <w:rPr>
          <w:sz w:val="24"/>
        </w:rPr>
        <w:t>obtida a partir da soma </w:t>
      </w:r>
      <w:r>
        <w:rPr>
          <w:spacing w:val="-3"/>
          <w:sz w:val="24"/>
        </w:rPr>
        <w:t>ponderada </w:t>
      </w:r>
      <w:r>
        <w:rPr>
          <w:sz w:val="24"/>
        </w:rPr>
        <w:t>de pesos </w:t>
      </w:r>
      <w:r>
        <w:rPr>
          <w:spacing w:val="-3"/>
          <w:sz w:val="24"/>
        </w:rPr>
        <w:t>atribuídos </w:t>
      </w:r>
      <w:r>
        <w:rPr>
          <w:sz w:val="24"/>
        </w:rPr>
        <w:t>a cada variável </w:t>
      </w:r>
      <w:r>
        <w:rPr>
          <w:spacing w:val="-3"/>
          <w:sz w:val="24"/>
        </w:rPr>
        <w:t>considerada, </w:t>
      </w:r>
      <w:r>
        <w:rPr>
          <w:sz w:val="24"/>
        </w:rPr>
        <w:t>quais sejam, </w:t>
      </w:r>
      <w:r>
        <w:rPr>
          <w:spacing w:val="-3"/>
          <w:sz w:val="24"/>
        </w:rPr>
        <w:t>materialidade, relevância </w:t>
      </w:r>
      <w:r>
        <w:rPr>
          <w:sz w:val="24"/>
        </w:rPr>
        <w:t>e</w:t>
      </w:r>
      <w:r>
        <w:rPr>
          <w:spacing w:val="-18"/>
          <w:sz w:val="24"/>
        </w:rPr>
        <w:t> </w:t>
      </w:r>
      <w:r>
        <w:rPr>
          <w:spacing w:val="-3"/>
          <w:sz w:val="24"/>
        </w:rPr>
        <w:t>criticidade.</w:t>
      </w:r>
    </w:p>
    <w:p>
      <w:pPr>
        <w:pStyle w:val="ListParagraph"/>
        <w:numPr>
          <w:ilvl w:val="1"/>
          <w:numId w:val="3"/>
        </w:numPr>
        <w:tabs>
          <w:tab w:pos="686" w:val="left" w:leader="none"/>
        </w:tabs>
        <w:spacing w:line="240" w:lineRule="auto" w:before="0" w:after="0"/>
        <w:ind w:left="685" w:right="371" w:hanging="567"/>
        <w:jc w:val="both"/>
        <w:rPr>
          <w:sz w:val="24"/>
        </w:rPr>
      </w:pPr>
      <w:r>
        <w:rPr>
          <w:spacing w:val="-3"/>
          <w:sz w:val="24"/>
        </w:rPr>
        <w:t>Adicionalmente,</w:t>
      </w:r>
      <w:r>
        <w:rPr>
          <w:spacing w:val="-11"/>
          <w:sz w:val="24"/>
        </w:rPr>
        <w:t> </w:t>
      </w:r>
      <w:r>
        <w:rPr>
          <w:spacing w:val="-3"/>
          <w:sz w:val="24"/>
        </w:rPr>
        <w:t>ponderou-se</w:t>
      </w:r>
      <w:r>
        <w:rPr>
          <w:spacing w:val="-8"/>
          <w:sz w:val="24"/>
        </w:rPr>
        <w:t> </w:t>
      </w:r>
      <w:r>
        <w:rPr>
          <w:sz w:val="24"/>
        </w:rPr>
        <w:t>a</w:t>
      </w:r>
      <w:r>
        <w:rPr>
          <w:spacing w:val="-11"/>
          <w:sz w:val="24"/>
        </w:rPr>
        <w:t> </w:t>
      </w:r>
      <w:r>
        <w:rPr>
          <w:spacing w:val="-3"/>
          <w:sz w:val="24"/>
        </w:rPr>
        <w:t>quantidade</w:t>
      </w:r>
      <w:r>
        <w:rPr>
          <w:spacing w:val="-11"/>
          <w:sz w:val="24"/>
        </w:rPr>
        <w:t> </w:t>
      </w:r>
      <w:r>
        <w:rPr>
          <w:sz w:val="24"/>
        </w:rPr>
        <w:t>de</w:t>
      </w:r>
      <w:r>
        <w:rPr>
          <w:spacing w:val="-11"/>
          <w:sz w:val="24"/>
        </w:rPr>
        <w:t> </w:t>
      </w:r>
      <w:r>
        <w:rPr>
          <w:sz w:val="24"/>
        </w:rPr>
        <w:t>horas</w:t>
      </w:r>
      <w:r>
        <w:rPr>
          <w:spacing w:val="-9"/>
          <w:sz w:val="24"/>
        </w:rPr>
        <w:t> </w:t>
      </w:r>
      <w:r>
        <w:rPr>
          <w:sz w:val="24"/>
        </w:rPr>
        <w:t>de</w:t>
      </w:r>
      <w:r>
        <w:rPr>
          <w:spacing w:val="-11"/>
          <w:sz w:val="24"/>
        </w:rPr>
        <w:t> </w:t>
      </w:r>
      <w:r>
        <w:rPr>
          <w:sz w:val="24"/>
        </w:rPr>
        <w:t>auditoria</w:t>
      </w:r>
      <w:r>
        <w:rPr>
          <w:spacing w:val="-10"/>
          <w:sz w:val="24"/>
        </w:rPr>
        <w:t> </w:t>
      </w:r>
      <w:r>
        <w:rPr>
          <w:sz w:val="24"/>
        </w:rPr>
        <w:t>requerida</w:t>
      </w:r>
      <w:r>
        <w:rPr>
          <w:spacing w:val="-12"/>
          <w:sz w:val="24"/>
        </w:rPr>
        <w:t> </w:t>
      </w:r>
      <w:r>
        <w:rPr>
          <w:sz w:val="24"/>
        </w:rPr>
        <w:t>em</w:t>
      </w:r>
      <w:r>
        <w:rPr>
          <w:spacing w:val="-9"/>
          <w:sz w:val="24"/>
        </w:rPr>
        <w:t> </w:t>
      </w:r>
      <w:r>
        <w:rPr>
          <w:spacing w:val="-3"/>
          <w:sz w:val="24"/>
        </w:rPr>
        <w:t>função</w:t>
      </w:r>
      <w:r>
        <w:rPr>
          <w:spacing w:val="-10"/>
          <w:sz w:val="24"/>
        </w:rPr>
        <w:t> </w:t>
      </w:r>
      <w:r>
        <w:rPr>
          <w:sz w:val="24"/>
        </w:rPr>
        <w:t>do</w:t>
      </w:r>
      <w:r>
        <w:rPr>
          <w:spacing w:val="-10"/>
          <w:sz w:val="24"/>
        </w:rPr>
        <w:t> </w:t>
      </w:r>
      <w:r>
        <w:rPr>
          <w:sz w:val="24"/>
        </w:rPr>
        <w:t>total de </w:t>
      </w:r>
      <w:r>
        <w:rPr>
          <w:spacing w:val="-3"/>
          <w:sz w:val="24"/>
        </w:rPr>
        <w:t>horas disponíveis </w:t>
      </w:r>
      <w:r>
        <w:rPr>
          <w:sz w:val="24"/>
        </w:rPr>
        <w:t>(vide Apêndice III), </w:t>
      </w:r>
      <w:r>
        <w:rPr>
          <w:spacing w:val="-3"/>
          <w:sz w:val="24"/>
        </w:rPr>
        <w:t>bem </w:t>
      </w:r>
      <w:r>
        <w:rPr>
          <w:sz w:val="24"/>
        </w:rPr>
        <w:t>como as diretrizes para </w:t>
      </w:r>
      <w:r>
        <w:rPr>
          <w:spacing w:val="-3"/>
          <w:sz w:val="24"/>
        </w:rPr>
        <w:t>realização obrigatória </w:t>
      </w:r>
      <w:r>
        <w:rPr>
          <w:sz w:val="24"/>
        </w:rPr>
        <w:t>de</w:t>
      </w:r>
      <w:r>
        <w:rPr>
          <w:spacing w:val="-7"/>
          <w:sz w:val="24"/>
        </w:rPr>
        <w:t> </w:t>
      </w:r>
      <w:r>
        <w:rPr>
          <w:sz w:val="24"/>
        </w:rPr>
        <w:t>ações</w:t>
      </w:r>
      <w:r>
        <w:rPr>
          <w:spacing w:val="-3"/>
          <w:sz w:val="24"/>
        </w:rPr>
        <w:t> coordenadas</w:t>
      </w:r>
      <w:r>
        <w:rPr>
          <w:spacing w:val="-6"/>
          <w:sz w:val="24"/>
        </w:rPr>
        <w:t> </w:t>
      </w:r>
      <w:r>
        <w:rPr>
          <w:sz w:val="24"/>
        </w:rPr>
        <w:t>e</w:t>
      </w:r>
      <w:r>
        <w:rPr>
          <w:spacing w:val="-6"/>
          <w:sz w:val="24"/>
        </w:rPr>
        <w:t> </w:t>
      </w:r>
      <w:r>
        <w:rPr>
          <w:sz w:val="24"/>
        </w:rPr>
        <w:t>integradas</w:t>
      </w:r>
      <w:r>
        <w:rPr>
          <w:spacing w:val="-6"/>
          <w:sz w:val="24"/>
        </w:rPr>
        <w:t> </w:t>
      </w:r>
      <w:r>
        <w:rPr>
          <w:spacing w:val="-3"/>
          <w:sz w:val="24"/>
        </w:rPr>
        <w:t>emanadas </w:t>
      </w:r>
      <w:r>
        <w:rPr>
          <w:sz w:val="24"/>
        </w:rPr>
        <w:t>do</w:t>
      </w:r>
      <w:r>
        <w:rPr>
          <w:spacing w:val="-6"/>
          <w:sz w:val="24"/>
        </w:rPr>
        <w:t> </w:t>
      </w:r>
      <w:r>
        <w:rPr>
          <w:sz w:val="24"/>
        </w:rPr>
        <w:t>CNJ</w:t>
      </w:r>
      <w:r>
        <w:rPr>
          <w:spacing w:val="-6"/>
          <w:sz w:val="24"/>
        </w:rPr>
        <w:t> </w:t>
      </w:r>
      <w:r>
        <w:rPr>
          <w:sz w:val="24"/>
        </w:rPr>
        <w:t>e</w:t>
      </w:r>
      <w:r>
        <w:rPr>
          <w:spacing w:val="-7"/>
          <w:sz w:val="24"/>
        </w:rPr>
        <w:t> </w:t>
      </w:r>
      <w:r>
        <w:rPr>
          <w:sz w:val="24"/>
        </w:rPr>
        <w:t>TSE,</w:t>
      </w:r>
      <w:r>
        <w:rPr>
          <w:spacing w:val="-3"/>
          <w:sz w:val="24"/>
        </w:rPr>
        <w:t> respectivamente.</w:t>
      </w:r>
    </w:p>
    <w:p>
      <w:pPr>
        <w:pStyle w:val="ListParagraph"/>
        <w:numPr>
          <w:ilvl w:val="1"/>
          <w:numId w:val="3"/>
        </w:numPr>
        <w:tabs>
          <w:tab w:pos="686" w:val="left" w:leader="none"/>
        </w:tabs>
        <w:spacing w:line="240" w:lineRule="auto" w:before="0" w:after="0"/>
        <w:ind w:left="685" w:right="374" w:hanging="567"/>
        <w:jc w:val="both"/>
        <w:rPr>
          <w:sz w:val="24"/>
        </w:rPr>
      </w:pPr>
      <w:r>
        <w:rPr>
          <w:sz w:val="24"/>
        </w:rPr>
        <w:t>Dessa forma, a soma ponderada da </w:t>
      </w:r>
      <w:r>
        <w:rPr>
          <w:spacing w:val="-3"/>
          <w:sz w:val="24"/>
        </w:rPr>
        <w:t>pontuação conferida </w:t>
      </w:r>
      <w:r>
        <w:rPr>
          <w:sz w:val="24"/>
        </w:rPr>
        <w:t>pela COAUD a cada fator de risco </w:t>
      </w:r>
      <w:r>
        <w:rPr>
          <w:spacing w:val="-3"/>
          <w:sz w:val="24"/>
        </w:rPr>
        <w:t>analisado</w:t>
      </w:r>
      <w:r>
        <w:rPr>
          <w:spacing w:val="-6"/>
          <w:sz w:val="24"/>
        </w:rPr>
        <w:t> </w:t>
      </w:r>
      <w:r>
        <w:rPr>
          <w:spacing w:val="-3"/>
          <w:sz w:val="24"/>
        </w:rPr>
        <w:t>resultou</w:t>
      </w:r>
      <w:r>
        <w:rPr>
          <w:spacing w:val="-7"/>
          <w:sz w:val="24"/>
        </w:rPr>
        <w:t> </w:t>
      </w:r>
      <w:r>
        <w:rPr>
          <w:sz w:val="24"/>
        </w:rPr>
        <w:t>no</w:t>
      </w:r>
      <w:r>
        <w:rPr>
          <w:spacing w:val="-5"/>
          <w:sz w:val="24"/>
        </w:rPr>
        <w:t> </w:t>
      </w:r>
      <w:r>
        <w:rPr>
          <w:spacing w:val="-3"/>
          <w:sz w:val="24"/>
        </w:rPr>
        <w:t>seguinte</w:t>
      </w:r>
      <w:r>
        <w:rPr>
          <w:spacing w:val="-8"/>
          <w:sz w:val="24"/>
        </w:rPr>
        <w:t> </w:t>
      </w:r>
      <w:r>
        <w:rPr>
          <w:sz w:val="24"/>
        </w:rPr>
        <w:t>indicativo</w:t>
      </w:r>
      <w:r>
        <w:rPr>
          <w:spacing w:val="-7"/>
          <w:sz w:val="24"/>
        </w:rPr>
        <w:t> </w:t>
      </w:r>
      <w:r>
        <w:rPr>
          <w:sz w:val="24"/>
        </w:rPr>
        <w:t>de</w:t>
      </w:r>
      <w:r>
        <w:rPr>
          <w:spacing w:val="-6"/>
          <w:sz w:val="24"/>
        </w:rPr>
        <w:t> </w:t>
      </w:r>
      <w:r>
        <w:rPr>
          <w:sz w:val="24"/>
        </w:rPr>
        <w:t>processos</w:t>
      </w:r>
      <w:r>
        <w:rPr>
          <w:spacing w:val="-7"/>
          <w:sz w:val="24"/>
        </w:rPr>
        <w:t> </w:t>
      </w:r>
      <w:r>
        <w:rPr>
          <w:sz w:val="24"/>
        </w:rPr>
        <w:t>para</w:t>
      </w:r>
      <w:r>
        <w:rPr>
          <w:spacing w:val="-6"/>
          <w:sz w:val="24"/>
        </w:rPr>
        <w:t> </w:t>
      </w:r>
      <w:r>
        <w:rPr>
          <w:sz w:val="24"/>
        </w:rPr>
        <w:t>exame</w:t>
      </w:r>
      <w:r>
        <w:rPr>
          <w:spacing w:val="-6"/>
          <w:sz w:val="24"/>
        </w:rPr>
        <w:t> </w:t>
      </w:r>
      <w:r>
        <w:rPr>
          <w:spacing w:val="-3"/>
          <w:sz w:val="24"/>
        </w:rPr>
        <w:t>prioritário</w:t>
      </w:r>
      <w:r>
        <w:rPr>
          <w:spacing w:val="-5"/>
          <w:sz w:val="24"/>
        </w:rPr>
        <w:t> </w:t>
      </w:r>
      <w:r>
        <w:rPr>
          <w:sz w:val="24"/>
        </w:rPr>
        <w:t>em</w:t>
      </w:r>
      <w:r>
        <w:rPr>
          <w:spacing w:val="-7"/>
          <w:sz w:val="24"/>
        </w:rPr>
        <w:t> </w:t>
      </w:r>
      <w:r>
        <w:rPr>
          <w:sz w:val="24"/>
        </w:rPr>
        <w:t>2020:</w:t>
      </w:r>
    </w:p>
    <w:p>
      <w:pPr>
        <w:spacing w:before="120"/>
        <w:ind w:left="118" w:right="0" w:firstLine="0"/>
        <w:jc w:val="both"/>
        <w:rPr>
          <w:sz w:val="22"/>
        </w:rPr>
      </w:pPr>
      <w:r>
        <w:rPr>
          <w:sz w:val="22"/>
        </w:rPr>
        <w:t>Quadro 1 – Priorização de processos passíveis de auditoria – Exercício 2020 – TRE-BA.</w:t>
      </w:r>
    </w:p>
    <w:tbl>
      <w:tblPr>
        <w:tblW w:w="0" w:type="auto"/>
        <w:jc w:val="left"/>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6"/>
        <w:gridCol w:w="2314"/>
        <w:gridCol w:w="1382"/>
        <w:gridCol w:w="1243"/>
        <w:gridCol w:w="1483"/>
        <w:gridCol w:w="809"/>
        <w:gridCol w:w="1444"/>
      </w:tblGrid>
      <w:tr>
        <w:trPr>
          <w:trHeight w:val="635" w:hRule="atLeast"/>
        </w:trPr>
        <w:tc>
          <w:tcPr>
            <w:tcW w:w="576" w:type="dxa"/>
          </w:tcPr>
          <w:p>
            <w:pPr>
              <w:pStyle w:val="TableParagraph"/>
              <w:spacing w:line="275" w:lineRule="exact" w:before="0"/>
              <w:ind w:left="107"/>
              <w:rPr>
                <w:b/>
                <w:sz w:val="24"/>
              </w:rPr>
            </w:pPr>
            <w:r>
              <w:rPr>
                <w:b/>
                <w:sz w:val="24"/>
              </w:rPr>
              <w:t>Ref</w:t>
            </w:r>
          </w:p>
          <w:p>
            <w:pPr>
              <w:pStyle w:val="TableParagraph"/>
              <w:spacing w:before="41"/>
              <w:ind w:left="146"/>
              <w:rPr>
                <w:b/>
                <w:sz w:val="24"/>
              </w:rPr>
            </w:pPr>
            <w:r>
              <w:rPr>
                <w:b/>
                <w:sz w:val="24"/>
              </w:rPr>
              <w:t>(*)</w:t>
            </w:r>
          </w:p>
        </w:tc>
        <w:tc>
          <w:tcPr>
            <w:tcW w:w="2314" w:type="dxa"/>
          </w:tcPr>
          <w:p>
            <w:pPr>
              <w:pStyle w:val="TableParagraph"/>
              <w:spacing w:before="157"/>
              <w:ind w:left="87" w:right="82"/>
              <w:jc w:val="center"/>
              <w:rPr>
                <w:b/>
                <w:sz w:val="24"/>
              </w:rPr>
            </w:pPr>
            <w:r>
              <w:rPr>
                <w:b/>
                <w:sz w:val="24"/>
              </w:rPr>
              <w:t>Processo Auditável</w:t>
            </w:r>
          </w:p>
        </w:tc>
        <w:tc>
          <w:tcPr>
            <w:tcW w:w="1382" w:type="dxa"/>
          </w:tcPr>
          <w:p>
            <w:pPr>
              <w:pStyle w:val="TableParagraph"/>
              <w:spacing w:line="275" w:lineRule="exact" w:before="0"/>
              <w:ind w:left="88" w:right="77"/>
              <w:jc w:val="center"/>
              <w:rPr>
                <w:b/>
                <w:sz w:val="24"/>
              </w:rPr>
            </w:pPr>
            <w:r>
              <w:rPr>
                <w:b/>
                <w:sz w:val="24"/>
              </w:rPr>
              <w:t>Gestor</w:t>
            </w:r>
          </w:p>
          <w:p>
            <w:pPr>
              <w:pStyle w:val="TableParagraph"/>
              <w:spacing w:before="41"/>
              <w:ind w:left="88" w:right="83"/>
              <w:jc w:val="center"/>
              <w:rPr>
                <w:b/>
                <w:sz w:val="24"/>
              </w:rPr>
            </w:pPr>
            <w:r>
              <w:rPr>
                <w:b/>
                <w:sz w:val="24"/>
              </w:rPr>
              <w:t>Estratégico</w:t>
            </w:r>
          </w:p>
        </w:tc>
        <w:tc>
          <w:tcPr>
            <w:tcW w:w="1243" w:type="dxa"/>
          </w:tcPr>
          <w:p>
            <w:pPr>
              <w:pStyle w:val="TableParagraph"/>
              <w:spacing w:line="275" w:lineRule="exact" w:before="0"/>
              <w:ind w:left="273"/>
              <w:rPr>
                <w:b/>
                <w:sz w:val="24"/>
              </w:rPr>
            </w:pPr>
            <w:r>
              <w:rPr>
                <w:b/>
                <w:sz w:val="24"/>
              </w:rPr>
              <w:t>Gestor</w:t>
            </w:r>
          </w:p>
          <w:p>
            <w:pPr>
              <w:pStyle w:val="TableParagraph"/>
              <w:spacing w:before="41"/>
              <w:ind w:left="293"/>
              <w:rPr>
                <w:b/>
                <w:sz w:val="24"/>
              </w:rPr>
            </w:pPr>
            <w:r>
              <w:rPr>
                <w:b/>
                <w:sz w:val="24"/>
              </w:rPr>
              <w:t>Tático</w:t>
            </w:r>
          </w:p>
        </w:tc>
        <w:tc>
          <w:tcPr>
            <w:tcW w:w="1483" w:type="dxa"/>
          </w:tcPr>
          <w:p>
            <w:pPr>
              <w:pStyle w:val="TableParagraph"/>
              <w:spacing w:line="275" w:lineRule="exact" w:before="0"/>
              <w:ind w:left="86" w:right="78"/>
              <w:jc w:val="center"/>
              <w:rPr>
                <w:b/>
                <w:sz w:val="24"/>
              </w:rPr>
            </w:pPr>
            <w:r>
              <w:rPr>
                <w:b/>
                <w:sz w:val="24"/>
              </w:rPr>
              <w:t>Gestor</w:t>
            </w:r>
          </w:p>
          <w:p>
            <w:pPr>
              <w:pStyle w:val="TableParagraph"/>
              <w:spacing w:before="41"/>
              <w:ind w:left="86" w:right="80"/>
              <w:jc w:val="center"/>
              <w:rPr>
                <w:b/>
                <w:sz w:val="24"/>
              </w:rPr>
            </w:pPr>
            <w:r>
              <w:rPr>
                <w:b/>
                <w:sz w:val="24"/>
              </w:rPr>
              <w:t>Operacional</w:t>
            </w:r>
          </w:p>
        </w:tc>
        <w:tc>
          <w:tcPr>
            <w:tcW w:w="809" w:type="dxa"/>
          </w:tcPr>
          <w:p>
            <w:pPr>
              <w:pStyle w:val="TableParagraph"/>
              <w:spacing w:before="39"/>
              <w:ind w:left="202" w:right="97" w:hanging="80"/>
              <w:rPr>
                <w:b/>
                <w:sz w:val="24"/>
              </w:rPr>
            </w:pPr>
            <w:r>
              <w:rPr>
                <w:b/>
                <w:sz w:val="24"/>
              </w:rPr>
              <w:t>Risco (**)</w:t>
            </w:r>
          </w:p>
        </w:tc>
        <w:tc>
          <w:tcPr>
            <w:tcW w:w="1444" w:type="dxa"/>
          </w:tcPr>
          <w:p>
            <w:pPr>
              <w:pStyle w:val="TableParagraph"/>
              <w:spacing w:before="0"/>
              <w:ind w:left="109" w:right="78" w:firstLine="112"/>
              <w:rPr>
                <w:b/>
                <w:sz w:val="24"/>
              </w:rPr>
            </w:pPr>
            <w:r>
              <w:rPr>
                <w:b/>
                <w:sz w:val="24"/>
              </w:rPr>
              <w:t>Auditoria Obrigatória</w:t>
            </w:r>
          </w:p>
        </w:tc>
      </w:tr>
      <w:tr>
        <w:trPr>
          <w:trHeight w:val="396" w:hRule="atLeast"/>
        </w:trPr>
        <w:tc>
          <w:tcPr>
            <w:tcW w:w="576" w:type="dxa"/>
          </w:tcPr>
          <w:p>
            <w:pPr>
              <w:pStyle w:val="TableParagraph"/>
              <w:ind w:left="9"/>
              <w:jc w:val="center"/>
              <w:rPr>
                <w:sz w:val="24"/>
              </w:rPr>
            </w:pPr>
            <w:r>
              <w:rPr>
                <w:sz w:val="24"/>
              </w:rPr>
              <w:t>1</w:t>
            </w:r>
          </w:p>
        </w:tc>
        <w:tc>
          <w:tcPr>
            <w:tcW w:w="2314" w:type="dxa"/>
          </w:tcPr>
          <w:p>
            <w:pPr>
              <w:pStyle w:val="TableParagraph"/>
              <w:ind w:left="87" w:right="137"/>
              <w:jc w:val="center"/>
              <w:rPr>
                <w:sz w:val="24"/>
              </w:rPr>
            </w:pPr>
            <w:r>
              <w:rPr>
                <w:sz w:val="24"/>
              </w:rPr>
              <w:t>Infraestrutura de TIC</w:t>
            </w:r>
          </w:p>
        </w:tc>
        <w:tc>
          <w:tcPr>
            <w:tcW w:w="1382" w:type="dxa"/>
          </w:tcPr>
          <w:p>
            <w:pPr>
              <w:pStyle w:val="TableParagraph"/>
              <w:ind w:left="511"/>
              <w:rPr>
                <w:sz w:val="24"/>
              </w:rPr>
            </w:pPr>
            <w:r>
              <w:rPr>
                <w:sz w:val="24"/>
              </w:rPr>
              <w:t>STI</w:t>
            </w:r>
          </w:p>
        </w:tc>
        <w:tc>
          <w:tcPr>
            <w:tcW w:w="1243" w:type="dxa"/>
          </w:tcPr>
          <w:p>
            <w:pPr>
              <w:pStyle w:val="TableParagraph"/>
              <w:ind w:left="84" w:right="80"/>
              <w:jc w:val="center"/>
              <w:rPr>
                <w:sz w:val="24"/>
              </w:rPr>
            </w:pPr>
            <w:r>
              <w:rPr>
                <w:sz w:val="24"/>
              </w:rPr>
              <w:t>COSINF</w:t>
            </w:r>
          </w:p>
        </w:tc>
        <w:tc>
          <w:tcPr>
            <w:tcW w:w="1483" w:type="dxa"/>
          </w:tcPr>
          <w:p>
            <w:pPr>
              <w:pStyle w:val="TableParagraph"/>
              <w:ind w:right="231"/>
              <w:jc w:val="right"/>
              <w:rPr>
                <w:sz w:val="24"/>
              </w:rPr>
            </w:pPr>
            <w:r>
              <w:rPr>
                <w:sz w:val="24"/>
              </w:rPr>
              <w:t>SEINFRA</w:t>
            </w:r>
          </w:p>
        </w:tc>
        <w:tc>
          <w:tcPr>
            <w:tcW w:w="809" w:type="dxa"/>
          </w:tcPr>
          <w:p>
            <w:pPr>
              <w:pStyle w:val="TableParagraph"/>
              <w:ind w:left="284"/>
              <w:rPr>
                <w:sz w:val="24"/>
              </w:rPr>
            </w:pPr>
            <w:r>
              <w:rPr>
                <w:sz w:val="24"/>
              </w:rPr>
              <w:t>16</w:t>
            </w:r>
          </w:p>
        </w:tc>
        <w:tc>
          <w:tcPr>
            <w:tcW w:w="1444" w:type="dxa"/>
          </w:tcPr>
          <w:p>
            <w:pPr>
              <w:pStyle w:val="TableParagraph"/>
              <w:ind w:left="529"/>
              <w:rPr>
                <w:sz w:val="24"/>
              </w:rPr>
            </w:pPr>
            <w:r>
              <w:rPr>
                <w:sz w:val="24"/>
              </w:rPr>
              <w:t>Sim</w:t>
            </w:r>
          </w:p>
        </w:tc>
      </w:tr>
      <w:tr>
        <w:trPr>
          <w:trHeight w:val="551" w:hRule="atLeast"/>
        </w:trPr>
        <w:tc>
          <w:tcPr>
            <w:tcW w:w="576" w:type="dxa"/>
          </w:tcPr>
          <w:p>
            <w:pPr>
              <w:pStyle w:val="TableParagraph"/>
              <w:spacing w:before="138"/>
              <w:ind w:left="147" w:right="138"/>
              <w:jc w:val="center"/>
              <w:rPr>
                <w:sz w:val="24"/>
              </w:rPr>
            </w:pPr>
            <w:r>
              <w:rPr>
                <w:sz w:val="24"/>
              </w:rPr>
              <w:t>15</w:t>
            </w:r>
          </w:p>
        </w:tc>
        <w:tc>
          <w:tcPr>
            <w:tcW w:w="2314" w:type="dxa"/>
          </w:tcPr>
          <w:p>
            <w:pPr>
              <w:pStyle w:val="TableParagraph"/>
              <w:spacing w:line="276" w:lineRule="exact" w:before="2"/>
              <w:ind w:left="107" w:right="764"/>
              <w:rPr>
                <w:sz w:val="24"/>
              </w:rPr>
            </w:pPr>
            <w:r>
              <w:rPr>
                <w:sz w:val="24"/>
              </w:rPr>
              <w:t>Gestão de Acessibilidade</w:t>
            </w:r>
          </w:p>
        </w:tc>
        <w:tc>
          <w:tcPr>
            <w:tcW w:w="1382" w:type="dxa"/>
          </w:tcPr>
          <w:p>
            <w:pPr>
              <w:pStyle w:val="TableParagraph"/>
              <w:spacing w:before="138"/>
              <w:ind w:left="451"/>
              <w:rPr>
                <w:sz w:val="24"/>
              </w:rPr>
            </w:pPr>
            <w:r>
              <w:rPr>
                <w:sz w:val="24"/>
              </w:rPr>
              <w:t>SGA</w:t>
            </w:r>
          </w:p>
        </w:tc>
        <w:tc>
          <w:tcPr>
            <w:tcW w:w="1243" w:type="dxa"/>
          </w:tcPr>
          <w:p>
            <w:pPr>
              <w:pStyle w:val="TableParagraph"/>
              <w:spacing w:before="138"/>
              <w:ind w:left="85" w:right="80"/>
              <w:jc w:val="center"/>
              <w:rPr>
                <w:sz w:val="24"/>
              </w:rPr>
            </w:pPr>
            <w:r>
              <w:rPr>
                <w:sz w:val="24"/>
              </w:rPr>
              <w:t>COMANP</w:t>
            </w:r>
          </w:p>
        </w:tc>
        <w:tc>
          <w:tcPr>
            <w:tcW w:w="1483" w:type="dxa"/>
          </w:tcPr>
          <w:p>
            <w:pPr>
              <w:pStyle w:val="TableParagraph"/>
              <w:spacing w:before="138"/>
              <w:ind w:left="286"/>
              <w:rPr>
                <w:sz w:val="24"/>
              </w:rPr>
            </w:pPr>
            <w:r>
              <w:rPr>
                <w:sz w:val="24"/>
              </w:rPr>
              <w:t>SEPROB</w:t>
            </w:r>
          </w:p>
        </w:tc>
        <w:tc>
          <w:tcPr>
            <w:tcW w:w="809" w:type="dxa"/>
          </w:tcPr>
          <w:p>
            <w:pPr>
              <w:pStyle w:val="TableParagraph"/>
              <w:spacing w:before="138"/>
              <w:ind w:left="284"/>
              <w:rPr>
                <w:sz w:val="24"/>
              </w:rPr>
            </w:pPr>
            <w:r>
              <w:rPr>
                <w:sz w:val="24"/>
              </w:rPr>
              <w:t>13</w:t>
            </w:r>
          </w:p>
        </w:tc>
        <w:tc>
          <w:tcPr>
            <w:tcW w:w="1444" w:type="dxa"/>
          </w:tcPr>
          <w:p>
            <w:pPr>
              <w:pStyle w:val="TableParagraph"/>
              <w:spacing w:before="138"/>
              <w:ind w:left="529"/>
              <w:rPr>
                <w:sz w:val="24"/>
              </w:rPr>
            </w:pPr>
            <w:r>
              <w:rPr>
                <w:sz w:val="24"/>
              </w:rPr>
              <w:t>Sim</w:t>
            </w:r>
          </w:p>
        </w:tc>
      </w:tr>
      <w:tr>
        <w:trPr>
          <w:trHeight w:val="1101" w:hRule="atLeast"/>
        </w:trPr>
        <w:tc>
          <w:tcPr>
            <w:tcW w:w="576" w:type="dxa"/>
          </w:tcPr>
          <w:p>
            <w:pPr>
              <w:pStyle w:val="TableParagraph"/>
              <w:spacing w:before="9"/>
              <w:rPr>
                <w:sz w:val="35"/>
              </w:rPr>
            </w:pPr>
          </w:p>
          <w:p>
            <w:pPr>
              <w:pStyle w:val="TableParagraph"/>
              <w:spacing w:before="0"/>
              <w:ind w:left="9"/>
              <w:jc w:val="center"/>
              <w:rPr>
                <w:sz w:val="24"/>
              </w:rPr>
            </w:pPr>
            <w:r>
              <w:rPr>
                <w:sz w:val="24"/>
              </w:rPr>
              <w:t>2</w:t>
            </w:r>
          </w:p>
        </w:tc>
        <w:tc>
          <w:tcPr>
            <w:tcW w:w="2314" w:type="dxa"/>
          </w:tcPr>
          <w:p>
            <w:pPr>
              <w:pStyle w:val="TableParagraph"/>
              <w:spacing w:line="276" w:lineRule="exact" w:before="0"/>
              <w:ind w:left="107" w:right="691"/>
              <w:rPr>
                <w:sz w:val="24"/>
              </w:rPr>
            </w:pPr>
            <w:r>
              <w:rPr>
                <w:sz w:val="24"/>
              </w:rPr>
              <w:t>Licitações e contratações de limpeza e conservação</w:t>
            </w:r>
          </w:p>
        </w:tc>
        <w:tc>
          <w:tcPr>
            <w:tcW w:w="1382" w:type="dxa"/>
          </w:tcPr>
          <w:p>
            <w:pPr>
              <w:pStyle w:val="TableParagraph"/>
              <w:spacing w:before="9"/>
              <w:rPr>
                <w:sz w:val="35"/>
              </w:rPr>
            </w:pPr>
          </w:p>
          <w:p>
            <w:pPr>
              <w:pStyle w:val="TableParagraph"/>
              <w:spacing w:before="0"/>
              <w:ind w:left="451"/>
              <w:rPr>
                <w:sz w:val="24"/>
              </w:rPr>
            </w:pPr>
            <w:r>
              <w:rPr>
                <w:sz w:val="24"/>
              </w:rPr>
              <w:t>SGA</w:t>
            </w:r>
          </w:p>
        </w:tc>
        <w:tc>
          <w:tcPr>
            <w:tcW w:w="1243" w:type="dxa"/>
          </w:tcPr>
          <w:p>
            <w:pPr>
              <w:pStyle w:val="TableParagraph"/>
              <w:spacing w:before="9"/>
              <w:rPr>
                <w:sz w:val="35"/>
              </w:rPr>
            </w:pPr>
          </w:p>
          <w:p>
            <w:pPr>
              <w:pStyle w:val="TableParagraph"/>
              <w:spacing w:before="0"/>
              <w:ind w:left="83" w:right="80"/>
              <w:jc w:val="center"/>
              <w:rPr>
                <w:sz w:val="24"/>
              </w:rPr>
            </w:pPr>
            <w:r>
              <w:rPr>
                <w:sz w:val="24"/>
              </w:rPr>
              <w:t>COSAD</w:t>
            </w:r>
          </w:p>
        </w:tc>
        <w:tc>
          <w:tcPr>
            <w:tcW w:w="1483" w:type="dxa"/>
          </w:tcPr>
          <w:p>
            <w:pPr>
              <w:pStyle w:val="TableParagraph"/>
              <w:spacing w:before="9"/>
              <w:rPr>
                <w:sz w:val="35"/>
              </w:rPr>
            </w:pPr>
          </w:p>
          <w:p>
            <w:pPr>
              <w:pStyle w:val="TableParagraph"/>
              <w:spacing w:before="0"/>
              <w:ind w:left="346"/>
              <w:rPr>
                <w:sz w:val="24"/>
              </w:rPr>
            </w:pPr>
            <w:r>
              <w:rPr>
                <w:sz w:val="24"/>
              </w:rPr>
              <w:t>SEAAC</w:t>
            </w:r>
          </w:p>
        </w:tc>
        <w:tc>
          <w:tcPr>
            <w:tcW w:w="809" w:type="dxa"/>
          </w:tcPr>
          <w:p>
            <w:pPr>
              <w:pStyle w:val="TableParagraph"/>
              <w:spacing w:before="9"/>
              <w:rPr>
                <w:sz w:val="35"/>
              </w:rPr>
            </w:pPr>
          </w:p>
          <w:p>
            <w:pPr>
              <w:pStyle w:val="TableParagraph"/>
              <w:spacing w:before="0"/>
              <w:ind w:left="284"/>
              <w:rPr>
                <w:sz w:val="24"/>
              </w:rPr>
            </w:pPr>
            <w:r>
              <w:rPr>
                <w:sz w:val="24"/>
              </w:rPr>
              <w:t>16</w:t>
            </w:r>
          </w:p>
        </w:tc>
        <w:tc>
          <w:tcPr>
            <w:tcW w:w="1444" w:type="dxa"/>
          </w:tcPr>
          <w:p>
            <w:pPr>
              <w:pStyle w:val="TableParagraph"/>
              <w:spacing w:before="9"/>
              <w:rPr>
                <w:sz w:val="35"/>
              </w:rPr>
            </w:pPr>
          </w:p>
          <w:p>
            <w:pPr>
              <w:pStyle w:val="TableParagraph"/>
              <w:spacing w:before="0"/>
              <w:ind w:left="522"/>
              <w:rPr>
                <w:sz w:val="24"/>
              </w:rPr>
            </w:pPr>
            <w:r>
              <w:rPr>
                <w:sz w:val="24"/>
              </w:rPr>
              <w:t>Não</w:t>
            </w:r>
          </w:p>
        </w:tc>
      </w:tr>
      <w:tr>
        <w:trPr>
          <w:trHeight w:val="551" w:hRule="atLeast"/>
        </w:trPr>
        <w:tc>
          <w:tcPr>
            <w:tcW w:w="576" w:type="dxa"/>
          </w:tcPr>
          <w:p>
            <w:pPr>
              <w:pStyle w:val="TableParagraph"/>
              <w:spacing w:before="135"/>
              <w:ind w:left="9"/>
              <w:jc w:val="center"/>
              <w:rPr>
                <w:sz w:val="24"/>
              </w:rPr>
            </w:pPr>
            <w:r>
              <w:rPr>
                <w:sz w:val="24"/>
              </w:rPr>
              <w:t>3</w:t>
            </w:r>
          </w:p>
        </w:tc>
        <w:tc>
          <w:tcPr>
            <w:tcW w:w="2314" w:type="dxa"/>
          </w:tcPr>
          <w:p>
            <w:pPr>
              <w:pStyle w:val="TableParagraph"/>
              <w:spacing w:line="276" w:lineRule="exact" w:before="2"/>
              <w:ind w:left="107" w:right="490"/>
              <w:rPr>
                <w:sz w:val="24"/>
              </w:rPr>
            </w:pPr>
            <w:r>
              <w:rPr>
                <w:sz w:val="24"/>
              </w:rPr>
              <w:t>Planejamento das Eleições</w:t>
            </w:r>
          </w:p>
        </w:tc>
        <w:tc>
          <w:tcPr>
            <w:tcW w:w="1382" w:type="dxa"/>
          </w:tcPr>
          <w:p>
            <w:pPr>
              <w:pStyle w:val="TableParagraph"/>
              <w:spacing w:before="135"/>
              <w:ind w:left="484"/>
              <w:rPr>
                <w:sz w:val="24"/>
              </w:rPr>
            </w:pPr>
            <w:r>
              <w:rPr>
                <w:sz w:val="24"/>
              </w:rPr>
              <w:t>SPL</w:t>
            </w:r>
          </w:p>
        </w:tc>
        <w:tc>
          <w:tcPr>
            <w:tcW w:w="1243" w:type="dxa"/>
          </w:tcPr>
          <w:p>
            <w:pPr>
              <w:pStyle w:val="TableParagraph"/>
              <w:spacing w:before="135"/>
              <w:ind w:left="85" w:right="79"/>
              <w:jc w:val="center"/>
              <w:rPr>
                <w:sz w:val="24"/>
              </w:rPr>
            </w:pPr>
            <w:r>
              <w:rPr>
                <w:sz w:val="24"/>
              </w:rPr>
              <w:t>COELE</w:t>
            </w:r>
          </w:p>
        </w:tc>
        <w:tc>
          <w:tcPr>
            <w:tcW w:w="1483" w:type="dxa"/>
          </w:tcPr>
          <w:p>
            <w:pPr>
              <w:pStyle w:val="TableParagraph"/>
              <w:spacing w:before="135"/>
              <w:ind w:right="184"/>
              <w:jc w:val="right"/>
              <w:rPr>
                <w:sz w:val="24"/>
              </w:rPr>
            </w:pPr>
            <w:r>
              <w:rPr>
                <w:sz w:val="24"/>
              </w:rPr>
              <w:t>SEPLAME</w:t>
            </w:r>
          </w:p>
        </w:tc>
        <w:tc>
          <w:tcPr>
            <w:tcW w:w="809" w:type="dxa"/>
          </w:tcPr>
          <w:p>
            <w:pPr>
              <w:pStyle w:val="TableParagraph"/>
              <w:spacing w:before="135"/>
              <w:ind w:left="284"/>
              <w:rPr>
                <w:sz w:val="24"/>
              </w:rPr>
            </w:pPr>
            <w:r>
              <w:rPr>
                <w:sz w:val="24"/>
              </w:rPr>
              <w:t>16</w:t>
            </w:r>
          </w:p>
        </w:tc>
        <w:tc>
          <w:tcPr>
            <w:tcW w:w="1444" w:type="dxa"/>
          </w:tcPr>
          <w:p>
            <w:pPr>
              <w:pStyle w:val="TableParagraph"/>
              <w:spacing w:before="135"/>
              <w:ind w:left="522"/>
              <w:rPr>
                <w:sz w:val="24"/>
              </w:rPr>
            </w:pPr>
            <w:r>
              <w:rPr>
                <w:sz w:val="24"/>
              </w:rPr>
              <w:t>Não</w:t>
            </w:r>
          </w:p>
        </w:tc>
      </w:tr>
    </w:tbl>
    <w:p>
      <w:pPr>
        <w:pStyle w:val="BodyText"/>
      </w:pPr>
    </w:p>
    <w:p>
      <w:pPr>
        <w:pStyle w:val="BodyText"/>
      </w:pPr>
    </w:p>
    <w:p>
      <w:pPr>
        <w:pStyle w:val="BodyText"/>
        <w:spacing w:before="7"/>
      </w:pPr>
    </w:p>
    <w:p>
      <w:pPr>
        <w:pStyle w:val="BodyText"/>
        <w:ind w:right="369"/>
        <w:jc w:val="right"/>
        <w:rPr>
          <w:rFonts w:ascii="Arial"/>
        </w:rPr>
      </w:pPr>
      <w:r>
        <w:rPr>
          <w:rFonts w:ascii="Arial"/>
          <w:w w:val="99"/>
        </w:rPr>
        <w:t>6</w:t>
      </w:r>
    </w:p>
    <w:p>
      <w:pPr>
        <w:spacing w:after="0"/>
        <w:jc w:val="right"/>
        <w:rPr>
          <w:rFonts w:ascii="Arial"/>
        </w:rPr>
        <w:sectPr>
          <w:pgSz w:w="11910" w:h="16840"/>
          <w:pgMar w:top="1320" w:bottom="280" w:left="1300" w:right="760"/>
        </w:sectPr>
      </w:pPr>
    </w:p>
    <w:tbl>
      <w:tblPr>
        <w:tblW w:w="0" w:type="auto"/>
        <w:jc w:val="left"/>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6"/>
        <w:gridCol w:w="2314"/>
        <w:gridCol w:w="1382"/>
        <w:gridCol w:w="1243"/>
        <w:gridCol w:w="1483"/>
        <w:gridCol w:w="809"/>
        <w:gridCol w:w="1444"/>
      </w:tblGrid>
      <w:tr>
        <w:trPr>
          <w:trHeight w:val="633" w:hRule="atLeast"/>
        </w:trPr>
        <w:tc>
          <w:tcPr>
            <w:tcW w:w="576" w:type="dxa"/>
          </w:tcPr>
          <w:p>
            <w:pPr>
              <w:pStyle w:val="TableParagraph"/>
              <w:spacing w:line="275" w:lineRule="exact" w:before="0"/>
              <w:ind w:left="107"/>
              <w:rPr>
                <w:b/>
                <w:sz w:val="24"/>
              </w:rPr>
            </w:pPr>
            <w:r>
              <w:rPr>
                <w:b/>
                <w:sz w:val="24"/>
              </w:rPr>
              <w:t>Ref</w:t>
            </w:r>
          </w:p>
          <w:p>
            <w:pPr>
              <w:pStyle w:val="TableParagraph"/>
              <w:spacing w:before="41"/>
              <w:ind w:left="146"/>
              <w:rPr>
                <w:b/>
                <w:sz w:val="24"/>
              </w:rPr>
            </w:pPr>
            <w:r>
              <w:rPr>
                <w:b/>
                <w:sz w:val="24"/>
              </w:rPr>
              <w:t>(*)</w:t>
            </w:r>
          </w:p>
        </w:tc>
        <w:tc>
          <w:tcPr>
            <w:tcW w:w="2314" w:type="dxa"/>
          </w:tcPr>
          <w:p>
            <w:pPr>
              <w:pStyle w:val="TableParagraph"/>
              <w:spacing w:before="157"/>
              <w:ind w:left="179"/>
              <w:rPr>
                <w:b/>
                <w:sz w:val="24"/>
              </w:rPr>
            </w:pPr>
            <w:r>
              <w:rPr>
                <w:b/>
                <w:sz w:val="24"/>
              </w:rPr>
              <w:t>Processo Auditável</w:t>
            </w:r>
          </w:p>
        </w:tc>
        <w:tc>
          <w:tcPr>
            <w:tcW w:w="1382" w:type="dxa"/>
          </w:tcPr>
          <w:p>
            <w:pPr>
              <w:pStyle w:val="TableParagraph"/>
              <w:spacing w:line="275" w:lineRule="exact" w:before="0"/>
              <w:ind w:left="88" w:right="77"/>
              <w:jc w:val="center"/>
              <w:rPr>
                <w:b/>
                <w:sz w:val="24"/>
              </w:rPr>
            </w:pPr>
            <w:r>
              <w:rPr>
                <w:b/>
                <w:sz w:val="24"/>
              </w:rPr>
              <w:t>Gestor</w:t>
            </w:r>
          </w:p>
          <w:p>
            <w:pPr>
              <w:pStyle w:val="TableParagraph"/>
              <w:spacing w:before="41"/>
              <w:ind w:left="88" w:right="83"/>
              <w:jc w:val="center"/>
              <w:rPr>
                <w:b/>
                <w:sz w:val="24"/>
              </w:rPr>
            </w:pPr>
            <w:r>
              <w:rPr>
                <w:b/>
                <w:sz w:val="24"/>
              </w:rPr>
              <w:t>Estratégico</w:t>
            </w:r>
          </w:p>
        </w:tc>
        <w:tc>
          <w:tcPr>
            <w:tcW w:w="1243" w:type="dxa"/>
          </w:tcPr>
          <w:p>
            <w:pPr>
              <w:pStyle w:val="TableParagraph"/>
              <w:spacing w:line="275" w:lineRule="exact" w:before="0"/>
              <w:ind w:left="273"/>
              <w:rPr>
                <w:b/>
                <w:sz w:val="24"/>
              </w:rPr>
            </w:pPr>
            <w:r>
              <w:rPr>
                <w:b/>
                <w:sz w:val="24"/>
              </w:rPr>
              <w:t>Gestor</w:t>
            </w:r>
          </w:p>
          <w:p>
            <w:pPr>
              <w:pStyle w:val="TableParagraph"/>
              <w:spacing w:before="41"/>
              <w:ind w:left="293"/>
              <w:rPr>
                <w:b/>
                <w:sz w:val="24"/>
              </w:rPr>
            </w:pPr>
            <w:r>
              <w:rPr>
                <w:b/>
                <w:sz w:val="24"/>
              </w:rPr>
              <w:t>Tático</w:t>
            </w:r>
          </w:p>
        </w:tc>
        <w:tc>
          <w:tcPr>
            <w:tcW w:w="1483" w:type="dxa"/>
          </w:tcPr>
          <w:p>
            <w:pPr>
              <w:pStyle w:val="TableParagraph"/>
              <w:spacing w:line="275" w:lineRule="exact" w:before="0"/>
              <w:ind w:left="86" w:right="78"/>
              <w:jc w:val="center"/>
              <w:rPr>
                <w:b/>
                <w:sz w:val="24"/>
              </w:rPr>
            </w:pPr>
            <w:r>
              <w:rPr>
                <w:b/>
                <w:sz w:val="24"/>
              </w:rPr>
              <w:t>Gestor</w:t>
            </w:r>
          </w:p>
          <w:p>
            <w:pPr>
              <w:pStyle w:val="TableParagraph"/>
              <w:spacing w:before="41"/>
              <w:ind w:left="86" w:right="80"/>
              <w:jc w:val="center"/>
              <w:rPr>
                <w:b/>
                <w:sz w:val="24"/>
              </w:rPr>
            </w:pPr>
            <w:r>
              <w:rPr>
                <w:b/>
                <w:sz w:val="24"/>
              </w:rPr>
              <w:t>Operacional</w:t>
            </w:r>
          </w:p>
        </w:tc>
        <w:tc>
          <w:tcPr>
            <w:tcW w:w="809" w:type="dxa"/>
          </w:tcPr>
          <w:p>
            <w:pPr>
              <w:pStyle w:val="TableParagraph"/>
              <w:spacing w:before="40"/>
              <w:ind w:left="202" w:right="97" w:hanging="80"/>
              <w:rPr>
                <w:b/>
                <w:sz w:val="24"/>
              </w:rPr>
            </w:pPr>
            <w:r>
              <w:rPr>
                <w:b/>
                <w:sz w:val="24"/>
              </w:rPr>
              <w:t>Risco (**)</w:t>
            </w:r>
          </w:p>
        </w:tc>
        <w:tc>
          <w:tcPr>
            <w:tcW w:w="1444" w:type="dxa"/>
          </w:tcPr>
          <w:p>
            <w:pPr>
              <w:pStyle w:val="TableParagraph"/>
              <w:spacing w:before="0"/>
              <w:ind w:left="109" w:right="78" w:firstLine="112"/>
              <w:rPr>
                <w:b/>
                <w:sz w:val="24"/>
              </w:rPr>
            </w:pPr>
            <w:r>
              <w:rPr>
                <w:b/>
                <w:sz w:val="24"/>
              </w:rPr>
              <w:t>Auditoria Obrigatória</w:t>
            </w:r>
          </w:p>
        </w:tc>
      </w:tr>
      <w:tr>
        <w:trPr>
          <w:trHeight w:val="554" w:hRule="atLeast"/>
        </w:trPr>
        <w:tc>
          <w:tcPr>
            <w:tcW w:w="576" w:type="dxa"/>
          </w:tcPr>
          <w:p>
            <w:pPr>
              <w:pStyle w:val="TableParagraph"/>
              <w:spacing w:before="138"/>
              <w:ind w:left="167"/>
              <w:rPr>
                <w:sz w:val="24"/>
              </w:rPr>
            </w:pPr>
            <w:r>
              <w:rPr>
                <w:sz w:val="24"/>
              </w:rPr>
              <w:t>10</w:t>
            </w:r>
          </w:p>
        </w:tc>
        <w:tc>
          <w:tcPr>
            <w:tcW w:w="2314" w:type="dxa"/>
          </w:tcPr>
          <w:p>
            <w:pPr>
              <w:pStyle w:val="TableParagraph"/>
              <w:spacing w:line="270" w:lineRule="atLeast" w:before="1"/>
              <w:ind w:left="107" w:right="497"/>
              <w:rPr>
                <w:sz w:val="24"/>
              </w:rPr>
            </w:pPr>
            <w:r>
              <w:rPr>
                <w:sz w:val="24"/>
              </w:rPr>
              <w:t>Gestão de comissionamento</w:t>
            </w:r>
          </w:p>
        </w:tc>
        <w:tc>
          <w:tcPr>
            <w:tcW w:w="1382" w:type="dxa"/>
          </w:tcPr>
          <w:p>
            <w:pPr>
              <w:pStyle w:val="TableParagraph"/>
              <w:spacing w:before="138"/>
              <w:ind w:left="88" w:right="79"/>
              <w:jc w:val="center"/>
              <w:rPr>
                <w:sz w:val="24"/>
              </w:rPr>
            </w:pPr>
            <w:r>
              <w:rPr>
                <w:sz w:val="24"/>
              </w:rPr>
              <w:t>SGP</w:t>
            </w:r>
          </w:p>
        </w:tc>
        <w:tc>
          <w:tcPr>
            <w:tcW w:w="1243" w:type="dxa"/>
          </w:tcPr>
          <w:p>
            <w:pPr>
              <w:pStyle w:val="TableParagraph"/>
              <w:spacing w:before="138"/>
              <w:ind w:left="245"/>
              <w:rPr>
                <w:sz w:val="24"/>
              </w:rPr>
            </w:pPr>
            <w:r>
              <w:rPr>
                <w:sz w:val="24"/>
              </w:rPr>
              <w:t>COPES</w:t>
            </w:r>
          </w:p>
        </w:tc>
        <w:tc>
          <w:tcPr>
            <w:tcW w:w="1483" w:type="dxa"/>
          </w:tcPr>
          <w:p>
            <w:pPr>
              <w:pStyle w:val="TableParagraph"/>
              <w:spacing w:before="138"/>
              <w:ind w:left="365"/>
              <w:rPr>
                <w:sz w:val="24"/>
              </w:rPr>
            </w:pPr>
            <w:r>
              <w:rPr>
                <w:sz w:val="24"/>
              </w:rPr>
              <w:t>SECOF</w:t>
            </w:r>
          </w:p>
        </w:tc>
        <w:tc>
          <w:tcPr>
            <w:tcW w:w="809" w:type="dxa"/>
          </w:tcPr>
          <w:p>
            <w:pPr>
              <w:pStyle w:val="TableParagraph"/>
              <w:spacing w:before="138"/>
              <w:ind w:left="264" w:right="254"/>
              <w:jc w:val="center"/>
              <w:rPr>
                <w:sz w:val="24"/>
              </w:rPr>
            </w:pPr>
            <w:r>
              <w:rPr>
                <w:sz w:val="24"/>
              </w:rPr>
              <w:t>14</w:t>
            </w:r>
          </w:p>
        </w:tc>
        <w:tc>
          <w:tcPr>
            <w:tcW w:w="1444" w:type="dxa"/>
          </w:tcPr>
          <w:p>
            <w:pPr>
              <w:pStyle w:val="TableParagraph"/>
              <w:spacing w:before="138"/>
              <w:ind w:left="501" w:right="492"/>
              <w:jc w:val="center"/>
              <w:rPr>
                <w:sz w:val="24"/>
              </w:rPr>
            </w:pPr>
            <w:r>
              <w:rPr>
                <w:sz w:val="24"/>
              </w:rPr>
              <w:t>Não</w:t>
            </w:r>
          </w:p>
        </w:tc>
      </w:tr>
    </w:tbl>
    <w:p>
      <w:pPr>
        <w:spacing w:line="229" w:lineRule="exact" w:before="120"/>
        <w:ind w:left="118" w:right="0" w:firstLine="0"/>
        <w:jc w:val="left"/>
        <w:rPr>
          <w:sz w:val="20"/>
        </w:rPr>
      </w:pPr>
      <w:r>
        <w:rPr>
          <w:sz w:val="20"/>
        </w:rPr>
        <w:t>Notas explicativas:</w:t>
      </w:r>
    </w:p>
    <w:p>
      <w:pPr>
        <w:spacing w:line="229" w:lineRule="exact" w:before="0"/>
        <w:ind w:left="118" w:right="0" w:firstLine="0"/>
        <w:jc w:val="left"/>
        <w:rPr>
          <w:sz w:val="20"/>
        </w:rPr>
      </w:pPr>
      <w:r>
        <w:rPr>
          <w:sz w:val="20"/>
        </w:rPr>
        <w:t>* - Refere-se à sequência do Apêndice I</w:t>
      </w:r>
    </w:p>
    <w:p>
      <w:pPr>
        <w:spacing w:before="1"/>
        <w:ind w:left="118" w:right="0" w:firstLine="0"/>
        <w:jc w:val="left"/>
        <w:rPr>
          <w:sz w:val="20"/>
        </w:rPr>
      </w:pPr>
      <w:r>
        <w:rPr>
          <w:sz w:val="20"/>
        </w:rPr>
        <w:t>** - Resultado da combinação da nota dos critérios considerados na avaliação do processo pela equipe de Auditoria (Apêndice II).</w:t>
      </w:r>
    </w:p>
    <w:p>
      <w:pPr>
        <w:pStyle w:val="ListParagraph"/>
        <w:numPr>
          <w:ilvl w:val="1"/>
          <w:numId w:val="3"/>
        </w:numPr>
        <w:tabs>
          <w:tab w:pos="479" w:val="left" w:leader="none"/>
        </w:tabs>
        <w:spacing w:line="240" w:lineRule="auto" w:before="0" w:after="0"/>
        <w:ind w:left="478" w:right="370" w:hanging="360"/>
        <w:jc w:val="both"/>
        <w:rPr>
          <w:sz w:val="24"/>
        </w:rPr>
      </w:pPr>
      <w:r>
        <w:rPr>
          <w:spacing w:val="-3"/>
          <w:sz w:val="24"/>
        </w:rPr>
        <w:t>Analisados</w:t>
      </w:r>
      <w:r>
        <w:rPr>
          <w:spacing w:val="-12"/>
          <w:sz w:val="24"/>
        </w:rPr>
        <w:t> </w:t>
      </w:r>
      <w:r>
        <w:rPr>
          <w:sz w:val="24"/>
        </w:rPr>
        <w:t>os</w:t>
      </w:r>
      <w:r>
        <w:rPr>
          <w:spacing w:val="-12"/>
          <w:sz w:val="24"/>
        </w:rPr>
        <w:t> </w:t>
      </w:r>
      <w:r>
        <w:rPr>
          <w:spacing w:val="-3"/>
          <w:sz w:val="24"/>
        </w:rPr>
        <w:t>critérios,</w:t>
      </w:r>
      <w:r>
        <w:rPr>
          <w:spacing w:val="-9"/>
          <w:sz w:val="24"/>
        </w:rPr>
        <w:t> </w:t>
      </w:r>
      <w:r>
        <w:rPr>
          <w:sz w:val="24"/>
        </w:rPr>
        <w:t>as</w:t>
      </w:r>
      <w:r>
        <w:rPr>
          <w:spacing w:val="-9"/>
          <w:sz w:val="24"/>
        </w:rPr>
        <w:t> </w:t>
      </w:r>
      <w:r>
        <w:rPr>
          <w:spacing w:val="-3"/>
          <w:sz w:val="24"/>
        </w:rPr>
        <w:t>metas</w:t>
      </w:r>
      <w:r>
        <w:rPr>
          <w:spacing w:val="-8"/>
          <w:sz w:val="24"/>
        </w:rPr>
        <w:t> </w:t>
      </w:r>
      <w:r>
        <w:rPr>
          <w:spacing w:val="-3"/>
          <w:sz w:val="24"/>
        </w:rPr>
        <w:t>estabelecidas</w:t>
      </w:r>
      <w:r>
        <w:rPr>
          <w:spacing w:val="-9"/>
          <w:sz w:val="24"/>
        </w:rPr>
        <w:t> </w:t>
      </w:r>
      <w:r>
        <w:rPr>
          <w:sz w:val="24"/>
        </w:rPr>
        <w:t>e</w:t>
      </w:r>
      <w:r>
        <w:rPr>
          <w:spacing w:val="-10"/>
          <w:sz w:val="24"/>
        </w:rPr>
        <w:t> </w:t>
      </w:r>
      <w:r>
        <w:rPr>
          <w:sz w:val="24"/>
        </w:rPr>
        <w:t>as</w:t>
      </w:r>
      <w:r>
        <w:rPr>
          <w:spacing w:val="-12"/>
          <w:sz w:val="24"/>
        </w:rPr>
        <w:t> </w:t>
      </w:r>
      <w:r>
        <w:rPr>
          <w:spacing w:val="-3"/>
          <w:sz w:val="24"/>
        </w:rPr>
        <w:t>determinações</w:t>
      </w:r>
      <w:r>
        <w:rPr>
          <w:spacing w:val="-12"/>
          <w:sz w:val="24"/>
        </w:rPr>
        <w:t> </w:t>
      </w:r>
      <w:r>
        <w:rPr>
          <w:spacing w:val="-3"/>
          <w:sz w:val="24"/>
        </w:rPr>
        <w:t>legais,</w:t>
      </w:r>
      <w:r>
        <w:rPr>
          <w:spacing w:val="-8"/>
          <w:sz w:val="24"/>
        </w:rPr>
        <w:t> </w:t>
      </w:r>
      <w:r>
        <w:rPr>
          <w:sz w:val="24"/>
        </w:rPr>
        <w:t>os</w:t>
      </w:r>
      <w:r>
        <w:rPr>
          <w:spacing w:val="-12"/>
          <w:sz w:val="24"/>
        </w:rPr>
        <w:t> </w:t>
      </w:r>
      <w:r>
        <w:rPr>
          <w:spacing w:val="-2"/>
          <w:sz w:val="24"/>
        </w:rPr>
        <w:t>processos</w:t>
      </w:r>
      <w:r>
        <w:rPr>
          <w:spacing w:val="-12"/>
          <w:sz w:val="24"/>
        </w:rPr>
        <w:t> </w:t>
      </w:r>
      <w:r>
        <w:rPr>
          <w:spacing w:val="-3"/>
          <w:sz w:val="24"/>
        </w:rPr>
        <w:t>auditáveis foram</w:t>
      </w:r>
      <w:r>
        <w:rPr>
          <w:spacing w:val="-8"/>
          <w:sz w:val="24"/>
        </w:rPr>
        <w:t> </w:t>
      </w:r>
      <w:r>
        <w:rPr>
          <w:spacing w:val="-3"/>
          <w:sz w:val="24"/>
        </w:rPr>
        <w:t>priorizados</w:t>
      </w:r>
      <w:r>
        <w:rPr>
          <w:spacing w:val="-5"/>
          <w:sz w:val="24"/>
        </w:rPr>
        <w:t> </w:t>
      </w:r>
      <w:r>
        <w:rPr>
          <w:sz w:val="24"/>
        </w:rPr>
        <w:t>e</w:t>
      </w:r>
      <w:r>
        <w:rPr>
          <w:spacing w:val="-8"/>
          <w:sz w:val="24"/>
        </w:rPr>
        <w:t> </w:t>
      </w:r>
      <w:r>
        <w:rPr>
          <w:spacing w:val="-3"/>
          <w:sz w:val="24"/>
        </w:rPr>
        <w:t>selecionados</w:t>
      </w:r>
      <w:r>
        <w:rPr>
          <w:spacing w:val="-8"/>
          <w:sz w:val="24"/>
        </w:rPr>
        <w:t> </w:t>
      </w:r>
      <w:r>
        <w:rPr>
          <w:sz w:val="24"/>
        </w:rPr>
        <w:t>para</w:t>
      </w:r>
      <w:r>
        <w:rPr>
          <w:spacing w:val="-10"/>
          <w:sz w:val="24"/>
        </w:rPr>
        <w:t> </w:t>
      </w:r>
      <w:r>
        <w:rPr>
          <w:spacing w:val="-3"/>
          <w:sz w:val="24"/>
        </w:rPr>
        <w:t>composição</w:t>
      </w:r>
      <w:r>
        <w:rPr>
          <w:spacing w:val="-5"/>
          <w:sz w:val="24"/>
        </w:rPr>
        <w:t> </w:t>
      </w:r>
      <w:r>
        <w:rPr>
          <w:sz w:val="24"/>
        </w:rPr>
        <w:t>do</w:t>
      </w:r>
      <w:r>
        <w:rPr>
          <w:spacing w:val="-8"/>
          <w:sz w:val="24"/>
        </w:rPr>
        <w:t> </w:t>
      </w:r>
      <w:r>
        <w:rPr>
          <w:sz w:val="24"/>
        </w:rPr>
        <w:t>PAA,</w:t>
      </w:r>
      <w:r>
        <w:rPr>
          <w:spacing w:val="-7"/>
          <w:sz w:val="24"/>
        </w:rPr>
        <w:t> </w:t>
      </w:r>
      <w:r>
        <w:rPr>
          <w:spacing w:val="-3"/>
          <w:sz w:val="24"/>
        </w:rPr>
        <w:t>consoante</w:t>
      </w:r>
      <w:r>
        <w:rPr>
          <w:spacing w:val="-7"/>
          <w:sz w:val="24"/>
        </w:rPr>
        <w:t> </w:t>
      </w:r>
      <w:r>
        <w:rPr>
          <w:spacing w:val="-3"/>
          <w:sz w:val="24"/>
        </w:rPr>
        <w:t>área</w:t>
      </w:r>
      <w:r>
        <w:rPr>
          <w:spacing w:val="-9"/>
          <w:sz w:val="24"/>
        </w:rPr>
        <w:t> </w:t>
      </w:r>
      <w:r>
        <w:rPr>
          <w:sz w:val="24"/>
        </w:rPr>
        <w:t>de</w:t>
      </w:r>
      <w:r>
        <w:rPr>
          <w:spacing w:val="-8"/>
          <w:sz w:val="24"/>
        </w:rPr>
        <w:t> </w:t>
      </w:r>
      <w:r>
        <w:rPr>
          <w:spacing w:val="-3"/>
          <w:sz w:val="24"/>
        </w:rPr>
        <w:t>especialização</w:t>
      </w:r>
      <w:r>
        <w:rPr>
          <w:spacing w:val="-8"/>
          <w:sz w:val="24"/>
        </w:rPr>
        <w:t> </w:t>
      </w:r>
      <w:r>
        <w:rPr>
          <w:sz w:val="24"/>
        </w:rPr>
        <w:t>de cada Seção </w:t>
      </w:r>
      <w:r>
        <w:rPr>
          <w:spacing w:val="-3"/>
          <w:sz w:val="24"/>
        </w:rPr>
        <w:t>integrante </w:t>
      </w:r>
      <w:r>
        <w:rPr>
          <w:sz w:val="24"/>
        </w:rPr>
        <w:t>da COAUD, de modo a contemplar </w:t>
      </w:r>
      <w:r>
        <w:rPr>
          <w:spacing w:val="-3"/>
          <w:sz w:val="24"/>
        </w:rPr>
        <w:t>ações </w:t>
      </w:r>
      <w:r>
        <w:rPr>
          <w:sz w:val="24"/>
        </w:rPr>
        <w:t>fiscalizatórias para </w:t>
      </w:r>
      <w:r>
        <w:rPr>
          <w:spacing w:val="-3"/>
          <w:sz w:val="24"/>
        </w:rPr>
        <w:t>todas elas, </w:t>
      </w:r>
      <w:r>
        <w:rPr>
          <w:sz w:val="24"/>
        </w:rPr>
        <w:t>compatibilizando-se, assim, diretrizes externas de cumprimento obrigatório, prioridades apuradas</w:t>
      </w:r>
      <w:r>
        <w:rPr>
          <w:spacing w:val="-11"/>
          <w:sz w:val="24"/>
        </w:rPr>
        <w:t> </w:t>
      </w:r>
      <w:r>
        <w:rPr>
          <w:sz w:val="24"/>
        </w:rPr>
        <w:t>em</w:t>
      </w:r>
      <w:r>
        <w:rPr>
          <w:spacing w:val="-11"/>
          <w:sz w:val="24"/>
        </w:rPr>
        <w:t> </w:t>
      </w:r>
      <w:r>
        <w:rPr>
          <w:sz w:val="24"/>
        </w:rPr>
        <w:t>face</w:t>
      </w:r>
      <w:r>
        <w:rPr>
          <w:spacing w:val="-12"/>
          <w:sz w:val="24"/>
        </w:rPr>
        <w:t> </w:t>
      </w:r>
      <w:r>
        <w:rPr>
          <w:sz w:val="24"/>
        </w:rPr>
        <w:t>de</w:t>
      </w:r>
      <w:r>
        <w:rPr>
          <w:spacing w:val="-12"/>
          <w:sz w:val="24"/>
        </w:rPr>
        <w:t> </w:t>
      </w:r>
      <w:r>
        <w:rPr>
          <w:sz w:val="24"/>
        </w:rPr>
        <w:t>matriz</w:t>
      </w:r>
      <w:r>
        <w:rPr>
          <w:spacing w:val="-12"/>
          <w:sz w:val="24"/>
        </w:rPr>
        <w:t> </w:t>
      </w:r>
      <w:r>
        <w:rPr>
          <w:sz w:val="24"/>
        </w:rPr>
        <w:t>de</w:t>
      </w:r>
      <w:r>
        <w:rPr>
          <w:spacing w:val="-12"/>
          <w:sz w:val="24"/>
        </w:rPr>
        <w:t> </w:t>
      </w:r>
      <w:r>
        <w:rPr>
          <w:sz w:val="24"/>
        </w:rPr>
        <w:t>risco</w:t>
      </w:r>
      <w:r>
        <w:rPr>
          <w:spacing w:val="-11"/>
          <w:sz w:val="24"/>
        </w:rPr>
        <w:t> </w:t>
      </w:r>
      <w:r>
        <w:rPr>
          <w:sz w:val="24"/>
        </w:rPr>
        <w:t>aplicada</w:t>
      </w:r>
      <w:r>
        <w:rPr>
          <w:spacing w:val="-11"/>
          <w:sz w:val="24"/>
        </w:rPr>
        <w:t> </w:t>
      </w:r>
      <w:r>
        <w:rPr>
          <w:sz w:val="24"/>
        </w:rPr>
        <w:t>(Apêndice</w:t>
      </w:r>
      <w:r>
        <w:rPr>
          <w:spacing w:val="-13"/>
          <w:sz w:val="24"/>
        </w:rPr>
        <w:t> </w:t>
      </w:r>
      <w:r>
        <w:rPr>
          <w:sz w:val="24"/>
        </w:rPr>
        <w:t>II)</w:t>
      </w:r>
      <w:r>
        <w:rPr>
          <w:spacing w:val="-12"/>
          <w:sz w:val="24"/>
        </w:rPr>
        <w:t> </w:t>
      </w:r>
      <w:r>
        <w:rPr>
          <w:sz w:val="24"/>
        </w:rPr>
        <w:t>e</w:t>
      </w:r>
      <w:r>
        <w:rPr>
          <w:spacing w:val="-17"/>
          <w:sz w:val="24"/>
        </w:rPr>
        <w:t> </w:t>
      </w:r>
      <w:r>
        <w:rPr>
          <w:sz w:val="24"/>
        </w:rPr>
        <w:t>horas</w:t>
      </w:r>
      <w:r>
        <w:rPr>
          <w:spacing w:val="-16"/>
          <w:sz w:val="24"/>
        </w:rPr>
        <w:t> </w:t>
      </w:r>
      <w:r>
        <w:rPr>
          <w:spacing w:val="-3"/>
          <w:sz w:val="24"/>
        </w:rPr>
        <w:t>disponíveis</w:t>
      </w:r>
      <w:r>
        <w:rPr>
          <w:spacing w:val="-16"/>
          <w:sz w:val="24"/>
        </w:rPr>
        <w:t> </w:t>
      </w:r>
      <w:r>
        <w:rPr>
          <w:sz w:val="24"/>
        </w:rPr>
        <w:t>para</w:t>
      </w:r>
      <w:r>
        <w:rPr>
          <w:spacing w:val="-13"/>
          <w:sz w:val="24"/>
        </w:rPr>
        <w:t> </w:t>
      </w:r>
      <w:r>
        <w:rPr>
          <w:sz w:val="24"/>
        </w:rPr>
        <w:t>a</w:t>
      </w:r>
      <w:r>
        <w:rPr>
          <w:spacing w:val="-17"/>
          <w:sz w:val="24"/>
        </w:rPr>
        <w:t> </w:t>
      </w:r>
      <w:r>
        <w:rPr>
          <w:spacing w:val="-3"/>
          <w:sz w:val="24"/>
        </w:rPr>
        <w:t>realização das</w:t>
      </w:r>
      <w:r>
        <w:rPr>
          <w:spacing w:val="-9"/>
          <w:sz w:val="24"/>
        </w:rPr>
        <w:t> </w:t>
      </w:r>
      <w:r>
        <w:rPr>
          <w:spacing w:val="-3"/>
          <w:sz w:val="24"/>
        </w:rPr>
        <w:t>atividades</w:t>
      </w:r>
      <w:r>
        <w:rPr>
          <w:spacing w:val="-5"/>
          <w:sz w:val="24"/>
        </w:rPr>
        <w:t> </w:t>
      </w:r>
      <w:r>
        <w:rPr>
          <w:spacing w:val="-3"/>
          <w:sz w:val="24"/>
        </w:rPr>
        <w:t>(Apêndice</w:t>
      </w:r>
      <w:r>
        <w:rPr>
          <w:spacing w:val="-7"/>
          <w:sz w:val="24"/>
        </w:rPr>
        <w:t> </w:t>
      </w:r>
      <w:r>
        <w:rPr>
          <w:spacing w:val="-3"/>
          <w:sz w:val="24"/>
        </w:rPr>
        <w:t>III),</w:t>
      </w:r>
      <w:r>
        <w:rPr>
          <w:spacing w:val="-9"/>
          <w:sz w:val="24"/>
        </w:rPr>
        <w:t> </w:t>
      </w:r>
      <w:r>
        <w:rPr>
          <w:sz w:val="24"/>
        </w:rPr>
        <w:t>sendo</w:t>
      </w:r>
      <w:r>
        <w:rPr>
          <w:spacing w:val="-6"/>
          <w:sz w:val="24"/>
        </w:rPr>
        <w:t> </w:t>
      </w:r>
      <w:r>
        <w:rPr>
          <w:sz w:val="24"/>
        </w:rPr>
        <w:t>a</w:t>
      </w:r>
      <w:r>
        <w:rPr>
          <w:spacing w:val="-9"/>
          <w:sz w:val="24"/>
        </w:rPr>
        <w:t> </w:t>
      </w:r>
      <w:r>
        <w:rPr>
          <w:sz w:val="24"/>
        </w:rPr>
        <w:t>lista</w:t>
      </w:r>
      <w:r>
        <w:rPr>
          <w:spacing w:val="-10"/>
          <w:sz w:val="24"/>
        </w:rPr>
        <w:t> </w:t>
      </w:r>
      <w:r>
        <w:rPr>
          <w:sz w:val="24"/>
        </w:rPr>
        <w:t>de</w:t>
      </w:r>
      <w:r>
        <w:rPr>
          <w:spacing w:val="-7"/>
          <w:sz w:val="24"/>
        </w:rPr>
        <w:t> </w:t>
      </w:r>
      <w:r>
        <w:rPr>
          <w:spacing w:val="-3"/>
          <w:sz w:val="24"/>
        </w:rPr>
        <w:t>processos</w:t>
      </w:r>
      <w:r>
        <w:rPr>
          <w:spacing w:val="-8"/>
          <w:sz w:val="24"/>
        </w:rPr>
        <w:t> </w:t>
      </w:r>
      <w:r>
        <w:rPr>
          <w:spacing w:val="-3"/>
          <w:sz w:val="24"/>
        </w:rPr>
        <w:t>selecionados,</w:t>
      </w:r>
      <w:r>
        <w:rPr>
          <w:spacing w:val="-8"/>
          <w:sz w:val="24"/>
        </w:rPr>
        <w:t> </w:t>
      </w:r>
      <w:r>
        <w:rPr>
          <w:spacing w:val="-3"/>
          <w:sz w:val="24"/>
        </w:rPr>
        <w:t>evidenciada</w:t>
      </w:r>
      <w:r>
        <w:rPr>
          <w:spacing w:val="-9"/>
          <w:sz w:val="24"/>
        </w:rPr>
        <w:t> </w:t>
      </w:r>
      <w:r>
        <w:rPr>
          <w:sz w:val="24"/>
        </w:rPr>
        <w:t>no</w:t>
      </w:r>
      <w:r>
        <w:rPr>
          <w:spacing w:val="-7"/>
          <w:sz w:val="24"/>
        </w:rPr>
        <w:t> </w:t>
      </w:r>
      <w:r>
        <w:rPr>
          <w:spacing w:val="-3"/>
          <w:sz w:val="24"/>
        </w:rPr>
        <w:t>Quadro</w:t>
      </w:r>
      <w:r>
        <w:rPr>
          <w:spacing w:val="-6"/>
          <w:sz w:val="24"/>
        </w:rPr>
        <w:t> </w:t>
      </w:r>
      <w:r>
        <w:rPr>
          <w:sz w:val="24"/>
        </w:rPr>
        <w:t>1.</w:t>
      </w:r>
    </w:p>
    <w:p>
      <w:pPr>
        <w:pStyle w:val="ListParagraph"/>
        <w:numPr>
          <w:ilvl w:val="1"/>
          <w:numId w:val="3"/>
        </w:numPr>
        <w:tabs>
          <w:tab w:pos="479" w:val="left" w:leader="none"/>
        </w:tabs>
        <w:spacing w:line="240" w:lineRule="auto" w:before="0" w:after="0"/>
        <w:ind w:left="478" w:right="367" w:hanging="360"/>
        <w:jc w:val="both"/>
        <w:rPr>
          <w:sz w:val="24"/>
        </w:rPr>
      </w:pPr>
      <w:r>
        <w:rPr>
          <w:sz w:val="24"/>
        </w:rPr>
        <w:t>Ocorre que, </w:t>
      </w:r>
      <w:r>
        <w:rPr>
          <w:spacing w:val="-3"/>
          <w:sz w:val="24"/>
        </w:rPr>
        <w:t>essa seleção das áreas auditáveis </w:t>
      </w:r>
      <w:r>
        <w:rPr>
          <w:sz w:val="24"/>
        </w:rPr>
        <w:t>para o </w:t>
      </w:r>
      <w:r>
        <w:rPr>
          <w:spacing w:val="-3"/>
          <w:sz w:val="24"/>
        </w:rPr>
        <w:t>exercício </w:t>
      </w:r>
      <w:r>
        <w:rPr>
          <w:sz w:val="24"/>
        </w:rPr>
        <w:t>2020 deve ser </w:t>
      </w:r>
      <w:r>
        <w:rPr>
          <w:spacing w:val="-3"/>
          <w:sz w:val="24"/>
        </w:rPr>
        <w:t>ajustada </w:t>
      </w:r>
      <w:r>
        <w:rPr>
          <w:sz w:val="24"/>
        </w:rPr>
        <w:t>para se </w:t>
      </w:r>
      <w:r>
        <w:rPr>
          <w:spacing w:val="-3"/>
          <w:sz w:val="24"/>
        </w:rPr>
        <w:t>adequar</w:t>
      </w:r>
      <w:r>
        <w:rPr>
          <w:spacing w:val="-7"/>
          <w:sz w:val="24"/>
        </w:rPr>
        <w:t> </w:t>
      </w:r>
      <w:r>
        <w:rPr>
          <w:sz w:val="24"/>
        </w:rPr>
        <w:t>às</w:t>
      </w:r>
      <w:r>
        <w:rPr>
          <w:spacing w:val="-5"/>
          <w:sz w:val="24"/>
        </w:rPr>
        <w:t> </w:t>
      </w:r>
      <w:r>
        <w:rPr>
          <w:sz w:val="24"/>
        </w:rPr>
        <w:t>novas</w:t>
      </w:r>
      <w:r>
        <w:rPr>
          <w:spacing w:val="-5"/>
          <w:sz w:val="24"/>
        </w:rPr>
        <w:t> </w:t>
      </w:r>
      <w:r>
        <w:rPr>
          <w:sz w:val="24"/>
        </w:rPr>
        <w:t>diretrizes</w:t>
      </w:r>
      <w:r>
        <w:rPr>
          <w:spacing w:val="-5"/>
          <w:sz w:val="24"/>
        </w:rPr>
        <w:t> </w:t>
      </w:r>
      <w:r>
        <w:rPr>
          <w:spacing w:val="-3"/>
          <w:sz w:val="24"/>
        </w:rPr>
        <w:t>dispostas</w:t>
      </w:r>
      <w:r>
        <w:rPr>
          <w:spacing w:val="-5"/>
          <w:sz w:val="24"/>
        </w:rPr>
        <w:t> </w:t>
      </w:r>
      <w:r>
        <w:rPr>
          <w:sz w:val="24"/>
        </w:rPr>
        <w:t>pela</w:t>
      </w:r>
      <w:r>
        <w:rPr>
          <w:spacing w:val="-5"/>
          <w:sz w:val="24"/>
        </w:rPr>
        <w:t> </w:t>
      </w:r>
      <w:r>
        <w:rPr>
          <w:sz w:val="24"/>
        </w:rPr>
        <w:t>Corte</w:t>
      </w:r>
      <w:r>
        <w:rPr>
          <w:spacing w:val="-5"/>
          <w:sz w:val="24"/>
        </w:rPr>
        <w:t> </w:t>
      </w:r>
      <w:r>
        <w:rPr>
          <w:sz w:val="24"/>
        </w:rPr>
        <w:t>de</w:t>
      </w:r>
      <w:r>
        <w:rPr>
          <w:spacing w:val="-4"/>
          <w:sz w:val="24"/>
        </w:rPr>
        <w:t> </w:t>
      </w:r>
      <w:r>
        <w:rPr>
          <w:spacing w:val="-3"/>
          <w:sz w:val="24"/>
        </w:rPr>
        <w:t>Contas,</w:t>
      </w:r>
      <w:r>
        <w:rPr>
          <w:spacing w:val="-5"/>
          <w:sz w:val="24"/>
        </w:rPr>
        <w:t> </w:t>
      </w:r>
      <w:r>
        <w:rPr>
          <w:sz w:val="24"/>
        </w:rPr>
        <w:t>a</w:t>
      </w:r>
      <w:r>
        <w:rPr>
          <w:spacing w:val="-6"/>
          <w:sz w:val="24"/>
        </w:rPr>
        <w:t> </w:t>
      </w:r>
      <w:r>
        <w:rPr>
          <w:spacing w:val="-2"/>
          <w:sz w:val="24"/>
        </w:rPr>
        <w:t>fim</w:t>
      </w:r>
      <w:r>
        <w:rPr>
          <w:spacing w:val="-4"/>
          <w:sz w:val="24"/>
        </w:rPr>
        <w:t> </w:t>
      </w:r>
      <w:r>
        <w:rPr>
          <w:sz w:val="24"/>
        </w:rPr>
        <w:t>de</w:t>
      </w:r>
      <w:r>
        <w:rPr>
          <w:spacing w:val="-6"/>
          <w:sz w:val="24"/>
        </w:rPr>
        <w:t> </w:t>
      </w:r>
      <w:r>
        <w:rPr>
          <w:spacing w:val="-3"/>
          <w:sz w:val="24"/>
        </w:rPr>
        <w:t>contemplar</w:t>
      </w:r>
      <w:r>
        <w:rPr>
          <w:spacing w:val="-6"/>
          <w:sz w:val="24"/>
        </w:rPr>
        <w:t> </w:t>
      </w:r>
      <w:r>
        <w:rPr>
          <w:sz w:val="24"/>
        </w:rPr>
        <w:t>a</w:t>
      </w:r>
      <w:r>
        <w:rPr>
          <w:spacing w:val="-6"/>
          <w:sz w:val="24"/>
        </w:rPr>
        <w:t> </w:t>
      </w:r>
      <w:r>
        <w:rPr>
          <w:spacing w:val="-2"/>
          <w:sz w:val="24"/>
        </w:rPr>
        <w:t>determinação </w:t>
      </w:r>
      <w:r>
        <w:rPr>
          <w:sz w:val="24"/>
        </w:rPr>
        <w:t>contida na IN TCU nº </w:t>
      </w:r>
      <w:r>
        <w:rPr>
          <w:spacing w:val="-3"/>
          <w:sz w:val="24"/>
        </w:rPr>
        <w:t>84/2020, </w:t>
      </w:r>
      <w:r>
        <w:rPr>
          <w:sz w:val="24"/>
        </w:rPr>
        <w:t>para </w:t>
      </w:r>
      <w:r>
        <w:rPr>
          <w:spacing w:val="-2"/>
          <w:sz w:val="24"/>
        </w:rPr>
        <w:t>realização </w:t>
      </w:r>
      <w:r>
        <w:rPr>
          <w:sz w:val="24"/>
        </w:rPr>
        <w:t>de </w:t>
      </w:r>
      <w:r>
        <w:rPr>
          <w:spacing w:val="-3"/>
          <w:sz w:val="24"/>
        </w:rPr>
        <w:t>auditoria financeira integrada com conformidade,</w:t>
      </w:r>
      <w:r>
        <w:rPr>
          <w:spacing w:val="-10"/>
          <w:sz w:val="24"/>
        </w:rPr>
        <w:t> </w:t>
      </w:r>
      <w:r>
        <w:rPr>
          <w:spacing w:val="-3"/>
          <w:sz w:val="24"/>
        </w:rPr>
        <w:t>observando</w:t>
      </w:r>
      <w:r>
        <w:rPr>
          <w:spacing w:val="-9"/>
          <w:sz w:val="24"/>
        </w:rPr>
        <w:t> </w:t>
      </w:r>
      <w:r>
        <w:rPr>
          <w:sz w:val="24"/>
        </w:rPr>
        <w:t>a</w:t>
      </w:r>
      <w:r>
        <w:rPr>
          <w:spacing w:val="-10"/>
          <w:sz w:val="24"/>
        </w:rPr>
        <w:t> </w:t>
      </w:r>
      <w:r>
        <w:rPr>
          <w:sz w:val="24"/>
        </w:rPr>
        <w:t>materialidade,</w:t>
      </w:r>
      <w:r>
        <w:rPr>
          <w:spacing w:val="-9"/>
          <w:sz w:val="24"/>
        </w:rPr>
        <w:t> </w:t>
      </w:r>
      <w:r>
        <w:rPr>
          <w:sz w:val="24"/>
        </w:rPr>
        <w:t>os</w:t>
      </w:r>
      <w:r>
        <w:rPr>
          <w:spacing w:val="-6"/>
          <w:sz w:val="24"/>
        </w:rPr>
        <w:t> </w:t>
      </w:r>
      <w:r>
        <w:rPr>
          <w:spacing w:val="-3"/>
          <w:sz w:val="24"/>
        </w:rPr>
        <w:t>riscos</w:t>
      </w:r>
      <w:r>
        <w:rPr>
          <w:spacing w:val="-8"/>
          <w:sz w:val="24"/>
        </w:rPr>
        <w:t> </w:t>
      </w:r>
      <w:r>
        <w:rPr>
          <w:sz w:val="24"/>
        </w:rPr>
        <w:t>e</w:t>
      </w:r>
      <w:r>
        <w:rPr>
          <w:spacing w:val="-7"/>
          <w:sz w:val="24"/>
        </w:rPr>
        <w:t> </w:t>
      </w:r>
      <w:r>
        <w:rPr>
          <w:sz w:val="24"/>
        </w:rPr>
        <w:t>a</w:t>
      </w:r>
      <w:r>
        <w:rPr>
          <w:spacing w:val="-11"/>
          <w:sz w:val="24"/>
        </w:rPr>
        <w:t> </w:t>
      </w:r>
      <w:r>
        <w:rPr>
          <w:spacing w:val="-3"/>
          <w:sz w:val="24"/>
        </w:rPr>
        <w:t>sensibilidade</w:t>
      </w:r>
      <w:r>
        <w:rPr>
          <w:spacing w:val="-10"/>
          <w:sz w:val="24"/>
        </w:rPr>
        <w:t> </w:t>
      </w:r>
      <w:r>
        <w:rPr>
          <w:sz w:val="24"/>
        </w:rPr>
        <w:t>das</w:t>
      </w:r>
      <w:r>
        <w:rPr>
          <w:spacing w:val="-8"/>
          <w:sz w:val="24"/>
        </w:rPr>
        <w:t> </w:t>
      </w:r>
      <w:r>
        <w:rPr>
          <w:sz w:val="24"/>
        </w:rPr>
        <w:t>operações,</w:t>
      </w:r>
      <w:r>
        <w:rPr>
          <w:spacing w:val="-9"/>
          <w:sz w:val="24"/>
        </w:rPr>
        <w:t> </w:t>
      </w:r>
      <w:r>
        <w:rPr>
          <w:spacing w:val="-3"/>
          <w:sz w:val="24"/>
        </w:rPr>
        <w:t>transações e/ou atos </w:t>
      </w:r>
      <w:r>
        <w:rPr>
          <w:sz w:val="24"/>
        </w:rPr>
        <w:t>de </w:t>
      </w:r>
      <w:r>
        <w:rPr>
          <w:spacing w:val="-3"/>
          <w:sz w:val="24"/>
        </w:rPr>
        <w:t>gestão subjacentes, </w:t>
      </w:r>
      <w:r>
        <w:rPr>
          <w:sz w:val="24"/>
        </w:rPr>
        <w:t>e também, para se </w:t>
      </w:r>
      <w:r>
        <w:rPr>
          <w:spacing w:val="-3"/>
          <w:sz w:val="24"/>
        </w:rPr>
        <w:t>ajustar </w:t>
      </w:r>
      <w:r>
        <w:rPr>
          <w:sz w:val="24"/>
        </w:rPr>
        <w:t>à </w:t>
      </w:r>
      <w:r>
        <w:rPr>
          <w:spacing w:val="-3"/>
          <w:sz w:val="24"/>
        </w:rPr>
        <w:t>realidade </w:t>
      </w:r>
      <w:r>
        <w:rPr>
          <w:sz w:val="24"/>
        </w:rPr>
        <w:t>de pandemia que vige desde </w:t>
      </w:r>
      <w:r>
        <w:rPr>
          <w:spacing w:val="-3"/>
          <w:sz w:val="24"/>
        </w:rPr>
        <w:t>março </w:t>
      </w:r>
      <w:r>
        <w:rPr>
          <w:sz w:val="24"/>
        </w:rPr>
        <w:t>do </w:t>
      </w:r>
      <w:r>
        <w:rPr>
          <w:spacing w:val="-3"/>
          <w:sz w:val="24"/>
        </w:rPr>
        <w:t>corrente exercício, redundando, </w:t>
      </w:r>
      <w:r>
        <w:rPr>
          <w:sz w:val="24"/>
        </w:rPr>
        <w:t>por </w:t>
      </w:r>
      <w:r>
        <w:rPr>
          <w:spacing w:val="-3"/>
          <w:sz w:val="24"/>
        </w:rPr>
        <w:t>exemplo, </w:t>
      </w:r>
      <w:r>
        <w:rPr>
          <w:sz w:val="24"/>
        </w:rPr>
        <w:t>na </w:t>
      </w:r>
      <w:r>
        <w:rPr>
          <w:spacing w:val="-3"/>
          <w:sz w:val="24"/>
        </w:rPr>
        <w:t>exclusão </w:t>
      </w:r>
      <w:r>
        <w:rPr>
          <w:sz w:val="24"/>
        </w:rPr>
        <w:t>da </w:t>
      </w:r>
      <w:r>
        <w:rPr>
          <w:spacing w:val="-3"/>
          <w:sz w:val="24"/>
        </w:rPr>
        <w:t>ação coordenada pelo </w:t>
      </w:r>
      <w:r>
        <w:rPr>
          <w:sz w:val="24"/>
        </w:rPr>
        <w:t>CNJ em </w:t>
      </w:r>
      <w:r>
        <w:rPr>
          <w:spacing w:val="-3"/>
          <w:sz w:val="24"/>
        </w:rPr>
        <w:t>Acessibilidade </w:t>
      </w:r>
      <w:r>
        <w:rPr>
          <w:sz w:val="24"/>
        </w:rPr>
        <w:t>e na </w:t>
      </w:r>
      <w:r>
        <w:rPr>
          <w:spacing w:val="-3"/>
          <w:sz w:val="24"/>
        </w:rPr>
        <w:t>prorrogação </w:t>
      </w:r>
      <w:r>
        <w:rPr>
          <w:sz w:val="24"/>
        </w:rPr>
        <w:t>dos </w:t>
      </w:r>
      <w:r>
        <w:rPr>
          <w:spacing w:val="-3"/>
          <w:sz w:val="24"/>
        </w:rPr>
        <w:t>trabalhos </w:t>
      </w:r>
      <w:r>
        <w:rPr>
          <w:sz w:val="24"/>
        </w:rPr>
        <w:t>da auditoria integrada TRE´s/TSE, no processo de gerenciamento de ativos de</w:t>
      </w:r>
      <w:r>
        <w:rPr>
          <w:spacing w:val="-3"/>
          <w:sz w:val="24"/>
        </w:rPr>
        <w:t> </w:t>
      </w:r>
      <w:r>
        <w:rPr>
          <w:sz w:val="24"/>
        </w:rPr>
        <w:t>TIC.</w:t>
      </w:r>
    </w:p>
    <w:p>
      <w:pPr>
        <w:pStyle w:val="ListParagraph"/>
        <w:numPr>
          <w:ilvl w:val="1"/>
          <w:numId w:val="3"/>
        </w:numPr>
        <w:tabs>
          <w:tab w:pos="479" w:val="left" w:leader="none"/>
        </w:tabs>
        <w:spacing w:line="240" w:lineRule="auto" w:before="0" w:after="0"/>
        <w:ind w:left="478" w:right="368" w:hanging="360"/>
        <w:jc w:val="both"/>
        <w:rPr>
          <w:sz w:val="24"/>
        </w:rPr>
      </w:pPr>
      <w:r>
        <w:rPr>
          <w:sz w:val="24"/>
        </w:rPr>
        <w:t>Nesse</w:t>
      </w:r>
      <w:r>
        <w:rPr>
          <w:spacing w:val="-8"/>
          <w:sz w:val="24"/>
        </w:rPr>
        <w:t> </w:t>
      </w:r>
      <w:r>
        <w:rPr>
          <w:spacing w:val="-3"/>
          <w:sz w:val="24"/>
        </w:rPr>
        <w:t>sentido, </w:t>
      </w:r>
      <w:r>
        <w:rPr>
          <w:sz w:val="24"/>
        </w:rPr>
        <w:t>as</w:t>
      </w:r>
      <w:r>
        <w:rPr>
          <w:spacing w:val="-3"/>
          <w:sz w:val="24"/>
        </w:rPr>
        <w:t> ações</w:t>
      </w:r>
      <w:r>
        <w:rPr>
          <w:spacing w:val="-4"/>
          <w:sz w:val="24"/>
        </w:rPr>
        <w:t> </w:t>
      </w:r>
      <w:r>
        <w:rPr>
          <w:spacing w:val="-3"/>
          <w:sz w:val="24"/>
        </w:rPr>
        <w:t>fiscalizatórias </w:t>
      </w:r>
      <w:r>
        <w:rPr>
          <w:sz w:val="24"/>
        </w:rPr>
        <w:t>relacionadas</w:t>
      </w:r>
      <w:r>
        <w:rPr>
          <w:spacing w:val="-4"/>
          <w:sz w:val="24"/>
        </w:rPr>
        <w:t> </w:t>
      </w:r>
      <w:r>
        <w:rPr>
          <w:sz w:val="24"/>
        </w:rPr>
        <w:t>à</w:t>
      </w:r>
      <w:r>
        <w:rPr>
          <w:spacing w:val="-4"/>
          <w:sz w:val="24"/>
        </w:rPr>
        <w:t> </w:t>
      </w:r>
      <w:r>
        <w:rPr>
          <w:sz w:val="24"/>
        </w:rPr>
        <w:t>área</w:t>
      </w:r>
      <w:r>
        <w:rPr>
          <w:spacing w:val="-7"/>
          <w:sz w:val="24"/>
        </w:rPr>
        <w:t> </w:t>
      </w:r>
      <w:r>
        <w:rPr>
          <w:sz w:val="24"/>
        </w:rPr>
        <w:t>de</w:t>
      </w:r>
      <w:r>
        <w:rPr>
          <w:spacing w:val="-5"/>
          <w:sz w:val="24"/>
        </w:rPr>
        <w:t> </w:t>
      </w:r>
      <w:r>
        <w:rPr>
          <w:spacing w:val="-3"/>
          <w:sz w:val="24"/>
        </w:rPr>
        <w:t>gestão</w:t>
      </w:r>
      <w:r>
        <w:rPr>
          <w:spacing w:val="-5"/>
          <w:sz w:val="24"/>
        </w:rPr>
        <w:t> </w:t>
      </w:r>
      <w:r>
        <w:rPr>
          <w:sz w:val="24"/>
        </w:rPr>
        <w:t>de</w:t>
      </w:r>
      <w:r>
        <w:rPr>
          <w:spacing w:val="-4"/>
          <w:sz w:val="24"/>
        </w:rPr>
        <w:t> </w:t>
      </w:r>
      <w:r>
        <w:rPr>
          <w:sz w:val="24"/>
        </w:rPr>
        <w:t>pessoas</w:t>
      </w:r>
      <w:r>
        <w:rPr>
          <w:spacing w:val="-3"/>
          <w:sz w:val="24"/>
        </w:rPr>
        <w:t> </w:t>
      </w:r>
      <w:r>
        <w:rPr>
          <w:sz w:val="24"/>
        </w:rPr>
        <w:t>e</w:t>
      </w:r>
      <w:r>
        <w:rPr>
          <w:spacing w:val="-7"/>
          <w:sz w:val="24"/>
        </w:rPr>
        <w:t> </w:t>
      </w:r>
      <w:r>
        <w:rPr>
          <w:sz w:val="24"/>
        </w:rPr>
        <w:t>de</w:t>
      </w:r>
      <w:r>
        <w:rPr>
          <w:spacing w:val="-8"/>
          <w:sz w:val="24"/>
        </w:rPr>
        <w:t> </w:t>
      </w:r>
      <w:r>
        <w:rPr>
          <w:sz w:val="24"/>
        </w:rPr>
        <w:t>licitações</w:t>
      </w:r>
      <w:r>
        <w:rPr>
          <w:spacing w:val="-3"/>
          <w:sz w:val="24"/>
        </w:rPr>
        <w:t> </w:t>
      </w:r>
      <w:r>
        <w:rPr>
          <w:sz w:val="24"/>
        </w:rPr>
        <w:t>e </w:t>
      </w:r>
      <w:r>
        <w:rPr>
          <w:spacing w:val="-3"/>
          <w:sz w:val="24"/>
        </w:rPr>
        <w:t>contratos </w:t>
      </w:r>
      <w:r>
        <w:rPr>
          <w:sz w:val="24"/>
        </w:rPr>
        <w:t>terão seus objetos </w:t>
      </w:r>
      <w:r>
        <w:rPr>
          <w:spacing w:val="-3"/>
          <w:sz w:val="24"/>
        </w:rPr>
        <w:t>determinados </w:t>
      </w:r>
      <w:r>
        <w:rPr>
          <w:sz w:val="24"/>
        </w:rPr>
        <w:t>na fase de </w:t>
      </w:r>
      <w:r>
        <w:rPr>
          <w:spacing w:val="-3"/>
          <w:sz w:val="24"/>
        </w:rPr>
        <w:t>planejamento </w:t>
      </w:r>
      <w:r>
        <w:rPr>
          <w:sz w:val="24"/>
        </w:rPr>
        <w:t>da </w:t>
      </w:r>
      <w:r>
        <w:rPr>
          <w:spacing w:val="-3"/>
          <w:sz w:val="24"/>
        </w:rPr>
        <w:t>auditoria </w:t>
      </w:r>
      <w:r>
        <w:rPr>
          <w:spacing w:val="-2"/>
          <w:sz w:val="24"/>
        </w:rPr>
        <w:t>financeira </w:t>
      </w:r>
      <w:r>
        <w:rPr>
          <w:spacing w:val="-3"/>
          <w:sz w:val="24"/>
        </w:rPr>
        <w:t>integrada</w:t>
      </w:r>
      <w:r>
        <w:rPr>
          <w:spacing w:val="-16"/>
          <w:sz w:val="24"/>
        </w:rPr>
        <w:t> </w:t>
      </w:r>
      <w:r>
        <w:rPr>
          <w:spacing w:val="-3"/>
          <w:sz w:val="24"/>
        </w:rPr>
        <w:t>com</w:t>
      </w:r>
      <w:r>
        <w:rPr>
          <w:spacing w:val="-13"/>
          <w:sz w:val="24"/>
        </w:rPr>
        <w:t> </w:t>
      </w:r>
      <w:r>
        <w:rPr>
          <w:spacing w:val="-3"/>
          <w:sz w:val="24"/>
        </w:rPr>
        <w:t>conformidade,</w:t>
      </w:r>
      <w:r>
        <w:rPr>
          <w:spacing w:val="-11"/>
          <w:sz w:val="24"/>
        </w:rPr>
        <w:t> </w:t>
      </w:r>
      <w:r>
        <w:rPr>
          <w:sz w:val="24"/>
        </w:rPr>
        <w:t>a</w:t>
      </w:r>
      <w:r>
        <w:rPr>
          <w:spacing w:val="-15"/>
          <w:sz w:val="24"/>
        </w:rPr>
        <w:t> </w:t>
      </w:r>
      <w:r>
        <w:rPr>
          <w:spacing w:val="-3"/>
          <w:sz w:val="24"/>
        </w:rPr>
        <w:t>qual</w:t>
      </w:r>
      <w:r>
        <w:rPr>
          <w:spacing w:val="-11"/>
          <w:sz w:val="24"/>
        </w:rPr>
        <w:t> </w:t>
      </w:r>
      <w:r>
        <w:rPr>
          <w:spacing w:val="-3"/>
          <w:sz w:val="24"/>
        </w:rPr>
        <w:t>conduzirá</w:t>
      </w:r>
      <w:r>
        <w:rPr>
          <w:spacing w:val="-16"/>
          <w:sz w:val="24"/>
        </w:rPr>
        <w:t> </w:t>
      </w:r>
      <w:r>
        <w:rPr>
          <w:sz w:val="24"/>
        </w:rPr>
        <w:t>os</w:t>
      </w:r>
      <w:r>
        <w:rPr>
          <w:spacing w:val="-15"/>
          <w:sz w:val="24"/>
        </w:rPr>
        <w:t> </w:t>
      </w:r>
      <w:r>
        <w:rPr>
          <w:spacing w:val="-3"/>
          <w:sz w:val="24"/>
        </w:rPr>
        <w:t>trabalhos</w:t>
      </w:r>
      <w:r>
        <w:rPr>
          <w:spacing w:val="-14"/>
          <w:sz w:val="24"/>
        </w:rPr>
        <w:t> </w:t>
      </w:r>
      <w:r>
        <w:rPr>
          <w:sz w:val="24"/>
        </w:rPr>
        <w:t>a</w:t>
      </w:r>
      <w:r>
        <w:rPr>
          <w:spacing w:val="-15"/>
          <w:sz w:val="24"/>
        </w:rPr>
        <w:t> </w:t>
      </w:r>
      <w:r>
        <w:rPr>
          <w:spacing w:val="-3"/>
          <w:sz w:val="24"/>
        </w:rPr>
        <w:t>serem</w:t>
      </w:r>
      <w:r>
        <w:rPr>
          <w:spacing w:val="-13"/>
          <w:sz w:val="24"/>
        </w:rPr>
        <w:t> </w:t>
      </w:r>
      <w:r>
        <w:rPr>
          <w:sz w:val="24"/>
        </w:rPr>
        <w:t>desenvolvidos</w:t>
      </w:r>
      <w:r>
        <w:rPr>
          <w:spacing w:val="-14"/>
          <w:sz w:val="24"/>
        </w:rPr>
        <w:t> </w:t>
      </w:r>
      <w:r>
        <w:rPr>
          <w:sz w:val="24"/>
        </w:rPr>
        <w:t>para</w:t>
      </w:r>
      <w:r>
        <w:rPr>
          <w:spacing w:val="-17"/>
          <w:sz w:val="24"/>
        </w:rPr>
        <w:t> </w:t>
      </w:r>
      <w:r>
        <w:rPr>
          <w:spacing w:val="-3"/>
          <w:sz w:val="24"/>
        </w:rPr>
        <w:t>subsidiar </w:t>
      </w:r>
      <w:r>
        <w:rPr>
          <w:sz w:val="24"/>
        </w:rPr>
        <w:t>a </w:t>
      </w:r>
      <w:r>
        <w:rPr>
          <w:spacing w:val="-3"/>
          <w:sz w:val="24"/>
        </w:rPr>
        <w:t>certificação </w:t>
      </w:r>
      <w:r>
        <w:rPr>
          <w:sz w:val="24"/>
        </w:rPr>
        <w:t>nas</w:t>
      </w:r>
      <w:r>
        <w:rPr>
          <w:spacing w:val="-11"/>
          <w:sz w:val="24"/>
        </w:rPr>
        <w:t> </w:t>
      </w:r>
      <w:r>
        <w:rPr>
          <w:spacing w:val="-3"/>
          <w:sz w:val="24"/>
        </w:rPr>
        <w:t>contas.</w:t>
      </w:r>
    </w:p>
    <w:p>
      <w:pPr>
        <w:pStyle w:val="ListParagraph"/>
        <w:numPr>
          <w:ilvl w:val="1"/>
          <w:numId w:val="3"/>
        </w:numPr>
        <w:tabs>
          <w:tab w:pos="686" w:val="left" w:leader="none"/>
        </w:tabs>
        <w:spacing w:line="240" w:lineRule="auto" w:before="1" w:after="0"/>
        <w:ind w:left="685" w:right="374" w:hanging="567"/>
        <w:jc w:val="both"/>
        <w:rPr>
          <w:sz w:val="24"/>
        </w:rPr>
      </w:pPr>
      <w:r>
        <w:rPr>
          <w:sz w:val="24"/>
        </w:rPr>
        <w:t>Registre-se a manutenção da auditoria nos processos de infraestrutura de TIC, que se configura</w:t>
      </w:r>
      <w:r>
        <w:rPr>
          <w:spacing w:val="-7"/>
          <w:sz w:val="24"/>
        </w:rPr>
        <w:t> </w:t>
      </w:r>
      <w:r>
        <w:rPr>
          <w:sz w:val="24"/>
        </w:rPr>
        <w:t>como</w:t>
      </w:r>
      <w:r>
        <w:rPr>
          <w:spacing w:val="-8"/>
          <w:sz w:val="24"/>
        </w:rPr>
        <w:t> </w:t>
      </w:r>
      <w:r>
        <w:rPr>
          <w:sz w:val="24"/>
        </w:rPr>
        <w:t>ação</w:t>
      </w:r>
      <w:r>
        <w:rPr>
          <w:spacing w:val="-6"/>
          <w:sz w:val="24"/>
        </w:rPr>
        <w:t> </w:t>
      </w:r>
      <w:r>
        <w:rPr>
          <w:sz w:val="24"/>
        </w:rPr>
        <w:t>integrada</w:t>
      </w:r>
      <w:r>
        <w:rPr>
          <w:spacing w:val="-10"/>
          <w:sz w:val="24"/>
        </w:rPr>
        <w:t> </w:t>
      </w:r>
      <w:r>
        <w:rPr>
          <w:sz w:val="24"/>
        </w:rPr>
        <w:t>obrigatória</w:t>
      </w:r>
      <w:r>
        <w:rPr>
          <w:spacing w:val="-6"/>
          <w:sz w:val="24"/>
        </w:rPr>
        <w:t> </w:t>
      </w:r>
      <w:r>
        <w:rPr>
          <w:sz w:val="24"/>
        </w:rPr>
        <w:t>no</w:t>
      </w:r>
      <w:r>
        <w:rPr>
          <w:spacing w:val="-9"/>
          <w:sz w:val="24"/>
        </w:rPr>
        <w:t> </w:t>
      </w:r>
      <w:r>
        <w:rPr>
          <w:sz w:val="24"/>
        </w:rPr>
        <w:t>âmbito</w:t>
      </w:r>
      <w:r>
        <w:rPr>
          <w:spacing w:val="-8"/>
          <w:sz w:val="24"/>
        </w:rPr>
        <w:t> </w:t>
      </w:r>
      <w:r>
        <w:rPr>
          <w:sz w:val="24"/>
        </w:rPr>
        <w:t>da</w:t>
      </w:r>
      <w:r>
        <w:rPr>
          <w:spacing w:val="-10"/>
          <w:sz w:val="24"/>
        </w:rPr>
        <w:t> </w:t>
      </w:r>
      <w:r>
        <w:rPr>
          <w:sz w:val="24"/>
        </w:rPr>
        <w:t>Justiça</w:t>
      </w:r>
      <w:r>
        <w:rPr>
          <w:spacing w:val="-10"/>
          <w:sz w:val="24"/>
        </w:rPr>
        <w:t> </w:t>
      </w:r>
      <w:r>
        <w:rPr>
          <w:sz w:val="24"/>
        </w:rPr>
        <w:t>Eleitoral</w:t>
      </w:r>
      <w:r>
        <w:rPr>
          <w:spacing w:val="-7"/>
          <w:sz w:val="24"/>
        </w:rPr>
        <w:t> </w:t>
      </w:r>
      <w:r>
        <w:rPr>
          <w:sz w:val="24"/>
        </w:rPr>
        <w:t>e</w:t>
      </w:r>
      <w:r>
        <w:rPr>
          <w:spacing w:val="-7"/>
          <w:sz w:val="24"/>
        </w:rPr>
        <w:t> </w:t>
      </w:r>
      <w:r>
        <w:rPr>
          <w:sz w:val="24"/>
        </w:rPr>
        <w:t>o</w:t>
      </w:r>
      <w:r>
        <w:rPr>
          <w:spacing w:val="-6"/>
          <w:sz w:val="24"/>
        </w:rPr>
        <w:t> </w:t>
      </w:r>
      <w:r>
        <w:rPr>
          <w:sz w:val="24"/>
        </w:rPr>
        <w:t>monitoramento da Ação Coordenada CNJ – Governança orçamentária e financeira, planejamento, gerenciamento, execução e gestão contábil já</w:t>
      </w:r>
      <w:r>
        <w:rPr>
          <w:spacing w:val="1"/>
          <w:sz w:val="24"/>
        </w:rPr>
        <w:t> </w:t>
      </w:r>
      <w:r>
        <w:rPr>
          <w:sz w:val="24"/>
        </w:rPr>
        <w:t>finalizada.</w:t>
      </w:r>
    </w:p>
    <w:p>
      <w:pPr>
        <w:pStyle w:val="ListParagraph"/>
        <w:numPr>
          <w:ilvl w:val="1"/>
          <w:numId w:val="3"/>
        </w:numPr>
        <w:tabs>
          <w:tab w:pos="686" w:val="left" w:leader="none"/>
        </w:tabs>
        <w:spacing w:line="240" w:lineRule="auto" w:before="0" w:after="0"/>
        <w:ind w:left="685" w:right="368" w:hanging="567"/>
        <w:jc w:val="both"/>
        <w:rPr>
          <w:sz w:val="24"/>
        </w:rPr>
      </w:pPr>
      <w:r>
        <w:rPr>
          <w:sz w:val="24"/>
        </w:rPr>
        <w:t>Diante disso, a compatibilização de </w:t>
      </w:r>
      <w:r>
        <w:rPr>
          <w:spacing w:val="-3"/>
          <w:sz w:val="24"/>
        </w:rPr>
        <w:t>horas </w:t>
      </w:r>
      <w:r>
        <w:rPr>
          <w:sz w:val="24"/>
        </w:rPr>
        <w:t>disponíveis para a </w:t>
      </w:r>
      <w:r>
        <w:rPr>
          <w:spacing w:val="-3"/>
          <w:sz w:val="24"/>
        </w:rPr>
        <w:t>realização das atividades, </w:t>
      </w:r>
      <w:r>
        <w:rPr>
          <w:sz w:val="24"/>
        </w:rPr>
        <w:t>o </w:t>
      </w:r>
      <w:r>
        <w:rPr>
          <w:spacing w:val="-3"/>
          <w:sz w:val="24"/>
        </w:rPr>
        <w:t>cenário </w:t>
      </w:r>
      <w:r>
        <w:rPr>
          <w:sz w:val="24"/>
        </w:rPr>
        <w:t>de pandemia que </w:t>
      </w:r>
      <w:r>
        <w:rPr>
          <w:spacing w:val="-3"/>
          <w:sz w:val="24"/>
        </w:rPr>
        <w:t>ocasionou </w:t>
      </w:r>
      <w:r>
        <w:rPr>
          <w:sz w:val="24"/>
        </w:rPr>
        <w:t>o </w:t>
      </w:r>
      <w:r>
        <w:rPr>
          <w:spacing w:val="-3"/>
          <w:sz w:val="24"/>
        </w:rPr>
        <w:t>isolamento social </w:t>
      </w:r>
      <w:r>
        <w:rPr>
          <w:sz w:val="24"/>
        </w:rPr>
        <w:t>e o trabalho remoto, </w:t>
      </w:r>
      <w:r>
        <w:rPr>
          <w:spacing w:val="-3"/>
          <w:sz w:val="24"/>
        </w:rPr>
        <w:t>determinando, inclusive, alteração </w:t>
      </w:r>
      <w:r>
        <w:rPr>
          <w:sz w:val="24"/>
        </w:rPr>
        <w:t>da data </w:t>
      </w:r>
      <w:r>
        <w:rPr>
          <w:spacing w:val="-3"/>
          <w:sz w:val="24"/>
        </w:rPr>
        <w:t>das </w:t>
      </w:r>
      <w:r>
        <w:rPr>
          <w:sz w:val="24"/>
        </w:rPr>
        <w:t>Eleições </w:t>
      </w:r>
      <w:r>
        <w:rPr>
          <w:spacing w:val="-3"/>
          <w:sz w:val="24"/>
        </w:rPr>
        <w:t>Municipais, </w:t>
      </w:r>
      <w:r>
        <w:rPr>
          <w:sz w:val="24"/>
        </w:rPr>
        <w:t>atividade </w:t>
      </w:r>
      <w:r>
        <w:rPr>
          <w:spacing w:val="-2"/>
          <w:sz w:val="24"/>
        </w:rPr>
        <w:t>fim </w:t>
      </w:r>
      <w:r>
        <w:rPr>
          <w:sz w:val="24"/>
        </w:rPr>
        <w:t>deste </w:t>
      </w:r>
      <w:r>
        <w:rPr>
          <w:spacing w:val="-3"/>
          <w:sz w:val="24"/>
        </w:rPr>
        <w:t>Regional, </w:t>
      </w:r>
      <w:r>
        <w:rPr>
          <w:sz w:val="24"/>
        </w:rPr>
        <w:t>impõe </w:t>
      </w:r>
      <w:r>
        <w:rPr>
          <w:spacing w:val="-3"/>
          <w:sz w:val="24"/>
        </w:rPr>
        <w:t>também </w:t>
      </w:r>
      <w:r>
        <w:rPr>
          <w:sz w:val="24"/>
        </w:rPr>
        <w:t>o </w:t>
      </w:r>
      <w:r>
        <w:rPr>
          <w:spacing w:val="-3"/>
          <w:sz w:val="24"/>
        </w:rPr>
        <w:t>cancelamento </w:t>
      </w:r>
      <w:r>
        <w:rPr>
          <w:sz w:val="24"/>
        </w:rPr>
        <w:t>da </w:t>
      </w:r>
      <w:r>
        <w:rPr>
          <w:spacing w:val="-3"/>
          <w:sz w:val="24"/>
        </w:rPr>
        <w:t>auditoria </w:t>
      </w:r>
      <w:r>
        <w:rPr>
          <w:sz w:val="24"/>
        </w:rPr>
        <w:t>no </w:t>
      </w:r>
      <w:r>
        <w:rPr>
          <w:spacing w:val="-3"/>
          <w:sz w:val="24"/>
        </w:rPr>
        <w:t>processo </w:t>
      </w:r>
      <w:r>
        <w:rPr>
          <w:sz w:val="24"/>
        </w:rPr>
        <w:t>de </w:t>
      </w:r>
      <w:r>
        <w:rPr>
          <w:spacing w:val="-3"/>
          <w:sz w:val="24"/>
        </w:rPr>
        <w:t>Planejamento </w:t>
      </w:r>
      <w:r>
        <w:rPr>
          <w:sz w:val="24"/>
        </w:rPr>
        <w:t>de Eleições </w:t>
      </w:r>
      <w:r>
        <w:rPr>
          <w:spacing w:val="-3"/>
          <w:sz w:val="24"/>
        </w:rPr>
        <w:t>atribuída </w:t>
      </w:r>
      <w:r>
        <w:rPr>
          <w:sz w:val="24"/>
        </w:rPr>
        <w:t>à </w:t>
      </w:r>
      <w:r>
        <w:rPr>
          <w:spacing w:val="-3"/>
          <w:sz w:val="24"/>
        </w:rPr>
        <w:t>Seção</w:t>
      </w:r>
      <w:r>
        <w:rPr>
          <w:spacing w:val="-22"/>
          <w:sz w:val="24"/>
        </w:rPr>
        <w:t> </w:t>
      </w:r>
      <w:r>
        <w:rPr>
          <w:sz w:val="24"/>
        </w:rPr>
        <w:t>de</w:t>
      </w:r>
      <w:r>
        <w:rPr>
          <w:spacing w:val="-20"/>
          <w:sz w:val="24"/>
        </w:rPr>
        <w:t> </w:t>
      </w:r>
      <w:r>
        <w:rPr>
          <w:spacing w:val="-3"/>
          <w:sz w:val="24"/>
        </w:rPr>
        <w:t>Auditoria</w:t>
      </w:r>
      <w:r>
        <w:rPr>
          <w:spacing w:val="-20"/>
          <w:sz w:val="24"/>
        </w:rPr>
        <w:t> </w:t>
      </w:r>
      <w:r>
        <w:rPr>
          <w:sz w:val="24"/>
        </w:rPr>
        <w:t>em</w:t>
      </w:r>
      <w:r>
        <w:rPr>
          <w:spacing w:val="-18"/>
          <w:sz w:val="24"/>
        </w:rPr>
        <w:t> </w:t>
      </w:r>
      <w:r>
        <w:rPr>
          <w:spacing w:val="-3"/>
          <w:sz w:val="24"/>
        </w:rPr>
        <w:t>Governança</w:t>
      </w:r>
      <w:r>
        <w:rPr>
          <w:spacing w:val="-20"/>
          <w:sz w:val="24"/>
        </w:rPr>
        <w:t> </w:t>
      </w:r>
      <w:r>
        <w:rPr>
          <w:sz w:val="24"/>
        </w:rPr>
        <w:t>e</w:t>
      </w:r>
      <w:r>
        <w:rPr>
          <w:spacing w:val="-22"/>
          <w:sz w:val="24"/>
        </w:rPr>
        <w:t> </w:t>
      </w:r>
      <w:r>
        <w:rPr>
          <w:sz w:val="24"/>
        </w:rPr>
        <w:t>Gestão</w:t>
      </w:r>
      <w:r>
        <w:rPr>
          <w:spacing w:val="-21"/>
          <w:sz w:val="24"/>
        </w:rPr>
        <w:t> </w:t>
      </w:r>
      <w:r>
        <w:rPr>
          <w:sz w:val="24"/>
        </w:rPr>
        <w:t>Organizacional</w:t>
      </w:r>
      <w:r>
        <w:rPr>
          <w:spacing w:val="-22"/>
          <w:sz w:val="24"/>
        </w:rPr>
        <w:t> </w:t>
      </w:r>
      <w:r>
        <w:rPr>
          <w:sz w:val="24"/>
        </w:rPr>
        <w:t>e</w:t>
      </w:r>
      <w:r>
        <w:rPr>
          <w:spacing w:val="-22"/>
          <w:sz w:val="24"/>
        </w:rPr>
        <w:t> </w:t>
      </w:r>
      <w:r>
        <w:rPr>
          <w:sz w:val="24"/>
        </w:rPr>
        <w:t>do</w:t>
      </w:r>
      <w:r>
        <w:rPr>
          <w:spacing w:val="-21"/>
          <w:sz w:val="24"/>
        </w:rPr>
        <w:t> </w:t>
      </w:r>
      <w:r>
        <w:rPr>
          <w:sz w:val="24"/>
        </w:rPr>
        <w:t>monitoramento</w:t>
      </w:r>
      <w:r>
        <w:rPr>
          <w:spacing w:val="-21"/>
          <w:sz w:val="24"/>
        </w:rPr>
        <w:t> </w:t>
      </w:r>
      <w:r>
        <w:rPr>
          <w:sz w:val="24"/>
        </w:rPr>
        <w:t>da</w:t>
      </w:r>
      <w:r>
        <w:rPr>
          <w:spacing w:val="-19"/>
          <w:sz w:val="24"/>
        </w:rPr>
        <w:t> </w:t>
      </w:r>
      <w:r>
        <w:rPr>
          <w:sz w:val="24"/>
        </w:rPr>
        <w:t>Auditoria Integrada TSE/TREs - Gestão da força de trabalho/Dimensionamento da força de trabalho PAA2018, a fim de permitir o desenvolvimento das atividades relacionadas à auditoria financeira integrada com</w:t>
      </w:r>
      <w:r>
        <w:rPr>
          <w:spacing w:val="-1"/>
          <w:sz w:val="24"/>
        </w:rPr>
        <w:t> </w:t>
      </w:r>
      <w:r>
        <w:rPr>
          <w:sz w:val="24"/>
        </w:rPr>
        <w:t>conformidade.</w:t>
      </w:r>
    </w:p>
    <w:p>
      <w:pPr>
        <w:pStyle w:val="ListParagraph"/>
        <w:numPr>
          <w:ilvl w:val="1"/>
          <w:numId w:val="3"/>
        </w:numPr>
        <w:tabs>
          <w:tab w:pos="686" w:val="left" w:leader="none"/>
        </w:tabs>
        <w:spacing w:line="240" w:lineRule="auto" w:before="0" w:after="0"/>
        <w:ind w:left="685" w:right="368" w:hanging="567"/>
        <w:jc w:val="both"/>
        <w:rPr>
          <w:sz w:val="24"/>
        </w:rPr>
      </w:pPr>
      <w:r>
        <w:rPr>
          <w:sz w:val="24"/>
        </w:rPr>
        <w:t>A</w:t>
      </w:r>
      <w:r>
        <w:rPr>
          <w:spacing w:val="-18"/>
          <w:sz w:val="24"/>
        </w:rPr>
        <w:t> </w:t>
      </w:r>
      <w:r>
        <w:rPr>
          <w:spacing w:val="-3"/>
          <w:sz w:val="24"/>
        </w:rPr>
        <w:t>seleção</w:t>
      </w:r>
      <w:r>
        <w:rPr>
          <w:spacing w:val="-14"/>
          <w:sz w:val="24"/>
        </w:rPr>
        <w:t> </w:t>
      </w:r>
      <w:r>
        <w:rPr>
          <w:sz w:val="24"/>
        </w:rPr>
        <w:t>dos</w:t>
      </w:r>
      <w:r>
        <w:rPr>
          <w:spacing w:val="-15"/>
          <w:sz w:val="24"/>
        </w:rPr>
        <w:t> </w:t>
      </w:r>
      <w:r>
        <w:rPr>
          <w:sz w:val="24"/>
        </w:rPr>
        <w:t>objetos</w:t>
      </w:r>
      <w:r>
        <w:rPr>
          <w:spacing w:val="-15"/>
          <w:sz w:val="24"/>
        </w:rPr>
        <w:t> </w:t>
      </w:r>
      <w:r>
        <w:rPr>
          <w:spacing w:val="-3"/>
          <w:sz w:val="24"/>
        </w:rPr>
        <w:t>auditáveis</w:t>
      </w:r>
      <w:r>
        <w:rPr>
          <w:spacing w:val="-14"/>
          <w:sz w:val="24"/>
        </w:rPr>
        <w:t> </w:t>
      </w:r>
      <w:r>
        <w:rPr>
          <w:sz w:val="24"/>
        </w:rPr>
        <w:t>será</w:t>
      </w:r>
      <w:r>
        <w:rPr>
          <w:spacing w:val="-16"/>
          <w:sz w:val="24"/>
        </w:rPr>
        <w:t> </w:t>
      </w:r>
      <w:r>
        <w:rPr>
          <w:sz w:val="24"/>
        </w:rPr>
        <w:t>definida</w:t>
      </w:r>
      <w:r>
        <w:rPr>
          <w:spacing w:val="-15"/>
          <w:sz w:val="24"/>
        </w:rPr>
        <w:t> </w:t>
      </w:r>
      <w:r>
        <w:rPr>
          <w:spacing w:val="-3"/>
          <w:sz w:val="24"/>
        </w:rPr>
        <w:t>com</w:t>
      </w:r>
      <w:r>
        <w:rPr>
          <w:spacing w:val="-13"/>
          <w:sz w:val="24"/>
        </w:rPr>
        <w:t> </w:t>
      </w:r>
      <w:r>
        <w:rPr>
          <w:spacing w:val="-3"/>
          <w:sz w:val="24"/>
        </w:rPr>
        <w:t>base</w:t>
      </w:r>
      <w:r>
        <w:rPr>
          <w:spacing w:val="-15"/>
          <w:sz w:val="24"/>
        </w:rPr>
        <w:t> </w:t>
      </w:r>
      <w:r>
        <w:rPr>
          <w:sz w:val="24"/>
        </w:rPr>
        <w:t>na</w:t>
      </w:r>
      <w:r>
        <w:rPr>
          <w:spacing w:val="-19"/>
          <w:sz w:val="24"/>
        </w:rPr>
        <w:t> </w:t>
      </w:r>
      <w:r>
        <w:rPr>
          <w:sz w:val="24"/>
        </w:rPr>
        <w:t>materialidade</w:t>
      </w:r>
      <w:r>
        <w:rPr>
          <w:spacing w:val="-18"/>
          <w:sz w:val="24"/>
        </w:rPr>
        <w:t> </w:t>
      </w:r>
      <w:r>
        <w:rPr>
          <w:sz w:val="24"/>
        </w:rPr>
        <w:t>de</w:t>
      </w:r>
      <w:r>
        <w:rPr>
          <w:spacing w:val="-15"/>
          <w:sz w:val="24"/>
        </w:rPr>
        <w:t> </w:t>
      </w:r>
      <w:r>
        <w:rPr>
          <w:spacing w:val="-3"/>
          <w:sz w:val="24"/>
        </w:rPr>
        <w:t>execução</w:t>
      </w:r>
      <w:r>
        <w:rPr>
          <w:spacing w:val="-15"/>
          <w:sz w:val="24"/>
        </w:rPr>
        <w:t> </w:t>
      </w:r>
      <w:r>
        <w:rPr>
          <w:spacing w:val="-3"/>
          <w:sz w:val="24"/>
        </w:rPr>
        <w:t>apurada </w:t>
      </w:r>
      <w:r>
        <w:rPr>
          <w:sz w:val="24"/>
        </w:rPr>
        <w:t>na </w:t>
      </w:r>
      <w:r>
        <w:rPr>
          <w:spacing w:val="-3"/>
          <w:sz w:val="24"/>
        </w:rPr>
        <w:t>estratégia </w:t>
      </w:r>
      <w:r>
        <w:rPr>
          <w:spacing w:val="-2"/>
          <w:sz w:val="24"/>
        </w:rPr>
        <w:t>global </w:t>
      </w:r>
      <w:r>
        <w:rPr>
          <w:sz w:val="24"/>
        </w:rPr>
        <w:t>de </w:t>
      </w:r>
      <w:r>
        <w:rPr>
          <w:spacing w:val="-3"/>
          <w:sz w:val="24"/>
        </w:rPr>
        <w:t>auditoria financeira integrada com conformidade </w:t>
      </w:r>
      <w:r>
        <w:rPr>
          <w:sz w:val="24"/>
        </w:rPr>
        <w:t>no </w:t>
      </w:r>
      <w:r>
        <w:rPr>
          <w:spacing w:val="-3"/>
          <w:sz w:val="24"/>
        </w:rPr>
        <w:t>montante </w:t>
      </w:r>
      <w:r>
        <w:rPr>
          <w:sz w:val="24"/>
        </w:rPr>
        <w:t>de R$ </w:t>
      </w:r>
      <w:r>
        <w:rPr>
          <w:spacing w:val="-3"/>
          <w:sz w:val="24"/>
        </w:rPr>
        <w:t>671.523, </w:t>
      </w:r>
      <w:r>
        <w:rPr>
          <w:sz w:val="24"/>
        </w:rPr>
        <w:t>22 </w:t>
      </w:r>
      <w:r>
        <w:rPr>
          <w:spacing w:val="-3"/>
          <w:sz w:val="24"/>
        </w:rPr>
        <w:t>(seiscentos </w:t>
      </w:r>
      <w:r>
        <w:rPr>
          <w:sz w:val="24"/>
        </w:rPr>
        <w:t>e setenta e um mil, quinhentos e vinte e três reais e vinte de </w:t>
      </w:r>
      <w:r>
        <w:rPr>
          <w:spacing w:val="-3"/>
          <w:sz w:val="24"/>
        </w:rPr>
        <w:t>dois centavos).</w:t>
      </w:r>
    </w:p>
    <w:p>
      <w:pPr>
        <w:pStyle w:val="ListParagraph"/>
        <w:numPr>
          <w:ilvl w:val="1"/>
          <w:numId w:val="3"/>
        </w:numPr>
        <w:tabs>
          <w:tab w:pos="686" w:val="left" w:leader="none"/>
        </w:tabs>
        <w:spacing w:line="240" w:lineRule="auto" w:before="0" w:after="0"/>
        <w:ind w:left="685" w:right="371" w:hanging="567"/>
        <w:jc w:val="both"/>
        <w:rPr>
          <w:sz w:val="24"/>
        </w:rPr>
      </w:pPr>
      <w:r>
        <w:rPr>
          <w:sz w:val="24"/>
        </w:rPr>
        <w:t>Assim, espera-se que os resultados advindos das ações elencadas contribuam para proteger e adicionar valor à gestão do TRE-BA, por intermédio das conclusões e encaminhamentos propostos, notadamente no que tange ao aperfeiçoamento de aspectos de governança, gerenciamento de riscos e controle interno associados, observado, ainda, o primado da eficiência, eficácia, efetividade, economicidade e transparência dos atos de</w:t>
      </w:r>
      <w:r>
        <w:rPr>
          <w:spacing w:val="-6"/>
          <w:sz w:val="24"/>
        </w:rPr>
        <w:t> </w:t>
      </w:r>
      <w:r>
        <w:rPr>
          <w:sz w:val="24"/>
        </w:rPr>
        <w:t>gestão.</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9"/>
        </w:rPr>
      </w:pPr>
    </w:p>
    <w:p>
      <w:pPr>
        <w:pStyle w:val="BodyText"/>
        <w:spacing w:before="93"/>
        <w:ind w:right="369"/>
        <w:jc w:val="right"/>
        <w:rPr>
          <w:rFonts w:ascii="Arial"/>
        </w:rPr>
      </w:pPr>
      <w:r>
        <w:rPr>
          <w:rFonts w:ascii="Arial"/>
          <w:w w:val="99"/>
        </w:rPr>
        <w:t>7</w:t>
      </w:r>
    </w:p>
    <w:p>
      <w:pPr>
        <w:spacing w:after="0"/>
        <w:jc w:val="right"/>
        <w:rPr>
          <w:rFonts w:ascii="Arial"/>
        </w:rPr>
        <w:sectPr>
          <w:pgSz w:w="11910" w:h="16840"/>
          <w:pgMar w:top="1400" w:bottom="280" w:left="1300" w:right="760"/>
        </w:sectPr>
      </w:pPr>
    </w:p>
    <w:p>
      <w:pPr>
        <w:pStyle w:val="Heading1"/>
        <w:numPr>
          <w:ilvl w:val="0"/>
          <w:numId w:val="3"/>
        </w:numPr>
        <w:tabs>
          <w:tab w:pos="477" w:val="left" w:leader="none"/>
        </w:tabs>
        <w:spacing w:line="240" w:lineRule="auto" w:before="79" w:after="0"/>
        <w:ind w:left="476" w:right="0" w:hanging="359"/>
        <w:jc w:val="left"/>
      </w:pPr>
      <w:bookmarkStart w:name="_bookmark3" w:id="6"/>
      <w:bookmarkEnd w:id="6"/>
      <w:r>
        <w:rPr>
          <w:b w:val="0"/>
        </w:rPr>
      </w:r>
      <w:bookmarkStart w:name="_bookmark3" w:id="7"/>
      <w:bookmarkEnd w:id="7"/>
      <w:r>
        <w:rPr/>
        <w:t>A</w:t>
      </w:r>
      <w:r>
        <w:rPr/>
        <w:t>ÇÕES DE AUDITORIA INTERNA SELECIONADAS PARA</w:t>
      </w:r>
      <w:r>
        <w:rPr>
          <w:spacing w:val="-3"/>
        </w:rPr>
        <w:t> </w:t>
      </w:r>
      <w:r>
        <w:rPr/>
        <w:t>2020</w:t>
      </w:r>
    </w:p>
    <w:p>
      <w:pPr>
        <w:pStyle w:val="ListParagraph"/>
        <w:numPr>
          <w:ilvl w:val="1"/>
          <w:numId w:val="3"/>
        </w:numPr>
        <w:tabs>
          <w:tab w:pos="479" w:val="left" w:leader="none"/>
        </w:tabs>
        <w:spacing w:line="240" w:lineRule="auto" w:before="120" w:after="0"/>
        <w:ind w:left="478" w:right="0" w:hanging="361"/>
        <w:jc w:val="left"/>
        <w:rPr>
          <w:i/>
          <w:sz w:val="24"/>
        </w:rPr>
      </w:pPr>
      <w:r>
        <w:rPr>
          <w:i/>
          <w:sz w:val="24"/>
        </w:rPr>
        <w:t>Ações de</w:t>
      </w:r>
      <w:r>
        <w:rPr>
          <w:i/>
          <w:spacing w:val="-2"/>
          <w:sz w:val="24"/>
        </w:rPr>
        <w:t> </w:t>
      </w:r>
      <w:r>
        <w:rPr>
          <w:i/>
          <w:sz w:val="24"/>
        </w:rPr>
        <w:t>auditoria:</w:t>
      </w:r>
    </w:p>
    <w:p>
      <w:pPr>
        <w:pStyle w:val="ListParagraph"/>
        <w:numPr>
          <w:ilvl w:val="2"/>
          <w:numId w:val="3"/>
        </w:numPr>
        <w:tabs>
          <w:tab w:pos="838" w:val="left" w:leader="none"/>
          <w:tab w:pos="839" w:val="left" w:leader="none"/>
        </w:tabs>
        <w:spacing w:line="240" w:lineRule="auto" w:before="0" w:after="0"/>
        <w:ind w:left="838" w:right="368" w:hanging="720"/>
        <w:jc w:val="left"/>
        <w:rPr>
          <w:sz w:val="24"/>
        </w:rPr>
      </w:pPr>
      <w:r>
        <w:rPr>
          <w:spacing w:val="-5"/>
          <w:sz w:val="24"/>
        </w:rPr>
        <w:t>Considerados </w:t>
      </w:r>
      <w:r>
        <w:rPr>
          <w:spacing w:val="-4"/>
          <w:sz w:val="24"/>
        </w:rPr>
        <w:t>tudo quanto exposto, passamos </w:t>
      </w:r>
      <w:r>
        <w:rPr>
          <w:sz w:val="24"/>
        </w:rPr>
        <w:t>a </w:t>
      </w:r>
      <w:r>
        <w:rPr>
          <w:spacing w:val="-4"/>
          <w:sz w:val="24"/>
        </w:rPr>
        <w:t>detalhar </w:t>
      </w:r>
      <w:r>
        <w:rPr>
          <w:spacing w:val="-3"/>
          <w:sz w:val="24"/>
        </w:rPr>
        <w:t>as </w:t>
      </w:r>
      <w:r>
        <w:rPr>
          <w:spacing w:val="-4"/>
          <w:sz w:val="24"/>
        </w:rPr>
        <w:t>ações </w:t>
      </w:r>
      <w:r>
        <w:rPr>
          <w:sz w:val="24"/>
        </w:rPr>
        <w:t>de </w:t>
      </w:r>
      <w:r>
        <w:rPr>
          <w:spacing w:val="-4"/>
          <w:sz w:val="24"/>
        </w:rPr>
        <w:t>auditoria </w:t>
      </w:r>
      <w:r>
        <w:rPr>
          <w:sz w:val="24"/>
        </w:rPr>
        <w:t>do </w:t>
      </w:r>
      <w:r>
        <w:rPr>
          <w:spacing w:val="-5"/>
          <w:sz w:val="24"/>
        </w:rPr>
        <w:t>exercício 2020:</w:t>
      </w:r>
    </w:p>
    <w:p>
      <w:pPr>
        <w:pStyle w:val="ListParagraph"/>
        <w:numPr>
          <w:ilvl w:val="3"/>
          <w:numId w:val="3"/>
        </w:numPr>
        <w:tabs>
          <w:tab w:pos="839" w:val="left" w:leader="none"/>
        </w:tabs>
        <w:spacing w:line="240" w:lineRule="auto" w:before="0" w:after="0"/>
        <w:ind w:left="838" w:right="0" w:hanging="721"/>
        <w:jc w:val="left"/>
        <w:rPr>
          <w:sz w:val="24"/>
        </w:rPr>
      </w:pPr>
      <w:r>
        <w:rPr>
          <w:sz w:val="24"/>
        </w:rPr>
        <w:t>Gestão de infraestrutura de</w:t>
      </w:r>
      <w:r>
        <w:rPr>
          <w:spacing w:val="-3"/>
          <w:sz w:val="24"/>
        </w:rPr>
        <w:t> </w:t>
      </w:r>
      <w:r>
        <w:rPr>
          <w:sz w:val="24"/>
        </w:rPr>
        <w:t>TIC:</w:t>
      </w:r>
    </w:p>
    <w:p>
      <w:pPr>
        <w:pStyle w:val="ListParagraph"/>
        <w:numPr>
          <w:ilvl w:val="4"/>
          <w:numId w:val="3"/>
        </w:numPr>
        <w:tabs>
          <w:tab w:pos="1198" w:val="left" w:leader="none"/>
          <w:tab w:pos="1199" w:val="left" w:leader="none"/>
        </w:tabs>
        <w:spacing w:line="240" w:lineRule="auto" w:before="0" w:after="0"/>
        <w:ind w:left="1198" w:right="0" w:hanging="1081"/>
        <w:jc w:val="left"/>
        <w:rPr>
          <w:sz w:val="24"/>
        </w:rPr>
      </w:pPr>
      <w:r>
        <w:rPr>
          <w:sz w:val="24"/>
        </w:rPr>
        <w:t>Local de realização dos trabalhos de auditoria:</w:t>
      </w:r>
      <w:r>
        <w:rPr>
          <w:spacing w:val="-2"/>
          <w:sz w:val="24"/>
        </w:rPr>
        <w:t> </w:t>
      </w:r>
      <w:r>
        <w:rPr>
          <w:sz w:val="24"/>
        </w:rPr>
        <w:t>PRE/COAUD/SEALIC.</w:t>
      </w:r>
    </w:p>
    <w:p>
      <w:pPr>
        <w:pStyle w:val="ListParagraph"/>
        <w:numPr>
          <w:ilvl w:val="4"/>
          <w:numId w:val="3"/>
        </w:numPr>
        <w:tabs>
          <w:tab w:pos="1198" w:val="left" w:leader="none"/>
          <w:tab w:pos="1199" w:val="left" w:leader="none"/>
        </w:tabs>
        <w:spacing w:line="240" w:lineRule="auto" w:before="0" w:after="0"/>
        <w:ind w:left="1198" w:right="0" w:hanging="1081"/>
        <w:jc w:val="left"/>
        <w:rPr>
          <w:sz w:val="24"/>
        </w:rPr>
      </w:pPr>
      <w:r>
        <w:rPr>
          <w:sz w:val="24"/>
        </w:rPr>
        <w:t>Cronograma:</w:t>
      </w:r>
      <w:r>
        <w:rPr>
          <w:spacing w:val="-11"/>
          <w:sz w:val="24"/>
        </w:rPr>
        <w:t> </w:t>
      </w:r>
      <w:r>
        <w:rPr>
          <w:sz w:val="24"/>
        </w:rPr>
        <w:t>7/1/2020</w:t>
      </w:r>
      <w:r>
        <w:rPr>
          <w:spacing w:val="-8"/>
          <w:sz w:val="24"/>
        </w:rPr>
        <w:t> </w:t>
      </w:r>
      <w:r>
        <w:rPr>
          <w:sz w:val="24"/>
        </w:rPr>
        <w:t>a</w:t>
      </w:r>
      <w:r>
        <w:rPr>
          <w:spacing w:val="-9"/>
          <w:sz w:val="24"/>
        </w:rPr>
        <w:t> </w:t>
      </w:r>
      <w:r>
        <w:rPr>
          <w:sz w:val="24"/>
        </w:rPr>
        <w:t>30/4/2020,</w:t>
      </w:r>
      <w:r>
        <w:rPr>
          <w:spacing w:val="-10"/>
          <w:sz w:val="24"/>
        </w:rPr>
        <w:t> </w:t>
      </w:r>
      <w:r>
        <w:rPr>
          <w:sz w:val="24"/>
        </w:rPr>
        <w:t>tendo</w:t>
      </w:r>
      <w:r>
        <w:rPr>
          <w:spacing w:val="-12"/>
          <w:sz w:val="24"/>
        </w:rPr>
        <w:t> </w:t>
      </w:r>
      <w:r>
        <w:rPr>
          <w:sz w:val="24"/>
        </w:rPr>
        <w:t>sido</w:t>
      </w:r>
      <w:r>
        <w:rPr>
          <w:spacing w:val="-9"/>
          <w:sz w:val="24"/>
        </w:rPr>
        <w:t> </w:t>
      </w:r>
      <w:r>
        <w:rPr>
          <w:sz w:val="24"/>
        </w:rPr>
        <w:t>prorrogada</w:t>
      </w:r>
      <w:r>
        <w:rPr>
          <w:spacing w:val="-9"/>
          <w:sz w:val="24"/>
        </w:rPr>
        <w:t> </w:t>
      </w:r>
      <w:r>
        <w:rPr>
          <w:sz w:val="24"/>
        </w:rPr>
        <w:t>a</w:t>
      </w:r>
      <w:r>
        <w:rPr>
          <w:spacing w:val="-9"/>
          <w:sz w:val="24"/>
        </w:rPr>
        <w:t> </w:t>
      </w:r>
      <w:r>
        <w:rPr>
          <w:sz w:val="24"/>
        </w:rPr>
        <w:t>conclusão</w:t>
      </w:r>
      <w:r>
        <w:rPr>
          <w:spacing w:val="-11"/>
          <w:sz w:val="24"/>
        </w:rPr>
        <w:t> </w:t>
      </w:r>
      <w:r>
        <w:rPr>
          <w:sz w:val="24"/>
        </w:rPr>
        <w:t>para</w:t>
      </w:r>
      <w:r>
        <w:rPr>
          <w:spacing w:val="-7"/>
          <w:sz w:val="24"/>
        </w:rPr>
        <w:t> </w:t>
      </w:r>
      <w:r>
        <w:rPr>
          <w:sz w:val="24"/>
        </w:rPr>
        <w:t>31/3/2021.</w:t>
      </w:r>
    </w:p>
    <w:p>
      <w:pPr>
        <w:pStyle w:val="ListParagraph"/>
        <w:numPr>
          <w:ilvl w:val="4"/>
          <w:numId w:val="3"/>
        </w:numPr>
        <w:tabs>
          <w:tab w:pos="1199" w:val="left" w:leader="none"/>
        </w:tabs>
        <w:spacing w:line="240" w:lineRule="auto" w:before="0" w:after="0"/>
        <w:ind w:left="1198" w:right="375" w:hanging="1080"/>
        <w:jc w:val="both"/>
        <w:rPr>
          <w:sz w:val="24"/>
        </w:rPr>
      </w:pPr>
      <w:r>
        <w:rPr>
          <w:sz w:val="24"/>
        </w:rPr>
        <w:t>Avaliação sumária do risco: insuficiência no provimento de infraestrutura de TIC que sustente adequadamente as atividades do Tribunal; atuação tática e operacional de TI desalinhada com a estratégia da organização, bem como com a estratégia de TI; aumento do risco de insucesso de projetos e demais atividades de TI, sobretudo pela complexidade que, em regra, envolve o desenvolvimento de produtos e a prestação de serviços na área; e apoio insuficiente dos projetos baseados em TI aos objetivos institucionais.</w:t>
      </w:r>
    </w:p>
    <w:p>
      <w:pPr>
        <w:pStyle w:val="ListParagraph"/>
        <w:numPr>
          <w:ilvl w:val="4"/>
          <w:numId w:val="3"/>
        </w:numPr>
        <w:tabs>
          <w:tab w:pos="1199" w:val="left" w:leader="none"/>
        </w:tabs>
        <w:spacing w:line="240" w:lineRule="auto" w:before="1" w:after="0"/>
        <w:ind w:left="1198" w:right="0" w:hanging="1081"/>
        <w:jc w:val="both"/>
        <w:rPr>
          <w:sz w:val="24"/>
        </w:rPr>
      </w:pPr>
      <w:r>
        <w:rPr>
          <w:sz w:val="24"/>
        </w:rPr>
        <w:t>Origem da demanda:</w:t>
      </w:r>
      <w:r>
        <w:rPr>
          <w:spacing w:val="-2"/>
          <w:sz w:val="24"/>
        </w:rPr>
        <w:t> </w:t>
      </w:r>
      <w:r>
        <w:rPr>
          <w:sz w:val="24"/>
        </w:rPr>
        <w:t>TSE.</w:t>
      </w:r>
    </w:p>
    <w:p>
      <w:pPr>
        <w:pStyle w:val="ListParagraph"/>
        <w:numPr>
          <w:ilvl w:val="4"/>
          <w:numId w:val="3"/>
        </w:numPr>
        <w:tabs>
          <w:tab w:pos="1199" w:val="left" w:leader="none"/>
        </w:tabs>
        <w:spacing w:line="240" w:lineRule="auto" w:before="0" w:after="0"/>
        <w:ind w:left="1198" w:right="0" w:hanging="1081"/>
        <w:jc w:val="both"/>
        <w:rPr>
          <w:sz w:val="24"/>
        </w:rPr>
      </w:pPr>
      <w:r>
        <w:rPr>
          <w:sz w:val="24"/>
        </w:rPr>
        <w:t>Objetivo preliminar: avaliar a gestão da infraestrutura de TIC do</w:t>
      </w:r>
      <w:r>
        <w:rPr>
          <w:spacing w:val="-9"/>
          <w:sz w:val="24"/>
        </w:rPr>
        <w:t> </w:t>
      </w:r>
      <w:r>
        <w:rPr>
          <w:sz w:val="24"/>
        </w:rPr>
        <w:t>TRE-BA.</w:t>
      </w:r>
    </w:p>
    <w:p>
      <w:pPr>
        <w:pStyle w:val="ListParagraph"/>
        <w:numPr>
          <w:ilvl w:val="4"/>
          <w:numId w:val="3"/>
        </w:numPr>
        <w:tabs>
          <w:tab w:pos="1199" w:val="left" w:leader="none"/>
        </w:tabs>
        <w:spacing w:line="240" w:lineRule="auto" w:before="0" w:after="0"/>
        <w:ind w:left="1198" w:right="0" w:hanging="1081"/>
        <w:jc w:val="both"/>
        <w:rPr>
          <w:sz w:val="24"/>
        </w:rPr>
      </w:pPr>
      <w:r>
        <w:rPr>
          <w:spacing w:val="-4"/>
          <w:sz w:val="24"/>
        </w:rPr>
        <w:t>Carga horária</w:t>
      </w:r>
      <w:r>
        <w:rPr>
          <w:spacing w:val="-14"/>
          <w:sz w:val="24"/>
        </w:rPr>
        <w:t> </w:t>
      </w:r>
      <w:r>
        <w:rPr>
          <w:spacing w:val="-4"/>
          <w:sz w:val="24"/>
        </w:rPr>
        <w:t>prevista:</w:t>
      </w:r>
    </w:p>
    <w:p>
      <w:pPr>
        <w:pStyle w:val="ListParagraph"/>
        <w:numPr>
          <w:ilvl w:val="5"/>
          <w:numId w:val="3"/>
        </w:numPr>
        <w:tabs>
          <w:tab w:pos="1199" w:val="left" w:leader="none"/>
        </w:tabs>
        <w:spacing w:line="240" w:lineRule="auto" w:before="0" w:after="0"/>
        <w:ind w:left="1198" w:right="0" w:hanging="1081"/>
        <w:jc w:val="left"/>
        <w:rPr>
          <w:sz w:val="24"/>
        </w:rPr>
      </w:pPr>
      <w:r>
        <w:rPr>
          <w:spacing w:val="-4"/>
          <w:sz w:val="24"/>
        </w:rPr>
        <w:t>1.056 horas </w:t>
      </w:r>
      <w:r>
        <w:rPr>
          <w:sz w:val="24"/>
        </w:rPr>
        <w:t>de</w:t>
      </w:r>
      <w:r>
        <w:rPr>
          <w:spacing w:val="-18"/>
          <w:sz w:val="24"/>
        </w:rPr>
        <w:t> </w:t>
      </w:r>
      <w:r>
        <w:rPr>
          <w:spacing w:val="-5"/>
          <w:sz w:val="24"/>
        </w:rPr>
        <w:t>auditoria;</w:t>
      </w:r>
    </w:p>
    <w:p>
      <w:pPr>
        <w:pStyle w:val="ListParagraph"/>
        <w:numPr>
          <w:ilvl w:val="5"/>
          <w:numId w:val="3"/>
        </w:numPr>
        <w:tabs>
          <w:tab w:pos="1199" w:val="left" w:leader="none"/>
        </w:tabs>
        <w:spacing w:line="240" w:lineRule="auto" w:before="0" w:after="0"/>
        <w:ind w:left="1198" w:right="0" w:hanging="1081"/>
        <w:jc w:val="left"/>
        <w:rPr>
          <w:sz w:val="24"/>
        </w:rPr>
      </w:pPr>
      <w:r>
        <w:rPr>
          <w:spacing w:val="-4"/>
          <w:sz w:val="24"/>
        </w:rPr>
        <w:t>369 horas </w:t>
      </w:r>
      <w:r>
        <w:rPr>
          <w:sz w:val="24"/>
        </w:rPr>
        <w:t>de </w:t>
      </w:r>
      <w:r>
        <w:rPr>
          <w:spacing w:val="-4"/>
          <w:sz w:val="24"/>
        </w:rPr>
        <w:t>gerência;</w:t>
      </w:r>
      <w:r>
        <w:rPr>
          <w:spacing w:val="-26"/>
          <w:sz w:val="24"/>
        </w:rPr>
        <w:t> </w:t>
      </w:r>
      <w:r>
        <w:rPr>
          <w:sz w:val="24"/>
        </w:rPr>
        <w:t>e</w:t>
      </w:r>
    </w:p>
    <w:p>
      <w:pPr>
        <w:pStyle w:val="ListParagraph"/>
        <w:numPr>
          <w:ilvl w:val="5"/>
          <w:numId w:val="3"/>
        </w:numPr>
        <w:tabs>
          <w:tab w:pos="1199" w:val="left" w:leader="none"/>
        </w:tabs>
        <w:spacing w:line="240" w:lineRule="auto" w:before="0" w:after="0"/>
        <w:ind w:left="1198" w:right="0" w:hanging="1081"/>
        <w:jc w:val="left"/>
        <w:rPr>
          <w:sz w:val="24"/>
        </w:rPr>
      </w:pPr>
      <w:r>
        <w:rPr>
          <w:spacing w:val="-4"/>
          <w:sz w:val="24"/>
        </w:rPr>
        <w:t>105 horas </w:t>
      </w:r>
      <w:r>
        <w:rPr>
          <w:sz w:val="24"/>
        </w:rPr>
        <w:t>de</w:t>
      </w:r>
      <w:r>
        <w:rPr>
          <w:spacing w:val="-9"/>
          <w:sz w:val="24"/>
        </w:rPr>
        <w:t> </w:t>
      </w:r>
      <w:r>
        <w:rPr>
          <w:spacing w:val="-5"/>
          <w:sz w:val="24"/>
        </w:rPr>
        <w:t>supervisão.</w:t>
      </w:r>
    </w:p>
    <w:p>
      <w:pPr>
        <w:pStyle w:val="ListParagraph"/>
        <w:numPr>
          <w:ilvl w:val="5"/>
          <w:numId w:val="3"/>
        </w:numPr>
        <w:tabs>
          <w:tab w:pos="1199" w:val="left" w:leader="none"/>
        </w:tabs>
        <w:spacing w:line="240" w:lineRule="auto" w:before="0" w:after="0"/>
        <w:ind w:left="1198" w:right="364" w:hanging="1080"/>
        <w:jc w:val="both"/>
        <w:rPr>
          <w:sz w:val="24"/>
        </w:rPr>
      </w:pPr>
      <w:r>
        <w:rPr>
          <w:spacing w:val="-5"/>
          <w:sz w:val="24"/>
        </w:rPr>
        <w:t>Conhecimentos </w:t>
      </w:r>
      <w:r>
        <w:rPr>
          <w:spacing w:val="-4"/>
          <w:sz w:val="24"/>
        </w:rPr>
        <w:t>básicos </w:t>
      </w:r>
      <w:r>
        <w:rPr>
          <w:spacing w:val="-5"/>
          <w:sz w:val="24"/>
        </w:rPr>
        <w:t>desejáveis: </w:t>
      </w:r>
      <w:r>
        <w:rPr>
          <w:spacing w:val="-4"/>
          <w:sz w:val="24"/>
        </w:rPr>
        <w:t>ITIL (conjunto </w:t>
      </w:r>
      <w:r>
        <w:rPr>
          <w:spacing w:val="-3"/>
          <w:sz w:val="24"/>
        </w:rPr>
        <w:t>de </w:t>
      </w:r>
      <w:r>
        <w:rPr>
          <w:spacing w:val="-4"/>
          <w:sz w:val="24"/>
        </w:rPr>
        <w:t>boas </w:t>
      </w:r>
      <w:r>
        <w:rPr>
          <w:spacing w:val="-5"/>
          <w:sz w:val="24"/>
        </w:rPr>
        <w:t>práticas </w:t>
      </w:r>
      <w:r>
        <w:rPr>
          <w:spacing w:val="-4"/>
          <w:sz w:val="24"/>
        </w:rPr>
        <w:t>para serem aplicadas </w:t>
      </w:r>
      <w:r>
        <w:rPr>
          <w:spacing w:val="-3"/>
          <w:sz w:val="24"/>
        </w:rPr>
        <w:t>na</w:t>
      </w:r>
      <w:r>
        <w:rPr>
          <w:spacing w:val="-11"/>
          <w:sz w:val="24"/>
        </w:rPr>
        <w:t> </w:t>
      </w:r>
      <w:r>
        <w:rPr>
          <w:spacing w:val="-5"/>
          <w:sz w:val="24"/>
        </w:rPr>
        <w:t>infraestrutura,</w:t>
      </w:r>
      <w:r>
        <w:rPr>
          <w:spacing w:val="-9"/>
          <w:sz w:val="24"/>
        </w:rPr>
        <w:t> </w:t>
      </w:r>
      <w:r>
        <w:rPr>
          <w:spacing w:val="-4"/>
          <w:sz w:val="24"/>
        </w:rPr>
        <w:t>operação</w:t>
      </w:r>
      <w:r>
        <w:rPr>
          <w:spacing w:val="-7"/>
          <w:sz w:val="24"/>
        </w:rPr>
        <w:t> </w:t>
      </w:r>
      <w:r>
        <w:rPr>
          <w:sz w:val="24"/>
        </w:rPr>
        <w:t>e</w:t>
      </w:r>
      <w:r>
        <w:rPr>
          <w:spacing w:val="-10"/>
          <w:sz w:val="24"/>
        </w:rPr>
        <w:t> </w:t>
      </w:r>
      <w:r>
        <w:rPr>
          <w:spacing w:val="-4"/>
          <w:sz w:val="24"/>
        </w:rPr>
        <w:t>gerenciamento</w:t>
      </w:r>
      <w:r>
        <w:rPr>
          <w:spacing w:val="-9"/>
          <w:sz w:val="24"/>
        </w:rPr>
        <w:t> </w:t>
      </w:r>
      <w:r>
        <w:rPr>
          <w:sz w:val="24"/>
        </w:rPr>
        <w:t>de</w:t>
      </w:r>
      <w:r>
        <w:rPr>
          <w:spacing w:val="-10"/>
          <w:sz w:val="24"/>
        </w:rPr>
        <w:t> </w:t>
      </w:r>
      <w:r>
        <w:rPr>
          <w:spacing w:val="-4"/>
          <w:sz w:val="24"/>
        </w:rPr>
        <w:t>serviços</w:t>
      </w:r>
      <w:r>
        <w:rPr>
          <w:spacing w:val="-9"/>
          <w:sz w:val="24"/>
        </w:rPr>
        <w:t> </w:t>
      </w:r>
      <w:r>
        <w:rPr>
          <w:sz w:val="24"/>
        </w:rPr>
        <w:t>de</w:t>
      </w:r>
      <w:r>
        <w:rPr>
          <w:spacing w:val="-10"/>
          <w:sz w:val="24"/>
        </w:rPr>
        <w:t> </w:t>
      </w:r>
      <w:r>
        <w:rPr>
          <w:spacing w:val="-4"/>
          <w:sz w:val="24"/>
        </w:rPr>
        <w:t>TI);</w:t>
      </w:r>
      <w:r>
        <w:rPr>
          <w:spacing w:val="-9"/>
          <w:sz w:val="24"/>
        </w:rPr>
        <w:t> </w:t>
      </w:r>
      <w:r>
        <w:rPr>
          <w:spacing w:val="-4"/>
          <w:sz w:val="24"/>
        </w:rPr>
        <w:t>Resolução</w:t>
      </w:r>
      <w:r>
        <w:rPr>
          <w:spacing w:val="-9"/>
          <w:sz w:val="24"/>
        </w:rPr>
        <w:t> </w:t>
      </w:r>
      <w:r>
        <w:rPr>
          <w:spacing w:val="-3"/>
          <w:sz w:val="24"/>
        </w:rPr>
        <w:t>CNJ</w:t>
      </w:r>
      <w:r>
        <w:rPr>
          <w:spacing w:val="-6"/>
          <w:sz w:val="24"/>
        </w:rPr>
        <w:t> </w:t>
      </w:r>
      <w:r>
        <w:rPr>
          <w:spacing w:val="-3"/>
          <w:sz w:val="24"/>
        </w:rPr>
        <w:t>nº</w:t>
      </w:r>
      <w:r>
        <w:rPr>
          <w:spacing w:val="-9"/>
          <w:sz w:val="24"/>
        </w:rPr>
        <w:t> </w:t>
      </w:r>
      <w:r>
        <w:rPr>
          <w:spacing w:val="-4"/>
          <w:sz w:val="24"/>
        </w:rPr>
        <w:t>182,</w:t>
      </w:r>
      <w:r>
        <w:rPr>
          <w:spacing w:val="-10"/>
          <w:sz w:val="24"/>
        </w:rPr>
        <w:t> </w:t>
      </w:r>
      <w:r>
        <w:rPr>
          <w:sz w:val="24"/>
        </w:rPr>
        <w:t>17 </w:t>
      </w:r>
      <w:r>
        <w:rPr>
          <w:spacing w:val="-3"/>
          <w:sz w:val="24"/>
        </w:rPr>
        <w:t>de </w:t>
      </w:r>
      <w:r>
        <w:rPr>
          <w:spacing w:val="-4"/>
          <w:sz w:val="24"/>
        </w:rPr>
        <w:t>outubro </w:t>
      </w:r>
      <w:r>
        <w:rPr>
          <w:spacing w:val="-3"/>
          <w:sz w:val="24"/>
        </w:rPr>
        <w:t>de </w:t>
      </w:r>
      <w:r>
        <w:rPr>
          <w:spacing w:val="-4"/>
          <w:sz w:val="24"/>
        </w:rPr>
        <w:t>2013, </w:t>
      </w:r>
      <w:r>
        <w:rPr>
          <w:spacing w:val="-3"/>
          <w:sz w:val="24"/>
        </w:rPr>
        <w:t>que </w:t>
      </w:r>
      <w:r>
        <w:rPr>
          <w:spacing w:val="-4"/>
          <w:sz w:val="24"/>
        </w:rPr>
        <w:t>dispõe sobre diretrizes para </w:t>
      </w:r>
      <w:r>
        <w:rPr>
          <w:spacing w:val="-3"/>
          <w:sz w:val="24"/>
        </w:rPr>
        <w:t>as </w:t>
      </w:r>
      <w:r>
        <w:rPr>
          <w:spacing w:val="-5"/>
          <w:sz w:val="24"/>
        </w:rPr>
        <w:t>contratações </w:t>
      </w:r>
      <w:r>
        <w:rPr>
          <w:spacing w:val="-3"/>
          <w:sz w:val="24"/>
        </w:rPr>
        <w:t>de </w:t>
      </w:r>
      <w:r>
        <w:rPr>
          <w:spacing w:val="-4"/>
          <w:sz w:val="24"/>
        </w:rPr>
        <w:t>Solução </w:t>
      </w:r>
      <w:r>
        <w:rPr>
          <w:sz w:val="24"/>
        </w:rPr>
        <w:t>de </w:t>
      </w:r>
      <w:r>
        <w:rPr>
          <w:spacing w:val="-5"/>
          <w:sz w:val="24"/>
        </w:rPr>
        <w:t>Tecnologia </w:t>
      </w:r>
      <w:r>
        <w:rPr>
          <w:spacing w:val="-3"/>
          <w:sz w:val="24"/>
        </w:rPr>
        <w:t>da </w:t>
      </w:r>
      <w:r>
        <w:rPr>
          <w:spacing w:val="-4"/>
          <w:sz w:val="24"/>
        </w:rPr>
        <w:t>Informação </w:t>
      </w:r>
      <w:r>
        <w:rPr>
          <w:sz w:val="24"/>
        </w:rPr>
        <w:t>e </w:t>
      </w:r>
      <w:r>
        <w:rPr>
          <w:spacing w:val="-4"/>
          <w:sz w:val="24"/>
        </w:rPr>
        <w:t>Comunicação pelos órgãos </w:t>
      </w:r>
      <w:r>
        <w:rPr>
          <w:spacing w:val="-3"/>
          <w:sz w:val="24"/>
        </w:rPr>
        <w:t>do </w:t>
      </w:r>
      <w:r>
        <w:rPr>
          <w:spacing w:val="-4"/>
          <w:sz w:val="24"/>
        </w:rPr>
        <w:t>Poder Judiciário; </w:t>
      </w:r>
      <w:r>
        <w:rPr>
          <w:sz w:val="24"/>
        </w:rPr>
        <w:t>a </w:t>
      </w:r>
      <w:r>
        <w:rPr>
          <w:spacing w:val="-4"/>
          <w:sz w:val="24"/>
        </w:rPr>
        <w:t>Resolução CNJ</w:t>
      </w:r>
      <w:r>
        <w:rPr>
          <w:spacing w:val="-7"/>
          <w:sz w:val="24"/>
        </w:rPr>
        <w:t> </w:t>
      </w:r>
      <w:r>
        <w:rPr>
          <w:sz w:val="24"/>
        </w:rPr>
        <w:t>nº</w:t>
      </w:r>
      <w:r>
        <w:rPr>
          <w:spacing w:val="-8"/>
          <w:sz w:val="24"/>
        </w:rPr>
        <w:t> </w:t>
      </w:r>
      <w:r>
        <w:rPr>
          <w:spacing w:val="-4"/>
          <w:sz w:val="24"/>
        </w:rPr>
        <w:t>211,</w:t>
      </w:r>
      <w:r>
        <w:rPr>
          <w:spacing w:val="-8"/>
          <w:sz w:val="24"/>
        </w:rPr>
        <w:t> </w:t>
      </w:r>
      <w:r>
        <w:rPr>
          <w:sz w:val="24"/>
        </w:rPr>
        <w:t>de</w:t>
      </w:r>
      <w:r>
        <w:rPr>
          <w:spacing w:val="-9"/>
          <w:sz w:val="24"/>
        </w:rPr>
        <w:t> </w:t>
      </w:r>
      <w:r>
        <w:rPr>
          <w:sz w:val="24"/>
        </w:rPr>
        <w:t>15</w:t>
      </w:r>
      <w:r>
        <w:rPr>
          <w:spacing w:val="-7"/>
          <w:sz w:val="24"/>
        </w:rPr>
        <w:t> </w:t>
      </w:r>
      <w:r>
        <w:rPr>
          <w:sz w:val="24"/>
        </w:rPr>
        <w:t>de</w:t>
      </w:r>
      <w:r>
        <w:rPr>
          <w:spacing w:val="-9"/>
          <w:sz w:val="24"/>
        </w:rPr>
        <w:t> </w:t>
      </w:r>
      <w:r>
        <w:rPr>
          <w:spacing w:val="-5"/>
          <w:sz w:val="24"/>
        </w:rPr>
        <w:t>dezembro </w:t>
      </w:r>
      <w:r>
        <w:rPr>
          <w:spacing w:val="-3"/>
          <w:sz w:val="24"/>
        </w:rPr>
        <w:t>de</w:t>
      </w:r>
      <w:r>
        <w:rPr>
          <w:spacing w:val="-6"/>
          <w:sz w:val="24"/>
        </w:rPr>
        <w:t> </w:t>
      </w:r>
      <w:r>
        <w:rPr>
          <w:spacing w:val="-4"/>
          <w:sz w:val="24"/>
        </w:rPr>
        <w:t>2015,</w:t>
      </w:r>
      <w:r>
        <w:rPr>
          <w:spacing w:val="-7"/>
          <w:sz w:val="24"/>
        </w:rPr>
        <w:t> </w:t>
      </w:r>
      <w:r>
        <w:rPr>
          <w:sz w:val="24"/>
        </w:rPr>
        <w:t>que</w:t>
      </w:r>
      <w:r>
        <w:rPr>
          <w:spacing w:val="-9"/>
          <w:sz w:val="24"/>
        </w:rPr>
        <w:t> </w:t>
      </w:r>
      <w:r>
        <w:rPr>
          <w:spacing w:val="-4"/>
          <w:sz w:val="24"/>
        </w:rPr>
        <w:t>institui</w:t>
      </w:r>
      <w:r>
        <w:rPr>
          <w:spacing w:val="-5"/>
          <w:sz w:val="24"/>
        </w:rPr>
        <w:t> </w:t>
      </w:r>
      <w:r>
        <w:rPr>
          <w:sz w:val="24"/>
        </w:rPr>
        <w:t>a</w:t>
      </w:r>
      <w:r>
        <w:rPr>
          <w:spacing w:val="-9"/>
          <w:sz w:val="24"/>
        </w:rPr>
        <w:t> </w:t>
      </w:r>
      <w:r>
        <w:rPr>
          <w:spacing w:val="-4"/>
          <w:sz w:val="24"/>
        </w:rPr>
        <w:t>Estratégia</w:t>
      </w:r>
      <w:r>
        <w:rPr>
          <w:spacing w:val="-8"/>
          <w:sz w:val="24"/>
        </w:rPr>
        <w:t> </w:t>
      </w:r>
      <w:r>
        <w:rPr>
          <w:spacing w:val="-4"/>
          <w:sz w:val="24"/>
        </w:rPr>
        <w:t>Nacional</w:t>
      </w:r>
      <w:r>
        <w:rPr>
          <w:spacing w:val="-5"/>
          <w:sz w:val="24"/>
        </w:rPr>
        <w:t> </w:t>
      </w:r>
      <w:r>
        <w:rPr>
          <w:sz w:val="24"/>
        </w:rPr>
        <w:t>de</w:t>
      </w:r>
      <w:r>
        <w:rPr>
          <w:spacing w:val="-6"/>
          <w:sz w:val="24"/>
        </w:rPr>
        <w:t> </w:t>
      </w:r>
      <w:r>
        <w:rPr>
          <w:spacing w:val="-5"/>
          <w:sz w:val="24"/>
        </w:rPr>
        <w:t>Tecnologia </w:t>
      </w:r>
      <w:r>
        <w:rPr>
          <w:spacing w:val="-3"/>
          <w:sz w:val="24"/>
        </w:rPr>
        <w:t>da</w:t>
      </w:r>
      <w:r>
        <w:rPr>
          <w:spacing w:val="-9"/>
          <w:sz w:val="24"/>
        </w:rPr>
        <w:t> </w:t>
      </w:r>
      <w:r>
        <w:rPr>
          <w:spacing w:val="-4"/>
          <w:sz w:val="24"/>
        </w:rPr>
        <w:t>Informação</w:t>
      </w:r>
      <w:r>
        <w:rPr>
          <w:spacing w:val="-8"/>
          <w:sz w:val="24"/>
        </w:rPr>
        <w:t> </w:t>
      </w:r>
      <w:r>
        <w:rPr>
          <w:sz w:val="24"/>
        </w:rPr>
        <w:t>e</w:t>
      </w:r>
      <w:r>
        <w:rPr>
          <w:spacing w:val="-11"/>
          <w:sz w:val="24"/>
        </w:rPr>
        <w:t> </w:t>
      </w:r>
      <w:r>
        <w:rPr>
          <w:spacing w:val="-4"/>
          <w:sz w:val="24"/>
        </w:rPr>
        <w:t>Comunicação</w:t>
      </w:r>
      <w:r>
        <w:rPr>
          <w:spacing w:val="-10"/>
          <w:sz w:val="24"/>
        </w:rPr>
        <w:t> </w:t>
      </w:r>
      <w:r>
        <w:rPr>
          <w:sz w:val="24"/>
        </w:rPr>
        <w:t>do</w:t>
      </w:r>
      <w:r>
        <w:rPr>
          <w:spacing w:val="-10"/>
          <w:sz w:val="24"/>
        </w:rPr>
        <w:t> </w:t>
      </w:r>
      <w:r>
        <w:rPr>
          <w:spacing w:val="-4"/>
          <w:sz w:val="24"/>
        </w:rPr>
        <w:t>Poder</w:t>
      </w:r>
      <w:r>
        <w:rPr>
          <w:spacing w:val="-9"/>
          <w:sz w:val="24"/>
        </w:rPr>
        <w:t> </w:t>
      </w:r>
      <w:r>
        <w:rPr>
          <w:spacing w:val="-4"/>
          <w:sz w:val="24"/>
        </w:rPr>
        <w:t>Judiciário</w:t>
      </w:r>
      <w:r>
        <w:rPr>
          <w:spacing w:val="-8"/>
          <w:sz w:val="24"/>
        </w:rPr>
        <w:t> </w:t>
      </w:r>
      <w:r>
        <w:rPr>
          <w:spacing w:val="-5"/>
          <w:sz w:val="24"/>
        </w:rPr>
        <w:t>(ENTIC-JUD);</w:t>
      </w:r>
      <w:r>
        <w:rPr>
          <w:spacing w:val="-10"/>
          <w:sz w:val="24"/>
        </w:rPr>
        <w:t> </w:t>
      </w:r>
      <w:r>
        <w:rPr>
          <w:spacing w:val="-4"/>
          <w:sz w:val="24"/>
        </w:rPr>
        <w:t>Resolução</w:t>
      </w:r>
      <w:r>
        <w:rPr>
          <w:spacing w:val="-8"/>
          <w:sz w:val="24"/>
        </w:rPr>
        <w:t> </w:t>
      </w:r>
      <w:r>
        <w:rPr>
          <w:spacing w:val="-3"/>
          <w:sz w:val="24"/>
        </w:rPr>
        <w:t>do</w:t>
      </w:r>
      <w:r>
        <w:rPr>
          <w:spacing w:val="-8"/>
          <w:sz w:val="24"/>
        </w:rPr>
        <w:t> </w:t>
      </w:r>
      <w:r>
        <w:rPr>
          <w:spacing w:val="-5"/>
          <w:sz w:val="24"/>
        </w:rPr>
        <w:t>Tribunal </w:t>
      </w:r>
      <w:r>
        <w:rPr>
          <w:spacing w:val="-4"/>
          <w:sz w:val="24"/>
        </w:rPr>
        <w:t>Superior</w:t>
      </w:r>
      <w:r>
        <w:rPr>
          <w:spacing w:val="-19"/>
          <w:sz w:val="24"/>
        </w:rPr>
        <w:t> </w:t>
      </w:r>
      <w:r>
        <w:rPr>
          <w:spacing w:val="-4"/>
          <w:sz w:val="24"/>
        </w:rPr>
        <w:t>Eleitoral</w:t>
      </w:r>
      <w:r>
        <w:rPr>
          <w:spacing w:val="-14"/>
          <w:sz w:val="24"/>
        </w:rPr>
        <w:t> </w:t>
      </w:r>
      <w:r>
        <w:rPr>
          <w:sz w:val="24"/>
        </w:rPr>
        <w:t>n°</w:t>
      </w:r>
      <w:r>
        <w:rPr>
          <w:spacing w:val="-20"/>
          <w:sz w:val="24"/>
        </w:rPr>
        <w:t> </w:t>
      </w:r>
      <w:r>
        <w:rPr>
          <w:spacing w:val="-4"/>
          <w:sz w:val="24"/>
        </w:rPr>
        <w:t>23.501,</w:t>
      </w:r>
      <w:r>
        <w:rPr>
          <w:spacing w:val="-18"/>
          <w:sz w:val="24"/>
        </w:rPr>
        <w:t> </w:t>
      </w:r>
      <w:r>
        <w:rPr>
          <w:sz w:val="24"/>
        </w:rPr>
        <w:t>de</w:t>
      </w:r>
      <w:r>
        <w:rPr>
          <w:spacing w:val="-18"/>
          <w:sz w:val="24"/>
        </w:rPr>
        <w:t> </w:t>
      </w:r>
      <w:r>
        <w:rPr>
          <w:spacing w:val="-3"/>
          <w:sz w:val="24"/>
        </w:rPr>
        <w:t>19</w:t>
      </w:r>
      <w:r>
        <w:rPr>
          <w:spacing w:val="-17"/>
          <w:sz w:val="24"/>
        </w:rPr>
        <w:t> </w:t>
      </w:r>
      <w:r>
        <w:rPr>
          <w:sz w:val="24"/>
        </w:rPr>
        <w:t>de</w:t>
      </w:r>
      <w:r>
        <w:rPr>
          <w:spacing w:val="-18"/>
          <w:sz w:val="24"/>
        </w:rPr>
        <w:t> </w:t>
      </w:r>
      <w:r>
        <w:rPr>
          <w:spacing w:val="-4"/>
          <w:sz w:val="24"/>
        </w:rPr>
        <w:t>dezembro</w:t>
      </w:r>
      <w:r>
        <w:rPr>
          <w:spacing w:val="-18"/>
          <w:sz w:val="24"/>
        </w:rPr>
        <w:t> </w:t>
      </w:r>
      <w:r>
        <w:rPr>
          <w:sz w:val="24"/>
        </w:rPr>
        <w:t>de</w:t>
      </w:r>
      <w:r>
        <w:rPr>
          <w:spacing w:val="-18"/>
          <w:sz w:val="24"/>
        </w:rPr>
        <w:t> </w:t>
      </w:r>
      <w:r>
        <w:rPr>
          <w:spacing w:val="-4"/>
          <w:sz w:val="24"/>
        </w:rPr>
        <w:t>2016,</w:t>
      </w:r>
      <w:r>
        <w:rPr>
          <w:spacing w:val="-15"/>
          <w:sz w:val="24"/>
        </w:rPr>
        <w:t> </w:t>
      </w:r>
      <w:r>
        <w:rPr>
          <w:spacing w:val="-3"/>
          <w:sz w:val="24"/>
        </w:rPr>
        <w:t>que</w:t>
      </w:r>
      <w:r>
        <w:rPr>
          <w:spacing w:val="-19"/>
          <w:sz w:val="24"/>
        </w:rPr>
        <w:t> </w:t>
      </w:r>
      <w:r>
        <w:rPr>
          <w:spacing w:val="-4"/>
          <w:sz w:val="24"/>
        </w:rPr>
        <w:t>institui</w:t>
      </w:r>
      <w:r>
        <w:rPr>
          <w:spacing w:val="-17"/>
          <w:sz w:val="24"/>
        </w:rPr>
        <w:t> </w:t>
      </w:r>
      <w:r>
        <w:rPr>
          <w:spacing w:val="-4"/>
          <w:sz w:val="24"/>
        </w:rPr>
        <w:t>política</w:t>
      </w:r>
      <w:r>
        <w:rPr>
          <w:spacing w:val="-18"/>
          <w:sz w:val="24"/>
        </w:rPr>
        <w:t> </w:t>
      </w:r>
      <w:r>
        <w:rPr>
          <w:sz w:val="24"/>
        </w:rPr>
        <w:t>de</w:t>
      </w:r>
      <w:r>
        <w:rPr>
          <w:spacing w:val="-18"/>
          <w:sz w:val="24"/>
        </w:rPr>
        <w:t> </w:t>
      </w:r>
      <w:r>
        <w:rPr>
          <w:spacing w:val="-4"/>
          <w:sz w:val="24"/>
        </w:rPr>
        <w:t>segurança </w:t>
      </w:r>
      <w:r>
        <w:rPr>
          <w:spacing w:val="-3"/>
          <w:sz w:val="24"/>
        </w:rPr>
        <w:t>de</w:t>
      </w:r>
      <w:r>
        <w:rPr>
          <w:spacing w:val="-14"/>
          <w:sz w:val="24"/>
        </w:rPr>
        <w:t> </w:t>
      </w:r>
      <w:r>
        <w:rPr>
          <w:spacing w:val="-4"/>
          <w:sz w:val="24"/>
        </w:rPr>
        <w:t>informação,</w:t>
      </w:r>
      <w:r>
        <w:rPr>
          <w:spacing w:val="-8"/>
          <w:sz w:val="24"/>
        </w:rPr>
        <w:t> </w:t>
      </w:r>
      <w:r>
        <w:rPr>
          <w:spacing w:val="-3"/>
          <w:sz w:val="24"/>
        </w:rPr>
        <w:t>no</w:t>
      </w:r>
      <w:r>
        <w:rPr>
          <w:spacing w:val="-9"/>
          <w:sz w:val="24"/>
        </w:rPr>
        <w:t> </w:t>
      </w:r>
      <w:r>
        <w:rPr>
          <w:spacing w:val="-4"/>
          <w:sz w:val="24"/>
        </w:rPr>
        <w:t>âmbito</w:t>
      </w:r>
      <w:r>
        <w:rPr>
          <w:spacing w:val="-9"/>
          <w:sz w:val="24"/>
        </w:rPr>
        <w:t> </w:t>
      </w:r>
      <w:r>
        <w:rPr>
          <w:spacing w:val="-3"/>
          <w:sz w:val="24"/>
        </w:rPr>
        <w:t>da</w:t>
      </w:r>
      <w:r>
        <w:rPr>
          <w:spacing w:val="-13"/>
          <w:sz w:val="24"/>
        </w:rPr>
        <w:t> </w:t>
      </w:r>
      <w:r>
        <w:rPr>
          <w:spacing w:val="-4"/>
          <w:sz w:val="24"/>
        </w:rPr>
        <w:t>Justiça</w:t>
      </w:r>
      <w:r>
        <w:rPr>
          <w:spacing w:val="-13"/>
          <w:sz w:val="24"/>
        </w:rPr>
        <w:t> </w:t>
      </w:r>
      <w:r>
        <w:rPr>
          <w:spacing w:val="-5"/>
          <w:sz w:val="24"/>
        </w:rPr>
        <w:t>Eleitoral;</w:t>
      </w:r>
      <w:r>
        <w:rPr>
          <w:spacing w:val="-9"/>
          <w:sz w:val="24"/>
        </w:rPr>
        <w:t> </w:t>
      </w:r>
      <w:r>
        <w:rPr>
          <w:sz w:val="24"/>
        </w:rPr>
        <w:t>e</w:t>
      </w:r>
      <w:r>
        <w:rPr>
          <w:spacing w:val="-13"/>
          <w:sz w:val="24"/>
        </w:rPr>
        <w:t> </w:t>
      </w:r>
      <w:r>
        <w:rPr>
          <w:spacing w:val="-4"/>
          <w:sz w:val="24"/>
        </w:rPr>
        <w:t>Resolução</w:t>
      </w:r>
      <w:r>
        <w:rPr>
          <w:spacing w:val="-12"/>
          <w:sz w:val="24"/>
        </w:rPr>
        <w:t> </w:t>
      </w:r>
      <w:r>
        <w:rPr>
          <w:spacing w:val="-5"/>
          <w:sz w:val="24"/>
        </w:rPr>
        <w:t>Administrativa</w:t>
      </w:r>
      <w:r>
        <w:rPr>
          <w:spacing w:val="-10"/>
          <w:sz w:val="24"/>
        </w:rPr>
        <w:t> </w:t>
      </w:r>
      <w:r>
        <w:rPr>
          <w:spacing w:val="-4"/>
          <w:sz w:val="24"/>
        </w:rPr>
        <w:t>TRE-BA</w:t>
      </w:r>
      <w:r>
        <w:rPr>
          <w:spacing w:val="-12"/>
          <w:sz w:val="24"/>
        </w:rPr>
        <w:t> </w:t>
      </w:r>
      <w:r>
        <w:rPr>
          <w:spacing w:val="-3"/>
          <w:sz w:val="24"/>
        </w:rPr>
        <w:t>nº</w:t>
      </w:r>
      <w:r>
        <w:rPr>
          <w:spacing w:val="-8"/>
          <w:sz w:val="24"/>
        </w:rPr>
        <w:t> </w:t>
      </w:r>
      <w:r>
        <w:rPr>
          <w:spacing w:val="-3"/>
          <w:sz w:val="24"/>
        </w:rPr>
        <w:t>27, de 20 de </w:t>
      </w:r>
      <w:r>
        <w:rPr>
          <w:spacing w:val="-4"/>
          <w:sz w:val="24"/>
        </w:rPr>
        <w:t>agosto </w:t>
      </w:r>
      <w:r>
        <w:rPr>
          <w:spacing w:val="-3"/>
          <w:sz w:val="24"/>
        </w:rPr>
        <w:t>de </w:t>
      </w:r>
      <w:r>
        <w:rPr>
          <w:spacing w:val="-4"/>
          <w:sz w:val="24"/>
        </w:rPr>
        <w:t>2018 </w:t>
      </w:r>
      <w:r>
        <w:rPr>
          <w:spacing w:val="-5"/>
          <w:sz w:val="24"/>
        </w:rPr>
        <w:t>(Institui </w:t>
      </w:r>
      <w:r>
        <w:rPr>
          <w:sz w:val="24"/>
        </w:rPr>
        <w:t>a</w:t>
      </w:r>
      <w:r>
        <w:rPr>
          <w:spacing w:val="-45"/>
          <w:sz w:val="24"/>
        </w:rPr>
        <w:t> </w:t>
      </w:r>
      <w:r>
        <w:rPr>
          <w:spacing w:val="-4"/>
          <w:sz w:val="24"/>
        </w:rPr>
        <w:t>Política </w:t>
      </w:r>
      <w:r>
        <w:rPr>
          <w:spacing w:val="-3"/>
          <w:sz w:val="24"/>
        </w:rPr>
        <w:t>de </w:t>
      </w:r>
      <w:r>
        <w:rPr>
          <w:spacing w:val="-5"/>
          <w:sz w:val="24"/>
        </w:rPr>
        <w:t>Sustentabilidade).</w:t>
      </w:r>
    </w:p>
    <w:p>
      <w:pPr>
        <w:pStyle w:val="ListParagraph"/>
        <w:numPr>
          <w:ilvl w:val="3"/>
          <w:numId w:val="3"/>
        </w:numPr>
        <w:tabs>
          <w:tab w:pos="839" w:val="left" w:leader="none"/>
        </w:tabs>
        <w:spacing w:line="240" w:lineRule="auto" w:before="1" w:after="0"/>
        <w:ind w:left="838" w:right="0" w:hanging="721"/>
        <w:jc w:val="both"/>
        <w:rPr>
          <w:sz w:val="24"/>
        </w:rPr>
      </w:pPr>
      <w:r>
        <w:rPr>
          <w:sz w:val="24"/>
        </w:rPr>
        <w:t>Gestão de Pessoas com foco na folha de</w:t>
      </w:r>
      <w:r>
        <w:rPr>
          <w:spacing w:val="-6"/>
          <w:sz w:val="24"/>
        </w:rPr>
        <w:t> </w:t>
      </w:r>
      <w:r>
        <w:rPr>
          <w:sz w:val="24"/>
        </w:rPr>
        <w:t>pagamento:</w:t>
      </w:r>
    </w:p>
    <w:p>
      <w:pPr>
        <w:pStyle w:val="ListParagraph"/>
        <w:numPr>
          <w:ilvl w:val="4"/>
          <w:numId w:val="3"/>
        </w:numPr>
        <w:tabs>
          <w:tab w:pos="1199" w:val="left" w:leader="none"/>
        </w:tabs>
        <w:spacing w:line="240" w:lineRule="auto" w:before="0" w:after="0"/>
        <w:ind w:left="118" w:right="1900" w:firstLine="0"/>
        <w:jc w:val="both"/>
        <w:rPr>
          <w:sz w:val="24"/>
        </w:rPr>
      </w:pPr>
      <w:r>
        <w:rPr>
          <w:sz w:val="24"/>
        </w:rPr>
        <w:t>Local de realização dos trabalhos de auditoria: PRE/COAUD/SEAPE. </w:t>
      </w:r>
      <w:r>
        <w:rPr>
          <w:spacing w:val="-4"/>
          <w:sz w:val="24"/>
        </w:rPr>
        <w:t>3.1.1.2.2 </w:t>
      </w:r>
      <w:r>
        <w:rPr>
          <w:sz w:val="24"/>
        </w:rPr>
        <w:t>Cronograma: 1º/9/2020 a</w:t>
      </w:r>
      <w:r>
        <w:rPr>
          <w:spacing w:val="-7"/>
          <w:sz w:val="24"/>
        </w:rPr>
        <w:t> </w:t>
      </w:r>
      <w:r>
        <w:rPr>
          <w:sz w:val="24"/>
        </w:rPr>
        <w:t>19/12/2020.</w:t>
      </w:r>
    </w:p>
    <w:p>
      <w:pPr>
        <w:pStyle w:val="ListParagraph"/>
        <w:numPr>
          <w:ilvl w:val="4"/>
          <w:numId w:val="5"/>
        </w:numPr>
        <w:tabs>
          <w:tab w:pos="1199" w:val="left" w:leader="none"/>
        </w:tabs>
        <w:spacing w:line="240" w:lineRule="auto" w:before="0" w:after="0"/>
        <w:ind w:left="1198" w:right="368" w:hanging="1080"/>
        <w:jc w:val="both"/>
        <w:rPr>
          <w:sz w:val="24"/>
        </w:rPr>
      </w:pPr>
      <w:r>
        <w:rPr>
          <w:sz w:val="24"/>
        </w:rPr>
        <w:t>Avaliação sumária do risco: comprometimento do alcance dos objetivos estratégicos, mi</w:t>
      </w:r>
      <w:r>
        <w:rPr>
          <w:w w:val="99"/>
          <w:sz w:val="24"/>
        </w:rPr>
        <w:t>ssão</w:t>
      </w:r>
      <w:r>
        <w:rPr>
          <w:spacing w:val="4"/>
          <w:sz w:val="24"/>
        </w:rPr>
        <w:t> </w:t>
      </w:r>
      <w:r>
        <w:rPr>
          <w:sz w:val="24"/>
        </w:rPr>
        <w:t>e</w:t>
      </w:r>
      <w:r>
        <w:rPr>
          <w:spacing w:val="3"/>
          <w:sz w:val="24"/>
        </w:rPr>
        <w:t> </w:t>
      </w:r>
      <w:r>
        <w:rPr>
          <w:sz w:val="24"/>
        </w:rPr>
        <w:t>visão</w:t>
      </w:r>
      <w:r>
        <w:rPr>
          <w:spacing w:val="4"/>
          <w:sz w:val="24"/>
        </w:rPr>
        <w:t> </w:t>
      </w:r>
      <w:r>
        <w:rPr>
          <w:sz w:val="24"/>
        </w:rPr>
        <w:t>do</w:t>
      </w:r>
      <w:r>
        <w:rPr>
          <w:spacing w:val="6"/>
          <w:sz w:val="24"/>
        </w:rPr>
        <w:t> </w:t>
      </w:r>
      <w:r>
        <w:rPr>
          <w:sz w:val="24"/>
        </w:rPr>
        <w:t>T</w:t>
      </w:r>
      <w:r>
        <w:rPr>
          <w:spacing w:val="-1"/>
          <w:sz w:val="24"/>
        </w:rPr>
        <w:t>r</w:t>
      </w:r>
      <w:r>
        <w:rPr>
          <w:sz w:val="24"/>
        </w:rPr>
        <w:t>ibu</w:t>
      </w:r>
      <w:r>
        <w:rPr>
          <w:spacing w:val="2"/>
          <w:sz w:val="24"/>
        </w:rPr>
        <w:t>n</w:t>
      </w:r>
      <w:r>
        <w:rPr>
          <w:spacing w:val="-1"/>
          <w:sz w:val="24"/>
        </w:rPr>
        <w:t>a</w:t>
      </w:r>
      <w:r>
        <w:rPr>
          <w:sz w:val="24"/>
        </w:rPr>
        <w:t>l,</w:t>
      </w:r>
      <w:r>
        <w:rPr>
          <w:spacing w:val="5"/>
          <w:sz w:val="24"/>
        </w:rPr>
        <w:t> </w:t>
      </w:r>
      <w:r>
        <w:rPr>
          <w:spacing w:val="-1"/>
          <w:sz w:val="24"/>
        </w:rPr>
        <w:t>e</w:t>
      </w:r>
      <w:r>
        <w:rPr>
          <w:sz w:val="24"/>
        </w:rPr>
        <w:t>m</w:t>
      </w:r>
      <w:r>
        <w:rPr>
          <w:spacing w:val="5"/>
          <w:sz w:val="24"/>
        </w:rPr>
        <w:t> </w:t>
      </w:r>
      <w:r>
        <w:rPr>
          <w:sz w:val="24"/>
        </w:rPr>
        <w:t>virtude</w:t>
      </w:r>
      <w:r>
        <w:rPr>
          <w:spacing w:val="6"/>
          <w:sz w:val="24"/>
        </w:rPr>
        <w:t> </w:t>
      </w:r>
      <w:r>
        <w:rPr>
          <w:sz w:val="24"/>
        </w:rPr>
        <w:t>de</w:t>
      </w:r>
      <w:r>
        <w:rPr>
          <w:spacing w:val="5"/>
          <w:sz w:val="24"/>
        </w:rPr>
        <w:t> </w:t>
      </w:r>
      <w:r>
        <w:rPr>
          <w:sz w:val="24"/>
        </w:rPr>
        <w:t>incon</w:t>
      </w:r>
      <w:r>
        <w:rPr>
          <w:spacing w:val="-2"/>
          <w:sz w:val="24"/>
        </w:rPr>
        <w:t>f</w:t>
      </w:r>
      <w:r>
        <w:rPr>
          <w:spacing w:val="2"/>
          <w:sz w:val="24"/>
        </w:rPr>
        <w:t>o</w:t>
      </w:r>
      <w:r>
        <w:rPr>
          <w:sz w:val="24"/>
        </w:rPr>
        <w:t>rmid</w:t>
      </w:r>
      <w:r>
        <w:rPr>
          <w:spacing w:val="-1"/>
          <w:sz w:val="24"/>
        </w:rPr>
        <w:t>a</w:t>
      </w:r>
      <w:r>
        <w:rPr>
          <w:sz w:val="24"/>
        </w:rPr>
        <w:t>de</w:t>
      </w:r>
      <w:r>
        <w:rPr>
          <w:spacing w:val="3"/>
          <w:sz w:val="24"/>
        </w:rPr>
        <w:t> </w:t>
      </w:r>
      <w:r>
        <w:rPr>
          <w:sz w:val="24"/>
        </w:rPr>
        <w:t>n</w:t>
      </w:r>
      <w:r>
        <w:rPr>
          <w:spacing w:val="-1"/>
          <w:sz w:val="24"/>
        </w:rPr>
        <w:t>a</w:t>
      </w:r>
      <w:r>
        <w:rPr>
          <w:w w:val="99"/>
          <w:sz w:val="24"/>
        </w:rPr>
        <w:t>s</w:t>
      </w:r>
      <w:r>
        <w:rPr>
          <w:spacing w:val="6"/>
          <w:sz w:val="24"/>
        </w:rPr>
        <w:t> </w:t>
      </w:r>
      <w:r>
        <w:rPr>
          <w:sz w:val="24"/>
        </w:rPr>
        <w:t>tr</w:t>
      </w:r>
      <w:r>
        <w:rPr>
          <w:spacing w:val="-2"/>
          <w:sz w:val="24"/>
        </w:rPr>
        <w:t>a</w:t>
      </w:r>
      <w:r>
        <w:rPr>
          <w:w w:val="99"/>
          <w:sz w:val="24"/>
        </w:rPr>
        <w:t>n</w:t>
      </w:r>
      <w:r>
        <w:rPr>
          <w:spacing w:val="2"/>
          <w:w w:val="99"/>
          <w:sz w:val="24"/>
        </w:rPr>
        <w:t>s</w:t>
      </w:r>
      <w:r>
        <w:rPr>
          <w:spacing w:val="5"/>
          <w:sz w:val="24"/>
        </w:rPr>
        <w:t>a</w:t>
      </w:r>
      <w:r>
        <w:rPr>
          <w:w w:val="36"/>
          <w:sz w:val="24"/>
        </w:rPr>
        <w:t>c</w:t>
      </w:r>
      <w:r>
        <w:rPr>
          <w:spacing w:val="-1"/>
          <w:w w:val="36"/>
          <w:sz w:val="24"/>
        </w:rPr>
        <w:t>̧</w:t>
      </w:r>
      <w:r>
        <w:rPr>
          <w:sz w:val="24"/>
        </w:rPr>
        <w:t>õ</w:t>
      </w:r>
      <w:r>
        <w:rPr>
          <w:spacing w:val="-1"/>
          <w:sz w:val="24"/>
        </w:rPr>
        <w:t>e</w:t>
      </w:r>
      <w:r>
        <w:rPr>
          <w:w w:val="99"/>
          <w:sz w:val="24"/>
        </w:rPr>
        <w:t>s</w:t>
      </w:r>
      <w:r>
        <w:rPr>
          <w:spacing w:val="6"/>
          <w:sz w:val="24"/>
        </w:rPr>
        <w:t> </w:t>
      </w:r>
      <w:r>
        <w:rPr>
          <w:spacing w:val="0"/>
          <w:w w:val="99"/>
          <w:sz w:val="24"/>
        </w:rPr>
        <w:t>s</w:t>
      </w:r>
      <w:r>
        <w:rPr>
          <w:spacing w:val="-2"/>
          <w:sz w:val="24"/>
        </w:rPr>
        <w:t>ubja</w:t>
      </w:r>
      <w:r>
        <w:rPr>
          <w:spacing w:val="-4"/>
          <w:sz w:val="24"/>
        </w:rPr>
        <w:t>c</w:t>
      </w:r>
      <w:r>
        <w:rPr>
          <w:spacing w:val="-3"/>
          <w:sz w:val="24"/>
        </w:rPr>
        <w:t>e</w:t>
      </w:r>
      <w:r>
        <w:rPr>
          <w:spacing w:val="-2"/>
          <w:sz w:val="24"/>
        </w:rPr>
        <w:t>ntes</w:t>
      </w:r>
      <w:r>
        <w:rPr>
          <w:sz w:val="24"/>
        </w:rPr>
        <w:t> a</w:t>
      </w:r>
      <w:r>
        <w:rPr>
          <w:spacing w:val="-1"/>
          <w:sz w:val="24"/>
        </w:rPr>
        <w:t>̀</w:t>
      </w:r>
      <w:r>
        <w:rPr>
          <w:w w:val="99"/>
          <w:sz w:val="24"/>
        </w:rPr>
        <w:t>s</w:t>
      </w:r>
      <w:r>
        <w:rPr>
          <w:spacing w:val="-10"/>
          <w:sz w:val="24"/>
        </w:rPr>
        <w:t> </w:t>
      </w:r>
      <w:r>
        <w:rPr>
          <w:sz w:val="24"/>
        </w:rPr>
        <w:t>d</w:t>
      </w:r>
      <w:r>
        <w:rPr>
          <w:spacing w:val="-1"/>
          <w:sz w:val="24"/>
        </w:rPr>
        <w:t>e</w:t>
      </w:r>
      <w:r>
        <w:rPr>
          <w:sz w:val="24"/>
        </w:rPr>
        <w:t>monstr</w:t>
      </w:r>
      <w:r>
        <w:rPr>
          <w:spacing w:val="-1"/>
          <w:sz w:val="24"/>
        </w:rPr>
        <w:t>a</w:t>
      </w:r>
      <w:r>
        <w:rPr>
          <w:w w:val="36"/>
          <w:sz w:val="24"/>
        </w:rPr>
        <w:t>c</w:t>
      </w:r>
      <w:r>
        <w:rPr>
          <w:spacing w:val="-1"/>
          <w:w w:val="36"/>
          <w:sz w:val="24"/>
        </w:rPr>
        <w:t>̧</w:t>
      </w:r>
      <w:r>
        <w:rPr>
          <w:sz w:val="24"/>
        </w:rPr>
        <w:t>õ</w:t>
      </w:r>
      <w:r>
        <w:rPr>
          <w:spacing w:val="-1"/>
          <w:sz w:val="24"/>
        </w:rPr>
        <w:t>e</w:t>
      </w:r>
      <w:r>
        <w:rPr>
          <w:w w:val="99"/>
          <w:sz w:val="24"/>
        </w:rPr>
        <w:t>s</w:t>
      </w:r>
      <w:r>
        <w:rPr>
          <w:spacing w:val="-10"/>
          <w:sz w:val="24"/>
        </w:rPr>
        <w:t> </w:t>
      </w:r>
      <w:r>
        <w:rPr>
          <w:spacing w:val="-1"/>
          <w:sz w:val="24"/>
        </w:rPr>
        <w:t>c</w:t>
      </w:r>
      <w:r>
        <w:rPr>
          <w:sz w:val="24"/>
        </w:rPr>
        <w:t>on</w:t>
      </w:r>
      <w:r>
        <w:rPr>
          <w:spacing w:val="2"/>
          <w:sz w:val="24"/>
        </w:rPr>
        <w:t>t</w:t>
      </w:r>
      <w:r>
        <w:rPr>
          <w:sz w:val="24"/>
        </w:rPr>
        <w:t>a</w:t>
      </w:r>
      <w:r>
        <w:rPr>
          <w:spacing w:val="-1"/>
          <w:sz w:val="24"/>
        </w:rPr>
        <w:t>́</w:t>
      </w:r>
      <w:r>
        <w:rPr>
          <w:spacing w:val="2"/>
          <w:sz w:val="24"/>
        </w:rPr>
        <w:t>b</w:t>
      </w:r>
      <w:r>
        <w:rPr>
          <w:spacing w:val="-1"/>
          <w:sz w:val="24"/>
        </w:rPr>
        <w:t>e</w:t>
      </w:r>
      <w:r>
        <w:rPr>
          <w:w w:val="99"/>
          <w:sz w:val="24"/>
        </w:rPr>
        <w:t>is</w:t>
      </w:r>
      <w:r>
        <w:rPr>
          <w:spacing w:val="-9"/>
          <w:sz w:val="24"/>
        </w:rPr>
        <w:t> </w:t>
      </w:r>
      <w:r>
        <w:rPr>
          <w:sz w:val="24"/>
        </w:rPr>
        <w:t>e</w:t>
      </w:r>
      <w:r>
        <w:rPr>
          <w:spacing w:val="-11"/>
          <w:sz w:val="24"/>
        </w:rPr>
        <w:t> </w:t>
      </w:r>
      <w:r>
        <w:rPr>
          <w:w w:val="99"/>
          <w:sz w:val="24"/>
        </w:rPr>
        <w:t>dos</w:t>
      </w:r>
      <w:r>
        <w:rPr>
          <w:spacing w:val="-10"/>
          <w:sz w:val="24"/>
        </w:rPr>
        <w:t> </w:t>
      </w:r>
      <w:r>
        <w:rPr>
          <w:spacing w:val="-1"/>
          <w:sz w:val="24"/>
        </w:rPr>
        <w:t>a</w:t>
      </w:r>
      <w:r>
        <w:rPr>
          <w:w w:val="99"/>
          <w:sz w:val="24"/>
        </w:rPr>
        <w:t>tos</w:t>
      </w:r>
      <w:r>
        <w:rPr>
          <w:spacing w:val="-9"/>
          <w:sz w:val="24"/>
        </w:rPr>
        <w:t> </w:t>
      </w:r>
      <w:r>
        <w:rPr>
          <w:sz w:val="24"/>
        </w:rPr>
        <w:t>de</w:t>
      </w:r>
      <w:r>
        <w:rPr>
          <w:spacing w:val="-11"/>
          <w:sz w:val="24"/>
        </w:rPr>
        <w:t> </w:t>
      </w:r>
      <w:r>
        <w:rPr>
          <w:sz w:val="24"/>
        </w:rPr>
        <w:t>g</w:t>
      </w:r>
      <w:r>
        <w:rPr>
          <w:spacing w:val="-1"/>
          <w:sz w:val="24"/>
        </w:rPr>
        <w:t>e</w:t>
      </w:r>
      <w:r>
        <w:rPr>
          <w:w w:val="99"/>
          <w:sz w:val="24"/>
        </w:rPr>
        <w:t>s</w:t>
      </w:r>
      <w:r>
        <w:rPr>
          <w:spacing w:val="1"/>
          <w:w w:val="99"/>
          <w:sz w:val="24"/>
        </w:rPr>
        <w:t>t</w:t>
      </w:r>
      <w:r>
        <w:rPr>
          <w:sz w:val="24"/>
        </w:rPr>
        <w:t>a</w:t>
      </w:r>
      <w:r>
        <w:rPr>
          <w:spacing w:val="-1"/>
          <w:sz w:val="24"/>
        </w:rPr>
        <w:t>̃</w:t>
      </w:r>
      <w:r>
        <w:rPr>
          <w:sz w:val="24"/>
        </w:rPr>
        <w:t>o</w:t>
      </w:r>
      <w:r>
        <w:rPr>
          <w:spacing w:val="-10"/>
          <w:sz w:val="24"/>
        </w:rPr>
        <w:t> </w:t>
      </w:r>
      <w:r>
        <w:rPr>
          <w:sz w:val="24"/>
        </w:rPr>
        <w:t>r</w:t>
      </w:r>
      <w:r>
        <w:rPr>
          <w:spacing w:val="-2"/>
          <w:sz w:val="24"/>
        </w:rPr>
        <w:t>e</w:t>
      </w:r>
      <w:r>
        <w:rPr>
          <w:sz w:val="24"/>
        </w:rPr>
        <w:t>lev</w:t>
      </w:r>
      <w:r>
        <w:rPr>
          <w:spacing w:val="-2"/>
          <w:sz w:val="24"/>
        </w:rPr>
        <w:t>a</w:t>
      </w:r>
      <w:r>
        <w:rPr>
          <w:sz w:val="24"/>
        </w:rPr>
        <w:t>ntes</w:t>
      </w:r>
      <w:r>
        <w:rPr>
          <w:spacing w:val="-10"/>
          <w:sz w:val="24"/>
        </w:rPr>
        <w:t> </w:t>
      </w:r>
      <w:r>
        <w:rPr>
          <w:w w:val="99"/>
          <w:sz w:val="24"/>
        </w:rPr>
        <w:t>dos</w:t>
      </w:r>
      <w:r>
        <w:rPr>
          <w:spacing w:val="-10"/>
          <w:sz w:val="24"/>
        </w:rPr>
        <w:t> </w:t>
      </w:r>
      <w:r>
        <w:rPr>
          <w:sz w:val="24"/>
        </w:rPr>
        <w:t>r</w:t>
      </w:r>
      <w:r>
        <w:rPr>
          <w:spacing w:val="-2"/>
          <w:sz w:val="24"/>
        </w:rPr>
        <w:t>e</w:t>
      </w:r>
      <w:r>
        <w:rPr>
          <w:w w:val="99"/>
          <w:sz w:val="24"/>
        </w:rPr>
        <w:t>spon</w:t>
      </w:r>
      <w:r>
        <w:rPr>
          <w:spacing w:val="1"/>
          <w:w w:val="99"/>
          <w:sz w:val="24"/>
        </w:rPr>
        <w:t>s</w:t>
      </w:r>
      <w:r>
        <w:rPr>
          <w:sz w:val="24"/>
        </w:rPr>
        <w:t>a</w:t>
      </w:r>
      <w:r>
        <w:rPr>
          <w:spacing w:val="-1"/>
          <w:sz w:val="24"/>
        </w:rPr>
        <w:t>́</w:t>
      </w:r>
      <w:r>
        <w:rPr>
          <w:sz w:val="24"/>
        </w:rPr>
        <w:t>v</w:t>
      </w:r>
      <w:r>
        <w:rPr>
          <w:spacing w:val="-1"/>
          <w:sz w:val="24"/>
        </w:rPr>
        <w:t>e</w:t>
      </w:r>
      <w:r>
        <w:rPr>
          <w:w w:val="99"/>
          <w:sz w:val="24"/>
        </w:rPr>
        <w:t>is</w:t>
      </w:r>
      <w:r>
        <w:rPr>
          <w:spacing w:val="-7"/>
          <w:sz w:val="24"/>
        </w:rPr>
        <w:t> </w:t>
      </w:r>
      <w:r>
        <w:rPr>
          <w:sz w:val="24"/>
        </w:rPr>
        <w:t>p</w:t>
      </w:r>
      <w:r>
        <w:rPr>
          <w:spacing w:val="-1"/>
          <w:sz w:val="24"/>
        </w:rPr>
        <w:t>e</w:t>
      </w:r>
      <w:r>
        <w:rPr>
          <w:sz w:val="24"/>
        </w:rPr>
        <w:t>lo</w:t>
      </w:r>
      <w:r>
        <w:rPr>
          <w:spacing w:val="-10"/>
          <w:sz w:val="24"/>
        </w:rPr>
        <w:t> </w:t>
      </w:r>
      <w:r>
        <w:rPr>
          <w:spacing w:val="-8"/>
          <w:sz w:val="24"/>
        </w:rPr>
        <w:t>TRE-</w:t>
      </w:r>
      <w:r>
        <w:rPr>
          <w:sz w:val="24"/>
        </w:rPr>
        <w:t> BA relativos aos processos de gestão de</w:t>
      </w:r>
      <w:r>
        <w:rPr>
          <w:spacing w:val="-4"/>
          <w:sz w:val="24"/>
        </w:rPr>
        <w:t> </w:t>
      </w:r>
      <w:r>
        <w:rPr>
          <w:sz w:val="24"/>
        </w:rPr>
        <w:t>pessoas.</w:t>
      </w:r>
    </w:p>
    <w:p>
      <w:pPr>
        <w:pStyle w:val="ListParagraph"/>
        <w:numPr>
          <w:ilvl w:val="4"/>
          <w:numId w:val="5"/>
        </w:numPr>
        <w:tabs>
          <w:tab w:pos="1199" w:val="left" w:leader="none"/>
        </w:tabs>
        <w:spacing w:line="274" w:lineRule="exact" w:before="0" w:after="0"/>
        <w:ind w:left="1198" w:right="0" w:hanging="1081"/>
        <w:jc w:val="both"/>
        <w:rPr>
          <w:sz w:val="24"/>
        </w:rPr>
      </w:pPr>
      <w:r>
        <w:rPr>
          <w:sz w:val="24"/>
        </w:rPr>
        <w:t>Origem da demanda:</w:t>
      </w:r>
      <w:r>
        <w:rPr>
          <w:spacing w:val="-2"/>
          <w:sz w:val="24"/>
        </w:rPr>
        <w:t> </w:t>
      </w:r>
      <w:r>
        <w:rPr>
          <w:sz w:val="24"/>
        </w:rPr>
        <w:t>TCU-BA.</w:t>
      </w:r>
    </w:p>
    <w:p>
      <w:pPr>
        <w:pStyle w:val="ListParagraph"/>
        <w:numPr>
          <w:ilvl w:val="4"/>
          <w:numId w:val="5"/>
        </w:numPr>
        <w:tabs>
          <w:tab w:pos="1199" w:val="left" w:leader="none"/>
        </w:tabs>
        <w:spacing w:line="240" w:lineRule="auto" w:before="0" w:after="0"/>
        <w:ind w:left="1198" w:right="369" w:hanging="1080"/>
        <w:jc w:val="both"/>
        <w:rPr>
          <w:sz w:val="24"/>
        </w:rPr>
      </w:pPr>
      <w:r>
        <w:rPr>
          <w:sz w:val="24"/>
        </w:rPr>
        <w:t>Obj</w:t>
      </w:r>
      <w:r>
        <w:rPr>
          <w:spacing w:val="-1"/>
          <w:sz w:val="24"/>
        </w:rPr>
        <w:t>e</w:t>
      </w:r>
      <w:r>
        <w:rPr>
          <w:sz w:val="24"/>
        </w:rPr>
        <w:t>tivo</w:t>
      </w:r>
      <w:r>
        <w:rPr>
          <w:spacing w:val="-3"/>
          <w:sz w:val="24"/>
        </w:rPr>
        <w:t> </w:t>
      </w:r>
      <w:r>
        <w:rPr>
          <w:sz w:val="24"/>
        </w:rPr>
        <w:t>pr</w:t>
      </w:r>
      <w:r>
        <w:rPr>
          <w:spacing w:val="-2"/>
          <w:sz w:val="24"/>
        </w:rPr>
        <w:t>e</w:t>
      </w:r>
      <w:r>
        <w:rPr>
          <w:sz w:val="24"/>
        </w:rPr>
        <w:t>limin</w:t>
      </w:r>
      <w:r>
        <w:rPr>
          <w:spacing w:val="-1"/>
          <w:sz w:val="24"/>
        </w:rPr>
        <w:t>a</w:t>
      </w:r>
      <w:r>
        <w:rPr>
          <w:sz w:val="24"/>
        </w:rPr>
        <w:t>r:</w:t>
      </w:r>
      <w:r>
        <w:rPr>
          <w:spacing w:val="-3"/>
          <w:sz w:val="24"/>
        </w:rPr>
        <w:t> </w:t>
      </w:r>
      <w:r>
        <w:rPr>
          <w:sz w:val="24"/>
        </w:rPr>
        <w:t>v</w:t>
      </w:r>
      <w:r>
        <w:rPr>
          <w:spacing w:val="-1"/>
          <w:sz w:val="24"/>
        </w:rPr>
        <w:t>e</w:t>
      </w:r>
      <w:r>
        <w:rPr>
          <w:sz w:val="24"/>
        </w:rPr>
        <w:t>r</w:t>
      </w:r>
      <w:r>
        <w:rPr>
          <w:spacing w:val="1"/>
          <w:sz w:val="24"/>
        </w:rPr>
        <w:t>i</w:t>
      </w:r>
      <w:r>
        <w:rPr>
          <w:sz w:val="24"/>
        </w:rPr>
        <w:t>fi</w:t>
      </w:r>
      <w:r>
        <w:rPr>
          <w:spacing w:val="-2"/>
          <w:sz w:val="24"/>
        </w:rPr>
        <w:t>c</w:t>
      </w:r>
      <w:r>
        <w:rPr>
          <w:spacing w:val="-1"/>
          <w:sz w:val="24"/>
        </w:rPr>
        <w:t>a</w:t>
      </w:r>
      <w:r>
        <w:rPr>
          <w:sz w:val="24"/>
        </w:rPr>
        <w:t>r</w:t>
      </w:r>
      <w:r>
        <w:rPr>
          <w:spacing w:val="-2"/>
          <w:sz w:val="24"/>
        </w:rPr>
        <w:t> </w:t>
      </w:r>
      <w:r>
        <w:rPr>
          <w:w w:val="99"/>
          <w:sz w:val="24"/>
        </w:rPr>
        <w:t>se</w:t>
      </w:r>
      <w:r>
        <w:rPr>
          <w:spacing w:val="-1"/>
          <w:sz w:val="24"/>
        </w:rPr>
        <w:t> a</w:t>
      </w:r>
      <w:r>
        <w:rPr>
          <w:w w:val="99"/>
          <w:sz w:val="24"/>
        </w:rPr>
        <w:t>s</w:t>
      </w:r>
      <w:r>
        <w:rPr>
          <w:spacing w:val="-3"/>
          <w:sz w:val="24"/>
        </w:rPr>
        <w:t> </w:t>
      </w:r>
      <w:r>
        <w:rPr>
          <w:sz w:val="24"/>
        </w:rPr>
        <w:t>tr</w:t>
      </w:r>
      <w:r>
        <w:rPr>
          <w:spacing w:val="-2"/>
          <w:sz w:val="24"/>
        </w:rPr>
        <w:t>a</w:t>
      </w:r>
      <w:r>
        <w:rPr>
          <w:w w:val="99"/>
          <w:sz w:val="24"/>
        </w:rPr>
        <w:t>ns</w:t>
      </w:r>
      <w:r>
        <w:rPr>
          <w:spacing w:val="2"/>
          <w:w w:val="99"/>
          <w:sz w:val="24"/>
        </w:rPr>
        <w:t>a</w:t>
      </w:r>
      <w:r>
        <w:rPr>
          <w:w w:val="36"/>
          <w:sz w:val="24"/>
        </w:rPr>
        <w:t>c</w:t>
      </w:r>
      <w:r>
        <w:rPr>
          <w:spacing w:val="-1"/>
          <w:w w:val="36"/>
          <w:sz w:val="24"/>
        </w:rPr>
        <w:t>̧</w:t>
      </w:r>
      <w:r>
        <w:rPr>
          <w:sz w:val="24"/>
        </w:rPr>
        <w:t>õ</w:t>
      </w:r>
      <w:r>
        <w:rPr>
          <w:spacing w:val="-1"/>
          <w:sz w:val="24"/>
        </w:rPr>
        <w:t>e</w:t>
      </w:r>
      <w:r>
        <w:rPr>
          <w:w w:val="99"/>
          <w:sz w:val="24"/>
        </w:rPr>
        <w:t>s</w:t>
      </w:r>
      <w:r>
        <w:rPr>
          <w:spacing w:val="-3"/>
          <w:sz w:val="24"/>
        </w:rPr>
        <w:t> </w:t>
      </w:r>
      <w:r>
        <w:rPr>
          <w:w w:val="99"/>
          <w:sz w:val="24"/>
        </w:rPr>
        <w:t>su</w:t>
      </w:r>
      <w:r>
        <w:rPr>
          <w:spacing w:val="2"/>
          <w:w w:val="99"/>
          <w:sz w:val="24"/>
        </w:rPr>
        <w:t>b</w:t>
      </w:r>
      <w:r>
        <w:rPr>
          <w:sz w:val="24"/>
        </w:rPr>
        <w:t>ja</w:t>
      </w:r>
      <w:r>
        <w:rPr>
          <w:spacing w:val="-2"/>
          <w:sz w:val="24"/>
        </w:rPr>
        <w:t>c</w:t>
      </w:r>
      <w:r>
        <w:rPr>
          <w:spacing w:val="-1"/>
          <w:sz w:val="24"/>
        </w:rPr>
        <w:t>e</w:t>
      </w:r>
      <w:r>
        <w:rPr>
          <w:sz w:val="24"/>
        </w:rPr>
        <w:t>ntes</w:t>
      </w:r>
      <w:r>
        <w:rPr>
          <w:spacing w:val="-3"/>
          <w:sz w:val="24"/>
        </w:rPr>
        <w:t> </w:t>
      </w:r>
      <w:r>
        <w:rPr>
          <w:sz w:val="24"/>
        </w:rPr>
        <w:t>a</w:t>
      </w:r>
      <w:r>
        <w:rPr>
          <w:spacing w:val="-1"/>
          <w:sz w:val="24"/>
        </w:rPr>
        <w:t>̀</w:t>
      </w:r>
      <w:r>
        <w:rPr>
          <w:w w:val="99"/>
          <w:sz w:val="24"/>
        </w:rPr>
        <w:t>s</w:t>
      </w:r>
      <w:r>
        <w:rPr>
          <w:spacing w:val="-3"/>
          <w:sz w:val="24"/>
        </w:rPr>
        <w:t> </w:t>
      </w:r>
      <w:r>
        <w:rPr>
          <w:spacing w:val="2"/>
          <w:sz w:val="24"/>
        </w:rPr>
        <w:t>d</w:t>
      </w:r>
      <w:r>
        <w:rPr>
          <w:spacing w:val="-1"/>
          <w:sz w:val="24"/>
        </w:rPr>
        <w:t>e</w:t>
      </w:r>
      <w:r>
        <w:rPr>
          <w:sz w:val="24"/>
        </w:rPr>
        <w:t>monstr</w:t>
      </w:r>
      <w:r>
        <w:rPr>
          <w:spacing w:val="-1"/>
          <w:sz w:val="24"/>
        </w:rPr>
        <w:t>a</w:t>
      </w:r>
      <w:r>
        <w:rPr>
          <w:w w:val="36"/>
          <w:sz w:val="24"/>
        </w:rPr>
        <w:t>c</w:t>
      </w:r>
      <w:r>
        <w:rPr>
          <w:spacing w:val="-1"/>
          <w:w w:val="36"/>
          <w:sz w:val="24"/>
        </w:rPr>
        <w:t>̧</w:t>
      </w:r>
      <w:r>
        <w:rPr>
          <w:sz w:val="24"/>
        </w:rPr>
        <w:t>o</w:t>
      </w:r>
      <w:r>
        <w:rPr>
          <w:spacing w:val="2"/>
          <w:sz w:val="24"/>
        </w:rPr>
        <w:t>̃</w:t>
      </w:r>
      <w:r>
        <w:rPr>
          <w:spacing w:val="1"/>
          <w:sz w:val="24"/>
        </w:rPr>
        <w:t>e</w:t>
      </w:r>
      <w:r>
        <w:rPr>
          <w:w w:val="99"/>
          <w:sz w:val="24"/>
        </w:rPr>
        <w:t>s</w:t>
      </w:r>
      <w:r>
        <w:rPr>
          <w:spacing w:val="-3"/>
          <w:sz w:val="24"/>
        </w:rPr>
        <w:t> </w:t>
      </w:r>
      <w:r>
        <w:rPr>
          <w:spacing w:val="-5"/>
          <w:sz w:val="24"/>
        </w:rPr>
        <w:t>c</w:t>
      </w:r>
      <w:r>
        <w:rPr>
          <w:spacing w:val="-4"/>
          <w:sz w:val="24"/>
        </w:rPr>
        <w:t>onta</w:t>
      </w:r>
      <w:r>
        <w:rPr>
          <w:spacing w:val="-5"/>
          <w:sz w:val="24"/>
        </w:rPr>
        <w:t>́</w:t>
      </w:r>
      <w:r>
        <w:rPr>
          <w:spacing w:val="-4"/>
          <w:sz w:val="24"/>
        </w:rPr>
        <w:t>b</w:t>
      </w:r>
      <w:r>
        <w:rPr>
          <w:spacing w:val="-5"/>
          <w:sz w:val="24"/>
        </w:rPr>
        <w:t>e</w:t>
      </w:r>
      <w:r>
        <w:rPr>
          <w:spacing w:val="-4"/>
          <w:w w:val="99"/>
          <w:sz w:val="24"/>
        </w:rPr>
        <w:t>is</w:t>
      </w:r>
      <w:r>
        <w:rPr>
          <w:w w:val="99"/>
          <w:sz w:val="24"/>
        </w:rPr>
        <w:t> </w:t>
      </w:r>
      <w:r>
        <w:rPr>
          <w:sz w:val="24"/>
        </w:rPr>
        <w:t>e os atos de gestão relevantes dos responsáveis pelo TRE-BA relativos aos processos de gestão de pessoas estão de acordo com as leis e regulamentos aplicáveis e com os prin</w:t>
      </w:r>
      <w:r>
        <w:rPr>
          <w:spacing w:val="-2"/>
          <w:sz w:val="24"/>
        </w:rPr>
        <w:t>c</w:t>
      </w:r>
      <w:r>
        <w:rPr>
          <w:sz w:val="24"/>
        </w:rPr>
        <w:t>ípios </w:t>
      </w:r>
      <w:r>
        <w:rPr>
          <w:spacing w:val="-24"/>
          <w:sz w:val="24"/>
        </w:rPr>
        <w:t> </w:t>
      </w:r>
      <w:r>
        <w:rPr>
          <w:sz w:val="24"/>
        </w:rPr>
        <w:t>de </w:t>
      </w:r>
      <w:r>
        <w:rPr>
          <w:spacing w:val="-26"/>
          <w:sz w:val="24"/>
        </w:rPr>
        <w:t> </w:t>
      </w:r>
      <w:r>
        <w:rPr>
          <w:spacing w:val="-1"/>
          <w:sz w:val="24"/>
        </w:rPr>
        <w:t>a</w:t>
      </w:r>
      <w:r>
        <w:rPr>
          <w:sz w:val="24"/>
        </w:rPr>
        <w:t>dmi</w:t>
      </w:r>
      <w:r>
        <w:rPr>
          <w:w w:val="99"/>
          <w:sz w:val="24"/>
        </w:rPr>
        <w:t>nist</w:t>
      </w:r>
      <w:r>
        <w:rPr>
          <w:w w:val="99"/>
          <w:sz w:val="24"/>
        </w:rPr>
        <w:t>r</w:t>
      </w:r>
      <w:r>
        <w:rPr>
          <w:spacing w:val="2"/>
          <w:w w:val="99"/>
          <w:sz w:val="24"/>
        </w:rPr>
        <w:t>a</w:t>
      </w:r>
      <w:r>
        <w:rPr>
          <w:w w:val="36"/>
          <w:sz w:val="24"/>
        </w:rPr>
        <w:t>c</w:t>
      </w:r>
      <w:r>
        <w:rPr>
          <w:spacing w:val="-1"/>
          <w:w w:val="36"/>
          <w:sz w:val="24"/>
        </w:rPr>
        <w:t>̧</w:t>
      </w:r>
      <w:r>
        <w:rPr>
          <w:sz w:val="24"/>
        </w:rPr>
        <w:t>a</w:t>
      </w:r>
      <w:r>
        <w:rPr>
          <w:spacing w:val="-1"/>
          <w:sz w:val="24"/>
        </w:rPr>
        <w:t>̃</w:t>
      </w:r>
      <w:r>
        <w:rPr>
          <w:sz w:val="24"/>
        </w:rPr>
        <w:t>o </w:t>
      </w:r>
      <w:r>
        <w:rPr>
          <w:spacing w:val="-25"/>
          <w:sz w:val="24"/>
        </w:rPr>
        <w:t> </w:t>
      </w:r>
      <w:r>
        <w:rPr>
          <w:sz w:val="24"/>
        </w:rPr>
        <w:t>públi</w:t>
      </w:r>
      <w:r>
        <w:rPr>
          <w:spacing w:val="-1"/>
          <w:sz w:val="24"/>
        </w:rPr>
        <w:t>c</w:t>
      </w:r>
      <w:r>
        <w:rPr>
          <w:sz w:val="24"/>
        </w:rPr>
        <w:t>a </w:t>
      </w:r>
      <w:r>
        <w:rPr>
          <w:spacing w:val="-24"/>
          <w:sz w:val="24"/>
        </w:rPr>
        <w:t> </w:t>
      </w:r>
      <w:r>
        <w:rPr>
          <w:sz w:val="24"/>
        </w:rPr>
        <w:t>que </w:t>
      </w:r>
      <w:r>
        <w:rPr>
          <w:spacing w:val="-23"/>
          <w:sz w:val="24"/>
        </w:rPr>
        <w:t> </w:t>
      </w:r>
      <w:r>
        <w:rPr>
          <w:sz w:val="24"/>
        </w:rPr>
        <w:t>r</w:t>
      </w:r>
      <w:r>
        <w:rPr>
          <w:spacing w:val="-2"/>
          <w:sz w:val="24"/>
        </w:rPr>
        <w:t>e</w:t>
      </w:r>
      <w:r>
        <w:rPr>
          <w:spacing w:val="2"/>
          <w:sz w:val="24"/>
        </w:rPr>
        <w:t>g</w:t>
      </w:r>
      <w:r>
        <w:rPr>
          <w:spacing w:val="-1"/>
          <w:sz w:val="24"/>
        </w:rPr>
        <w:t>e</w:t>
      </w:r>
      <w:r>
        <w:rPr>
          <w:sz w:val="24"/>
        </w:rPr>
        <w:t>m </w:t>
      </w:r>
      <w:r>
        <w:rPr>
          <w:spacing w:val="-22"/>
          <w:sz w:val="24"/>
        </w:rPr>
        <w:t> </w:t>
      </w:r>
      <w:r>
        <w:rPr>
          <w:sz w:val="24"/>
        </w:rPr>
        <w:t>a </w:t>
      </w:r>
      <w:r>
        <w:rPr>
          <w:spacing w:val="-26"/>
          <w:sz w:val="24"/>
        </w:rPr>
        <w:t> </w:t>
      </w:r>
      <w:r>
        <w:rPr>
          <w:sz w:val="24"/>
        </w:rPr>
        <w:t>g</w:t>
      </w:r>
      <w:r>
        <w:rPr>
          <w:spacing w:val="-1"/>
          <w:sz w:val="24"/>
        </w:rPr>
        <w:t>e</w:t>
      </w:r>
      <w:r>
        <w:rPr>
          <w:w w:val="99"/>
          <w:sz w:val="24"/>
        </w:rPr>
        <w:t>s</w:t>
      </w:r>
      <w:r>
        <w:rPr>
          <w:spacing w:val="3"/>
          <w:w w:val="99"/>
          <w:sz w:val="24"/>
        </w:rPr>
        <w:t>t</w:t>
      </w:r>
      <w:r>
        <w:rPr>
          <w:sz w:val="24"/>
        </w:rPr>
        <w:t>a</w:t>
      </w:r>
      <w:r>
        <w:rPr>
          <w:spacing w:val="-1"/>
          <w:sz w:val="24"/>
        </w:rPr>
        <w:t>̃</w:t>
      </w:r>
      <w:r>
        <w:rPr>
          <w:sz w:val="24"/>
        </w:rPr>
        <w:t>o </w:t>
      </w:r>
      <w:r>
        <w:rPr>
          <w:spacing w:val="-22"/>
          <w:sz w:val="24"/>
        </w:rPr>
        <w:t> </w:t>
      </w:r>
      <w:r>
        <w:rPr>
          <w:sz w:val="24"/>
        </w:rPr>
        <w:t>fin</w:t>
      </w:r>
      <w:r>
        <w:rPr>
          <w:spacing w:val="-2"/>
          <w:sz w:val="24"/>
        </w:rPr>
        <w:t>a</w:t>
      </w:r>
      <w:r>
        <w:rPr>
          <w:sz w:val="24"/>
        </w:rPr>
        <w:t>n</w:t>
      </w:r>
      <w:r>
        <w:rPr>
          <w:spacing w:val="1"/>
          <w:sz w:val="24"/>
        </w:rPr>
        <w:t>c</w:t>
      </w:r>
      <w:r>
        <w:rPr>
          <w:spacing w:val="-1"/>
          <w:sz w:val="24"/>
        </w:rPr>
        <w:t>e</w:t>
      </w:r>
      <w:r>
        <w:rPr>
          <w:sz w:val="24"/>
        </w:rPr>
        <w:t>ira </w:t>
      </w:r>
      <w:r>
        <w:rPr>
          <w:spacing w:val="-24"/>
          <w:sz w:val="24"/>
        </w:rPr>
        <w:t> </w:t>
      </w:r>
      <w:r>
        <w:rPr>
          <w:sz w:val="24"/>
        </w:rPr>
        <w:t>r</w:t>
      </w:r>
      <w:r>
        <w:rPr>
          <w:spacing w:val="-2"/>
          <w:sz w:val="24"/>
        </w:rPr>
        <w:t>e</w:t>
      </w:r>
      <w:r>
        <w:rPr>
          <w:w w:val="99"/>
          <w:sz w:val="24"/>
        </w:rPr>
        <w:t>s</w:t>
      </w:r>
      <w:r>
        <w:rPr>
          <w:spacing w:val="2"/>
          <w:w w:val="99"/>
          <w:sz w:val="24"/>
        </w:rPr>
        <w:t>p</w:t>
      </w:r>
      <w:r>
        <w:rPr>
          <w:w w:val="99"/>
          <w:sz w:val="24"/>
        </w:rPr>
        <w:t>on</w:t>
      </w:r>
      <w:r>
        <w:rPr>
          <w:spacing w:val="2"/>
          <w:w w:val="99"/>
          <w:sz w:val="24"/>
        </w:rPr>
        <w:t>s</w:t>
      </w:r>
      <w:r>
        <w:rPr>
          <w:sz w:val="24"/>
        </w:rPr>
        <w:t>a</w:t>
      </w:r>
      <w:r>
        <w:rPr>
          <w:spacing w:val="-1"/>
          <w:sz w:val="24"/>
        </w:rPr>
        <w:t>́</w:t>
      </w:r>
      <w:r>
        <w:rPr>
          <w:sz w:val="24"/>
        </w:rPr>
        <w:t>v</w:t>
      </w:r>
      <w:r>
        <w:rPr>
          <w:spacing w:val="-1"/>
          <w:sz w:val="24"/>
        </w:rPr>
        <w:t>e</w:t>
      </w:r>
      <w:r>
        <w:rPr>
          <w:sz w:val="24"/>
        </w:rPr>
        <w:t>l </w:t>
      </w:r>
      <w:r>
        <w:rPr>
          <w:spacing w:val="-24"/>
          <w:sz w:val="24"/>
        </w:rPr>
        <w:t> </w:t>
      </w:r>
      <w:r>
        <w:rPr>
          <w:sz w:val="24"/>
        </w:rPr>
        <w:t>e </w:t>
      </w:r>
      <w:r>
        <w:rPr>
          <w:spacing w:val="-23"/>
          <w:sz w:val="24"/>
        </w:rPr>
        <w:t> </w:t>
      </w:r>
      <w:r>
        <w:rPr>
          <w:spacing w:val="-24"/>
          <w:sz w:val="24"/>
        </w:rPr>
        <w:t>a</w:t>
      </w:r>
      <w:r>
        <w:rPr>
          <w:sz w:val="24"/>
        </w:rPr>
        <w:t> conduta dos agentes</w:t>
      </w:r>
      <w:r>
        <w:rPr>
          <w:spacing w:val="-1"/>
          <w:sz w:val="24"/>
        </w:rPr>
        <w:t> </w:t>
      </w:r>
      <w:r>
        <w:rPr>
          <w:sz w:val="24"/>
        </w:rPr>
        <w:t>públicos.</w:t>
      </w:r>
    </w:p>
    <w:p>
      <w:pPr>
        <w:pStyle w:val="ListParagraph"/>
        <w:numPr>
          <w:ilvl w:val="4"/>
          <w:numId w:val="5"/>
        </w:numPr>
        <w:tabs>
          <w:tab w:pos="1199" w:val="left" w:leader="none"/>
        </w:tabs>
        <w:spacing w:line="240" w:lineRule="auto" w:before="1" w:after="0"/>
        <w:ind w:left="1198" w:right="0" w:hanging="1081"/>
        <w:jc w:val="both"/>
        <w:rPr>
          <w:sz w:val="24"/>
        </w:rPr>
      </w:pPr>
      <w:r>
        <w:rPr>
          <w:spacing w:val="-4"/>
          <w:sz w:val="24"/>
        </w:rPr>
        <w:t>Carga horária</w:t>
      </w:r>
      <w:r>
        <w:rPr>
          <w:spacing w:val="-14"/>
          <w:sz w:val="24"/>
        </w:rPr>
        <w:t> </w:t>
      </w:r>
      <w:r>
        <w:rPr>
          <w:spacing w:val="-4"/>
          <w:sz w:val="24"/>
        </w:rPr>
        <w:t>prevista:</w:t>
      </w:r>
    </w:p>
    <w:p>
      <w:pPr>
        <w:pStyle w:val="ListParagraph"/>
        <w:numPr>
          <w:ilvl w:val="5"/>
          <w:numId w:val="5"/>
        </w:numPr>
        <w:tabs>
          <w:tab w:pos="1199" w:val="left" w:leader="none"/>
        </w:tabs>
        <w:spacing w:line="240" w:lineRule="auto" w:before="0" w:after="0"/>
        <w:ind w:left="1198" w:right="0" w:hanging="1081"/>
        <w:jc w:val="left"/>
        <w:rPr>
          <w:sz w:val="24"/>
        </w:rPr>
      </w:pPr>
      <w:r>
        <w:rPr>
          <w:spacing w:val="-4"/>
          <w:sz w:val="24"/>
        </w:rPr>
        <w:t>1.056 horas </w:t>
      </w:r>
      <w:r>
        <w:rPr>
          <w:sz w:val="24"/>
        </w:rPr>
        <w:t>de</w:t>
      </w:r>
      <w:r>
        <w:rPr>
          <w:spacing w:val="-18"/>
          <w:sz w:val="24"/>
        </w:rPr>
        <w:t> </w:t>
      </w:r>
      <w:r>
        <w:rPr>
          <w:spacing w:val="-5"/>
          <w:sz w:val="24"/>
        </w:rPr>
        <w:t>auditoria;</w:t>
      </w:r>
    </w:p>
    <w:p>
      <w:pPr>
        <w:pStyle w:val="ListParagraph"/>
        <w:numPr>
          <w:ilvl w:val="5"/>
          <w:numId w:val="5"/>
        </w:numPr>
        <w:tabs>
          <w:tab w:pos="1199" w:val="left" w:leader="none"/>
        </w:tabs>
        <w:spacing w:line="240" w:lineRule="auto" w:before="0" w:after="0"/>
        <w:ind w:left="1198" w:right="0" w:hanging="1081"/>
        <w:jc w:val="left"/>
        <w:rPr>
          <w:sz w:val="24"/>
        </w:rPr>
      </w:pPr>
      <w:r>
        <w:rPr>
          <w:spacing w:val="-4"/>
          <w:sz w:val="24"/>
        </w:rPr>
        <w:t>369 horas </w:t>
      </w:r>
      <w:r>
        <w:rPr>
          <w:sz w:val="24"/>
        </w:rPr>
        <w:t>de </w:t>
      </w:r>
      <w:r>
        <w:rPr>
          <w:spacing w:val="-4"/>
          <w:sz w:val="24"/>
        </w:rPr>
        <w:t>gerência;</w:t>
      </w:r>
      <w:r>
        <w:rPr>
          <w:spacing w:val="-26"/>
          <w:sz w:val="24"/>
        </w:rPr>
        <w:t> </w:t>
      </w:r>
      <w:r>
        <w:rPr>
          <w:sz w:val="24"/>
        </w:rPr>
        <w:t>e</w:t>
      </w:r>
    </w:p>
    <w:p>
      <w:pPr>
        <w:pStyle w:val="ListParagraph"/>
        <w:numPr>
          <w:ilvl w:val="5"/>
          <w:numId w:val="5"/>
        </w:numPr>
        <w:tabs>
          <w:tab w:pos="1199" w:val="left" w:leader="none"/>
        </w:tabs>
        <w:spacing w:line="240" w:lineRule="auto" w:before="0" w:after="0"/>
        <w:ind w:left="1198" w:right="0" w:hanging="1081"/>
        <w:jc w:val="left"/>
        <w:rPr>
          <w:sz w:val="24"/>
        </w:rPr>
      </w:pPr>
      <w:r>
        <w:rPr>
          <w:spacing w:val="-4"/>
          <w:sz w:val="24"/>
        </w:rPr>
        <w:t>105 horas </w:t>
      </w:r>
      <w:r>
        <w:rPr>
          <w:sz w:val="24"/>
        </w:rPr>
        <w:t>de</w:t>
      </w:r>
      <w:r>
        <w:rPr>
          <w:spacing w:val="-9"/>
          <w:sz w:val="24"/>
        </w:rPr>
        <w:t> </w:t>
      </w:r>
      <w:r>
        <w:rPr>
          <w:spacing w:val="-5"/>
          <w:sz w:val="24"/>
        </w:rPr>
        <w:t>supervisão.</w:t>
      </w:r>
    </w:p>
    <w:p>
      <w:pPr>
        <w:pStyle w:val="ListParagraph"/>
        <w:numPr>
          <w:ilvl w:val="5"/>
          <w:numId w:val="5"/>
        </w:numPr>
        <w:tabs>
          <w:tab w:pos="1199" w:val="left" w:leader="none"/>
        </w:tabs>
        <w:spacing w:line="240" w:lineRule="auto" w:before="0" w:after="0"/>
        <w:ind w:left="1198" w:right="0" w:hanging="1081"/>
        <w:jc w:val="left"/>
        <w:rPr>
          <w:sz w:val="24"/>
        </w:rPr>
      </w:pPr>
      <w:r>
        <w:rPr>
          <w:spacing w:val="-5"/>
          <w:sz w:val="24"/>
        </w:rPr>
        <w:t>Conhecimentos </w:t>
      </w:r>
      <w:r>
        <w:rPr>
          <w:spacing w:val="-4"/>
          <w:sz w:val="24"/>
        </w:rPr>
        <w:t>básicos </w:t>
      </w:r>
      <w:r>
        <w:rPr>
          <w:spacing w:val="-5"/>
          <w:sz w:val="24"/>
        </w:rPr>
        <w:t>desejáveis: </w:t>
      </w:r>
      <w:r>
        <w:rPr>
          <w:sz w:val="24"/>
        </w:rPr>
        <w:t>Lei nº 8.112/90 e Legislação de</w:t>
      </w:r>
      <w:r>
        <w:rPr>
          <w:spacing w:val="-7"/>
          <w:sz w:val="24"/>
        </w:rPr>
        <w:t> </w:t>
      </w:r>
      <w:r>
        <w:rPr>
          <w:sz w:val="24"/>
        </w:rPr>
        <w:t>Pessoal.</w:t>
      </w:r>
    </w:p>
    <w:p>
      <w:pPr>
        <w:pStyle w:val="ListParagraph"/>
        <w:numPr>
          <w:ilvl w:val="3"/>
          <w:numId w:val="3"/>
        </w:numPr>
        <w:tabs>
          <w:tab w:pos="839" w:val="left" w:leader="none"/>
        </w:tabs>
        <w:spacing w:line="240" w:lineRule="auto" w:before="0" w:after="0"/>
        <w:ind w:left="838" w:right="0" w:hanging="721"/>
        <w:jc w:val="left"/>
        <w:rPr>
          <w:sz w:val="24"/>
        </w:rPr>
      </w:pPr>
      <w:r>
        <w:rPr>
          <w:sz w:val="24"/>
        </w:rPr>
        <w:t>Licitações e contratações de</w:t>
      </w:r>
      <w:r>
        <w:rPr>
          <w:spacing w:val="1"/>
          <w:sz w:val="24"/>
        </w:rPr>
        <w:t> </w:t>
      </w:r>
      <w:r>
        <w:rPr>
          <w:sz w:val="24"/>
        </w:rPr>
        <w:t>serviços:</w:t>
      </w:r>
    </w:p>
    <w:p>
      <w:pPr>
        <w:pStyle w:val="ListParagraph"/>
        <w:numPr>
          <w:ilvl w:val="4"/>
          <w:numId w:val="3"/>
        </w:numPr>
        <w:tabs>
          <w:tab w:pos="1198" w:val="left" w:leader="none"/>
          <w:tab w:pos="1199" w:val="left" w:leader="none"/>
        </w:tabs>
        <w:spacing w:line="240" w:lineRule="auto" w:before="0" w:after="0"/>
        <w:ind w:left="1198" w:right="0" w:hanging="1081"/>
        <w:jc w:val="left"/>
        <w:rPr>
          <w:sz w:val="24"/>
        </w:rPr>
      </w:pPr>
      <w:r>
        <w:rPr>
          <w:sz w:val="24"/>
        </w:rPr>
        <w:t>Local de realização dos trabalhos de auditoria:</w:t>
      </w:r>
      <w:r>
        <w:rPr>
          <w:spacing w:val="-2"/>
          <w:sz w:val="24"/>
        </w:rPr>
        <w:t> </w:t>
      </w:r>
      <w:r>
        <w:rPr>
          <w:sz w:val="24"/>
        </w:rPr>
        <w:t>PRE/COAUD/SEALIC.</w:t>
      </w:r>
    </w:p>
    <w:p>
      <w:pPr>
        <w:pStyle w:val="BodyText"/>
        <w:rPr>
          <w:sz w:val="20"/>
        </w:rPr>
      </w:pPr>
    </w:p>
    <w:p>
      <w:pPr>
        <w:pStyle w:val="BodyText"/>
        <w:spacing w:before="1"/>
        <w:rPr>
          <w:sz w:val="25"/>
        </w:rPr>
      </w:pPr>
    </w:p>
    <w:p>
      <w:pPr>
        <w:pStyle w:val="BodyText"/>
        <w:spacing w:before="92"/>
        <w:ind w:right="369"/>
        <w:jc w:val="right"/>
        <w:rPr>
          <w:rFonts w:ascii="Arial"/>
        </w:rPr>
      </w:pPr>
      <w:r>
        <w:rPr>
          <w:rFonts w:ascii="Arial"/>
          <w:w w:val="99"/>
        </w:rPr>
        <w:t>8</w:t>
      </w:r>
    </w:p>
    <w:p>
      <w:pPr>
        <w:spacing w:after="0"/>
        <w:jc w:val="right"/>
        <w:rPr>
          <w:rFonts w:ascii="Arial"/>
        </w:rPr>
        <w:sectPr>
          <w:pgSz w:w="11910" w:h="16840"/>
          <w:pgMar w:top="1320" w:bottom="280" w:left="1300" w:right="760"/>
        </w:sectPr>
      </w:pPr>
    </w:p>
    <w:p>
      <w:pPr>
        <w:pStyle w:val="BodyText"/>
        <w:spacing w:before="79"/>
        <w:ind w:left="118"/>
        <w:jc w:val="both"/>
      </w:pPr>
      <w:r>
        <w:rPr/>
        <w:t>3.1.1.3.2 Cronograma: 1º/9/2020 a 19/12/2020.</w:t>
      </w:r>
    </w:p>
    <w:p>
      <w:pPr>
        <w:pStyle w:val="ListParagraph"/>
        <w:numPr>
          <w:ilvl w:val="4"/>
          <w:numId w:val="6"/>
        </w:numPr>
        <w:tabs>
          <w:tab w:pos="1199" w:val="left" w:leader="none"/>
        </w:tabs>
        <w:spacing w:line="240" w:lineRule="auto" w:before="0" w:after="0"/>
        <w:ind w:left="1198" w:right="369" w:hanging="1080"/>
        <w:jc w:val="both"/>
        <w:rPr>
          <w:sz w:val="24"/>
        </w:rPr>
      </w:pPr>
      <w:r>
        <w:rPr>
          <w:w w:val="99"/>
          <w:sz w:val="24"/>
        </w:rPr>
        <w:t>Av</w:t>
      </w:r>
      <w:r>
        <w:rPr>
          <w:spacing w:val="-2"/>
          <w:w w:val="99"/>
          <w:sz w:val="24"/>
        </w:rPr>
        <w:t>a</w:t>
      </w:r>
      <w:r>
        <w:rPr>
          <w:sz w:val="24"/>
        </w:rPr>
        <w:t>li</w:t>
      </w:r>
      <w:r>
        <w:rPr>
          <w:spacing w:val="-1"/>
          <w:sz w:val="24"/>
        </w:rPr>
        <w:t>açã</w:t>
      </w:r>
      <w:r>
        <w:rPr>
          <w:sz w:val="24"/>
        </w:rPr>
        <w:t>o</w:t>
      </w:r>
      <w:r>
        <w:rPr>
          <w:spacing w:val="21"/>
          <w:sz w:val="24"/>
        </w:rPr>
        <w:t> </w:t>
      </w:r>
      <w:r>
        <w:rPr>
          <w:sz w:val="24"/>
        </w:rPr>
        <w:t>sum</w:t>
      </w:r>
      <w:r>
        <w:rPr>
          <w:spacing w:val="1"/>
          <w:sz w:val="24"/>
        </w:rPr>
        <w:t>á</w:t>
      </w:r>
      <w:r>
        <w:rPr>
          <w:sz w:val="24"/>
        </w:rPr>
        <w:t>ria</w:t>
      </w:r>
      <w:r>
        <w:rPr>
          <w:spacing w:val="20"/>
          <w:sz w:val="24"/>
        </w:rPr>
        <w:t> </w:t>
      </w:r>
      <w:r>
        <w:rPr>
          <w:sz w:val="24"/>
        </w:rPr>
        <w:t>do</w:t>
      </w:r>
      <w:r>
        <w:rPr>
          <w:spacing w:val="21"/>
          <w:sz w:val="24"/>
        </w:rPr>
        <w:t> </w:t>
      </w:r>
      <w:r>
        <w:rPr>
          <w:w w:val="99"/>
          <w:sz w:val="24"/>
        </w:rPr>
        <w:t>ris</w:t>
      </w:r>
      <w:r>
        <w:rPr>
          <w:spacing w:val="-1"/>
          <w:w w:val="99"/>
          <w:sz w:val="24"/>
        </w:rPr>
        <w:t>c</w:t>
      </w:r>
      <w:r>
        <w:rPr>
          <w:sz w:val="24"/>
        </w:rPr>
        <w:t>o:</w:t>
      </w:r>
      <w:r>
        <w:rPr>
          <w:spacing w:val="24"/>
          <w:sz w:val="24"/>
        </w:rPr>
        <w:t> </w:t>
      </w:r>
      <w:r>
        <w:rPr>
          <w:sz w:val="24"/>
        </w:rPr>
        <w:t>tr</w:t>
      </w:r>
      <w:r>
        <w:rPr>
          <w:spacing w:val="-2"/>
          <w:sz w:val="24"/>
        </w:rPr>
        <w:t>a</w:t>
      </w:r>
      <w:r>
        <w:rPr>
          <w:w w:val="99"/>
          <w:sz w:val="24"/>
        </w:rPr>
        <w:t>ns</w:t>
      </w:r>
      <w:r>
        <w:rPr>
          <w:spacing w:val="-1"/>
          <w:w w:val="99"/>
          <w:sz w:val="24"/>
        </w:rPr>
        <w:t>a</w:t>
      </w:r>
      <w:r>
        <w:rPr>
          <w:w w:val="36"/>
          <w:sz w:val="24"/>
        </w:rPr>
        <w:t>c</w:t>
      </w:r>
      <w:r>
        <w:rPr>
          <w:spacing w:val="-1"/>
          <w:w w:val="36"/>
          <w:sz w:val="24"/>
        </w:rPr>
        <w:t>̧</w:t>
      </w:r>
      <w:r>
        <w:rPr>
          <w:sz w:val="24"/>
        </w:rPr>
        <w:t>o</w:t>
      </w:r>
      <w:r>
        <w:rPr>
          <w:spacing w:val="2"/>
          <w:sz w:val="24"/>
        </w:rPr>
        <w:t>̃</w:t>
      </w:r>
      <w:r>
        <w:rPr>
          <w:spacing w:val="-1"/>
          <w:sz w:val="24"/>
        </w:rPr>
        <w:t>e</w:t>
      </w:r>
      <w:r>
        <w:rPr>
          <w:w w:val="99"/>
          <w:sz w:val="24"/>
        </w:rPr>
        <w:t>s</w:t>
      </w:r>
      <w:r>
        <w:rPr>
          <w:spacing w:val="21"/>
          <w:sz w:val="24"/>
        </w:rPr>
        <w:t> </w:t>
      </w:r>
      <w:r>
        <w:rPr>
          <w:sz w:val="24"/>
        </w:rPr>
        <w:t>subj</w:t>
      </w:r>
      <w:r>
        <w:rPr>
          <w:spacing w:val="-1"/>
          <w:sz w:val="24"/>
        </w:rPr>
        <w:t>ace</w:t>
      </w:r>
      <w:r>
        <w:rPr>
          <w:sz w:val="24"/>
        </w:rPr>
        <w:t>n</w:t>
      </w:r>
      <w:r>
        <w:rPr>
          <w:spacing w:val="2"/>
          <w:sz w:val="24"/>
        </w:rPr>
        <w:t>t</w:t>
      </w:r>
      <w:r>
        <w:rPr>
          <w:spacing w:val="-1"/>
          <w:sz w:val="24"/>
        </w:rPr>
        <w:t>e</w:t>
      </w:r>
      <w:r>
        <w:rPr>
          <w:w w:val="99"/>
          <w:sz w:val="24"/>
        </w:rPr>
        <w:t>s</w:t>
      </w:r>
      <w:r>
        <w:rPr>
          <w:spacing w:val="23"/>
          <w:sz w:val="24"/>
        </w:rPr>
        <w:t> </w:t>
      </w:r>
      <w:r>
        <w:rPr>
          <w:sz w:val="24"/>
        </w:rPr>
        <w:t>a</w:t>
      </w:r>
      <w:r>
        <w:rPr>
          <w:spacing w:val="-1"/>
          <w:sz w:val="24"/>
        </w:rPr>
        <w:t>̀</w:t>
      </w:r>
      <w:r>
        <w:rPr>
          <w:w w:val="99"/>
          <w:sz w:val="24"/>
        </w:rPr>
        <w:t>s</w:t>
      </w:r>
      <w:r>
        <w:rPr>
          <w:spacing w:val="21"/>
          <w:sz w:val="24"/>
        </w:rPr>
        <w:t> </w:t>
      </w:r>
      <w:r>
        <w:rPr>
          <w:sz w:val="24"/>
        </w:rPr>
        <w:t>d</w:t>
      </w:r>
      <w:r>
        <w:rPr>
          <w:spacing w:val="-1"/>
          <w:sz w:val="24"/>
        </w:rPr>
        <w:t>e</w:t>
      </w:r>
      <w:r>
        <w:rPr>
          <w:sz w:val="24"/>
        </w:rPr>
        <w:t>monstr</w:t>
      </w:r>
      <w:r>
        <w:rPr>
          <w:spacing w:val="-1"/>
          <w:sz w:val="24"/>
        </w:rPr>
        <w:t>a</w:t>
      </w:r>
      <w:r>
        <w:rPr>
          <w:w w:val="36"/>
          <w:sz w:val="24"/>
        </w:rPr>
        <w:t>c</w:t>
      </w:r>
      <w:r>
        <w:rPr>
          <w:spacing w:val="-1"/>
          <w:w w:val="36"/>
          <w:sz w:val="24"/>
        </w:rPr>
        <w:t>̧</w:t>
      </w:r>
      <w:r>
        <w:rPr>
          <w:sz w:val="24"/>
        </w:rPr>
        <w:t>o</w:t>
      </w:r>
      <w:r>
        <w:rPr>
          <w:spacing w:val="2"/>
          <w:sz w:val="24"/>
        </w:rPr>
        <w:t>̃</w:t>
      </w:r>
      <w:r>
        <w:rPr>
          <w:spacing w:val="-1"/>
          <w:sz w:val="24"/>
        </w:rPr>
        <w:t>e</w:t>
      </w:r>
      <w:r>
        <w:rPr>
          <w:w w:val="99"/>
          <w:sz w:val="24"/>
        </w:rPr>
        <w:t>s</w:t>
      </w:r>
      <w:r>
        <w:rPr>
          <w:spacing w:val="21"/>
          <w:sz w:val="24"/>
        </w:rPr>
        <w:t> </w:t>
      </w:r>
      <w:r>
        <w:rPr>
          <w:spacing w:val="-1"/>
          <w:sz w:val="24"/>
        </w:rPr>
        <w:t>c</w:t>
      </w:r>
      <w:r>
        <w:rPr>
          <w:sz w:val="24"/>
        </w:rPr>
        <w:t>o</w:t>
      </w:r>
      <w:r>
        <w:rPr>
          <w:spacing w:val="2"/>
          <w:sz w:val="24"/>
        </w:rPr>
        <w:t>n</w:t>
      </w:r>
      <w:r>
        <w:rPr>
          <w:spacing w:val="1"/>
          <w:sz w:val="24"/>
        </w:rPr>
        <w:t>t</w:t>
      </w:r>
      <w:r>
        <w:rPr>
          <w:sz w:val="24"/>
        </w:rPr>
        <w:t>a</w:t>
      </w:r>
      <w:r>
        <w:rPr>
          <w:spacing w:val="-1"/>
          <w:sz w:val="24"/>
        </w:rPr>
        <w:t>́</w:t>
      </w:r>
      <w:r>
        <w:rPr>
          <w:sz w:val="24"/>
        </w:rPr>
        <w:t>b</w:t>
      </w:r>
      <w:r>
        <w:rPr>
          <w:spacing w:val="-1"/>
          <w:sz w:val="24"/>
        </w:rPr>
        <w:t>e</w:t>
      </w:r>
      <w:r>
        <w:rPr>
          <w:w w:val="99"/>
          <w:sz w:val="24"/>
        </w:rPr>
        <w:t>is</w:t>
      </w:r>
      <w:r>
        <w:rPr>
          <w:spacing w:val="22"/>
          <w:sz w:val="24"/>
        </w:rPr>
        <w:t> </w:t>
      </w:r>
      <w:r>
        <w:rPr>
          <w:sz w:val="24"/>
        </w:rPr>
        <w:t>e</w:t>
      </w:r>
      <w:r>
        <w:rPr>
          <w:spacing w:val="20"/>
          <w:sz w:val="24"/>
        </w:rPr>
        <w:t> </w:t>
      </w:r>
      <w:r>
        <w:rPr>
          <w:spacing w:val="-23"/>
          <w:w w:val="99"/>
          <w:sz w:val="24"/>
        </w:rPr>
        <w:t>os</w:t>
      </w:r>
      <w:r>
        <w:rPr>
          <w:w w:val="99"/>
          <w:sz w:val="24"/>
        </w:rPr>
        <w:t> </w:t>
      </w:r>
      <w:r>
        <w:rPr>
          <w:sz w:val="24"/>
        </w:rPr>
        <w:t>atos de gestão relevantes dos responsáveis pelo TRE-BA relativos aos processos de compras e contratações estão desconformes com as leis e regulamentos aplicáveis e </w:t>
      </w:r>
      <w:r>
        <w:rPr>
          <w:spacing w:val="-1"/>
          <w:sz w:val="24"/>
        </w:rPr>
        <w:t>c</w:t>
      </w:r>
      <w:r>
        <w:rPr>
          <w:sz w:val="24"/>
        </w:rPr>
        <w:t>om </w:t>
      </w:r>
      <w:r>
        <w:rPr>
          <w:w w:val="99"/>
          <w:sz w:val="24"/>
        </w:rPr>
        <w:t>os</w:t>
      </w:r>
      <w:r>
        <w:rPr>
          <w:sz w:val="24"/>
        </w:rPr>
        <w:t> prin</w:t>
      </w:r>
      <w:r>
        <w:rPr>
          <w:spacing w:val="-1"/>
          <w:sz w:val="24"/>
        </w:rPr>
        <w:t>c</w:t>
      </w:r>
      <w:r>
        <w:rPr>
          <w:sz w:val="24"/>
        </w:rPr>
        <w:t>ípios de</w:t>
      </w:r>
      <w:r>
        <w:rPr>
          <w:spacing w:val="-1"/>
          <w:sz w:val="24"/>
        </w:rPr>
        <w:t> a</w:t>
      </w:r>
      <w:r>
        <w:rPr>
          <w:spacing w:val="2"/>
          <w:sz w:val="24"/>
        </w:rPr>
        <w:t>d</w:t>
      </w:r>
      <w:r>
        <w:rPr>
          <w:sz w:val="24"/>
        </w:rPr>
        <w:t>mi</w:t>
      </w:r>
      <w:r>
        <w:rPr>
          <w:w w:val="99"/>
          <w:sz w:val="24"/>
        </w:rPr>
        <w:t>nist</w:t>
      </w:r>
      <w:r>
        <w:rPr>
          <w:w w:val="99"/>
          <w:sz w:val="24"/>
        </w:rPr>
        <w:t>r</w:t>
      </w:r>
      <w:r>
        <w:rPr>
          <w:spacing w:val="-1"/>
          <w:w w:val="99"/>
          <w:sz w:val="24"/>
        </w:rPr>
        <w:t>a</w:t>
      </w:r>
      <w:r>
        <w:rPr>
          <w:w w:val="36"/>
          <w:sz w:val="24"/>
        </w:rPr>
        <w:t>c</w:t>
      </w:r>
      <w:r>
        <w:rPr>
          <w:spacing w:val="-1"/>
          <w:w w:val="36"/>
          <w:sz w:val="24"/>
        </w:rPr>
        <w:t>̧</w:t>
      </w:r>
      <w:r>
        <w:rPr>
          <w:sz w:val="24"/>
        </w:rPr>
        <w:t>a</w:t>
      </w:r>
      <w:r>
        <w:rPr>
          <w:spacing w:val="-1"/>
          <w:sz w:val="24"/>
        </w:rPr>
        <w:t>̃</w:t>
      </w:r>
      <w:r>
        <w:rPr>
          <w:sz w:val="24"/>
        </w:rPr>
        <w:t>o públi</w:t>
      </w:r>
      <w:r>
        <w:rPr>
          <w:spacing w:val="-1"/>
          <w:sz w:val="24"/>
        </w:rPr>
        <w:t>ca</w:t>
      </w:r>
      <w:r>
        <w:rPr>
          <w:sz w:val="24"/>
        </w:rPr>
        <w:t>.</w:t>
      </w:r>
    </w:p>
    <w:p>
      <w:pPr>
        <w:pStyle w:val="ListParagraph"/>
        <w:numPr>
          <w:ilvl w:val="4"/>
          <w:numId w:val="6"/>
        </w:numPr>
        <w:tabs>
          <w:tab w:pos="1199" w:val="left" w:leader="none"/>
        </w:tabs>
        <w:spacing w:line="240" w:lineRule="auto" w:before="0" w:after="0"/>
        <w:ind w:left="1198" w:right="0" w:hanging="1081"/>
        <w:jc w:val="both"/>
        <w:rPr>
          <w:sz w:val="24"/>
        </w:rPr>
      </w:pPr>
      <w:r>
        <w:rPr>
          <w:sz w:val="24"/>
        </w:rPr>
        <w:t>Origem da demanda:</w:t>
      </w:r>
      <w:r>
        <w:rPr>
          <w:spacing w:val="-2"/>
          <w:sz w:val="24"/>
        </w:rPr>
        <w:t> </w:t>
      </w:r>
      <w:r>
        <w:rPr>
          <w:sz w:val="24"/>
        </w:rPr>
        <w:t>TCU.</w:t>
      </w:r>
    </w:p>
    <w:p>
      <w:pPr>
        <w:pStyle w:val="ListParagraph"/>
        <w:numPr>
          <w:ilvl w:val="4"/>
          <w:numId w:val="6"/>
        </w:numPr>
        <w:tabs>
          <w:tab w:pos="1199" w:val="left" w:leader="none"/>
        </w:tabs>
        <w:spacing w:line="240" w:lineRule="auto" w:before="0" w:after="0"/>
        <w:ind w:left="1198" w:right="369" w:hanging="1080"/>
        <w:jc w:val="both"/>
        <w:rPr>
          <w:sz w:val="24"/>
        </w:rPr>
      </w:pPr>
      <w:r>
        <w:rPr>
          <w:sz w:val="24"/>
        </w:rPr>
        <w:t>Obj</w:t>
      </w:r>
      <w:r>
        <w:rPr>
          <w:spacing w:val="-1"/>
          <w:sz w:val="24"/>
        </w:rPr>
        <w:t>e</w:t>
      </w:r>
      <w:r>
        <w:rPr>
          <w:sz w:val="24"/>
        </w:rPr>
        <w:t>tivo</w:t>
      </w:r>
      <w:r>
        <w:rPr>
          <w:spacing w:val="-3"/>
          <w:sz w:val="24"/>
        </w:rPr>
        <w:t> </w:t>
      </w:r>
      <w:r>
        <w:rPr>
          <w:sz w:val="24"/>
        </w:rPr>
        <w:t>pr</w:t>
      </w:r>
      <w:r>
        <w:rPr>
          <w:spacing w:val="-2"/>
          <w:sz w:val="24"/>
        </w:rPr>
        <w:t>e</w:t>
      </w:r>
      <w:r>
        <w:rPr>
          <w:sz w:val="24"/>
        </w:rPr>
        <w:t>limin</w:t>
      </w:r>
      <w:r>
        <w:rPr>
          <w:spacing w:val="-1"/>
          <w:sz w:val="24"/>
        </w:rPr>
        <w:t>a</w:t>
      </w:r>
      <w:r>
        <w:rPr>
          <w:sz w:val="24"/>
        </w:rPr>
        <w:t>r:</w:t>
      </w:r>
      <w:r>
        <w:rPr>
          <w:spacing w:val="-3"/>
          <w:sz w:val="24"/>
        </w:rPr>
        <w:t> </w:t>
      </w:r>
      <w:r>
        <w:rPr>
          <w:sz w:val="24"/>
        </w:rPr>
        <w:t>v</w:t>
      </w:r>
      <w:r>
        <w:rPr>
          <w:spacing w:val="-1"/>
          <w:sz w:val="24"/>
        </w:rPr>
        <w:t>e</w:t>
      </w:r>
      <w:r>
        <w:rPr>
          <w:sz w:val="24"/>
        </w:rPr>
        <w:t>r</w:t>
      </w:r>
      <w:r>
        <w:rPr>
          <w:spacing w:val="1"/>
          <w:sz w:val="24"/>
        </w:rPr>
        <w:t>i</w:t>
      </w:r>
      <w:r>
        <w:rPr>
          <w:sz w:val="24"/>
        </w:rPr>
        <w:t>fi</w:t>
      </w:r>
      <w:r>
        <w:rPr>
          <w:spacing w:val="-2"/>
          <w:sz w:val="24"/>
        </w:rPr>
        <w:t>c</w:t>
      </w:r>
      <w:r>
        <w:rPr>
          <w:spacing w:val="-1"/>
          <w:sz w:val="24"/>
        </w:rPr>
        <w:t>a</w:t>
      </w:r>
      <w:r>
        <w:rPr>
          <w:sz w:val="24"/>
        </w:rPr>
        <w:t>r</w:t>
      </w:r>
      <w:r>
        <w:rPr>
          <w:spacing w:val="-2"/>
          <w:sz w:val="24"/>
        </w:rPr>
        <w:t> </w:t>
      </w:r>
      <w:r>
        <w:rPr>
          <w:w w:val="99"/>
          <w:sz w:val="24"/>
        </w:rPr>
        <w:t>se</w:t>
      </w:r>
      <w:r>
        <w:rPr>
          <w:spacing w:val="-1"/>
          <w:sz w:val="24"/>
        </w:rPr>
        <w:t> a</w:t>
      </w:r>
      <w:r>
        <w:rPr>
          <w:w w:val="99"/>
          <w:sz w:val="24"/>
        </w:rPr>
        <w:t>s</w:t>
      </w:r>
      <w:r>
        <w:rPr>
          <w:spacing w:val="-3"/>
          <w:sz w:val="24"/>
        </w:rPr>
        <w:t> </w:t>
      </w:r>
      <w:r>
        <w:rPr>
          <w:sz w:val="24"/>
        </w:rPr>
        <w:t>tr</w:t>
      </w:r>
      <w:r>
        <w:rPr>
          <w:spacing w:val="-2"/>
          <w:sz w:val="24"/>
        </w:rPr>
        <w:t>a</w:t>
      </w:r>
      <w:r>
        <w:rPr>
          <w:w w:val="99"/>
          <w:sz w:val="24"/>
        </w:rPr>
        <w:t>ns</w:t>
      </w:r>
      <w:r>
        <w:rPr>
          <w:spacing w:val="2"/>
          <w:w w:val="99"/>
          <w:sz w:val="24"/>
        </w:rPr>
        <w:t>a</w:t>
      </w:r>
      <w:r>
        <w:rPr>
          <w:w w:val="36"/>
          <w:sz w:val="24"/>
        </w:rPr>
        <w:t>c</w:t>
      </w:r>
      <w:r>
        <w:rPr>
          <w:spacing w:val="-1"/>
          <w:w w:val="36"/>
          <w:sz w:val="24"/>
        </w:rPr>
        <w:t>̧</w:t>
      </w:r>
      <w:r>
        <w:rPr>
          <w:sz w:val="24"/>
        </w:rPr>
        <w:t>õ</w:t>
      </w:r>
      <w:r>
        <w:rPr>
          <w:spacing w:val="-1"/>
          <w:sz w:val="24"/>
        </w:rPr>
        <w:t>e</w:t>
      </w:r>
      <w:r>
        <w:rPr>
          <w:w w:val="99"/>
          <w:sz w:val="24"/>
        </w:rPr>
        <w:t>s</w:t>
      </w:r>
      <w:r>
        <w:rPr>
          <w:spacing w:val="-3"/>
          <w:sz w:val="24"/>
        </w:rPr>
        <w:t> </w:t>
      </w:r>
      <w:r>
        <w:rPr>
          <w:w w:val="99"/>
          <w:sz w:val="24"/>
        </w:rPr>
        <w:t>su</w:t>
      </w:r>
      <w:r>
        <w:rPr>
          <w:spacing w:val="2"/>
          <w:w w:val="99"/>
          <w:sz w:val="24"/>
        </w:rPr>
        <w:t>b</w:t>
      </w:r>
      <w:r>
        <w:rPr>
          <w:sz w:val="24"/>
        </w:rPr>
        <w:t>ja</w:t>
      </w:r>
      <w:r>
        <w:rPr>
          <w:spacing w:val="-2"/>
          <w:sz w:val="24"/>
        </w:rPr>
        <w:t>c</w:t>
      </w:r>
      <w:r>
        <w:rPr>
          <w:spacing w:val="-1"/>
          <w:sz w:val="24"/>
        </w:rPr>
        <w:t>e</w:t>
      </w:r>
      <w:r>
        <w:rPr>
          <w:sz w:val="24"/>
        </w:rPr>
        <w:t>ntes</w:t>
      </w:r>
      <w:r>
        <w:rPr>
          <w:spacing w:val="-3"/>
          <w:sz w:val="24"/>
        </w:rPr>
        <w:t> </w:t>
      </w:r>
      <w:r>
        <w:rPr>
          <w:sz w:val="24"/>
        </w:rPr>
        <w:t>a</w:t>
      </w:r>
      <w:r>
        <w:rPr>
          <w:spacing w:val="-1"/>
          <w:sz w:val="24"/>
        </w:rPr>
        <w:t>̀</w:t>
      </w:r>
      <w:r>
        <w:rPr>
          <w:w w:val="99"/>
          <w:sz w:val="24"/>
        </w:rPr>
        <w:t>s</w:t>
      </w:r>
      <w:r>
        <w:rPr>
          <w:spacing w:val="-3"/>
          <w:sz w:val="24"/>
        </w:rPr>
        <w:t> </w:t>
      </w:r>
      <w:r>
        <w:rPr>
          <w:spacing w:val="2"/>
          <w:sz w:val="24"/>
        </w:rPr>
        <w:t>d</w:t>
      </w:r>
      <w:r>
        <w:rPr>
          <w:spacing w:val="-1"/>
          <w:sz w:val="24"/>
        </w:rPr>
        <w:t>e</w:t>
      </w:r>
      <w:r>
        <w:rPr>
          <w:sz w:val="24"/>
        </w:rPr>
        <w:t>monstr</w:t>
      </w:r>
      <w:r>
        <w:rPr>
          <w:spacing w:val="-1"/>
          <w:sz w:val="24"/>
        </w:rPr>
        <w:t>a</w:t>
      </w:r>
      <w:r>
        <w:rPr>
          <w:w w:val="36"/>
          <w:sz w:val="24"/>
        </w:rPr>
        <w:t>c</w:t>
      </w:r>
      <w:r>
        <w:rPr>
          <w:spacing w:val="-1"/>
          <w:w w:val="36"/>
          <w:sz w:val="24"/>
        </w:rPr>
        <w:t>̧</w:t>
      </w:r>
      <w:r>
        <w:rPr>
          <w:sz w:val="24"/>
        </w:rPr>
        <w:t>o</w:t>
      </w:r>
      <w:r>
        <w:rPr>
          <w:spacing w:val="2"/>
          <w:sz w:val="24"/>
        </w:rPr>
        <w:t>̃</w:t>
      </w:r>
      <w:r>
        <w:rPr>
          <w:spacing w:val="1"/>
          <w:sz w:val="24"/>
        </w:rPr>
        <w:t>e</w:t>
      </w:r>
      <w:r>
        <w:rPr>
          <w:w w:val="99"/>
          <w:sz w:val="24"/>
        </w:rPr>
        <w:t>s</w:t>
      </w:r>
      <w:r>
        <w:rPr>
          <w:spacing w:val="-3"/>
          <w:sz w:val="24"/>
        </w:rPr>
        <w:t> </w:t>
      </w:r>
      <w:r>
        <w:rPr>
          <w:spacing w:val="-5"/>
          <w:sz w:val="24"/>
        </w:rPr>
        <w:t>c</w:t>
      </w:r>
      <w:r>
        <w:rPr>
          <w:spacing w:val="-4"/>
          <w:sz w:val="24"/>
        </w:rPr>
        <w:t>onta</w:t>
      </w:r>
      <w:r>
        <w:rPr>
          <w:spacing w:val="-5"/>
          <w:sz w:val="24"/>
        </w:rPr>
        <w:t>́</w:t>
      </w:r>
      <w:r>
        <w:rPr>
          <w:spacing w:val="-4"/>
          <w:sz w:val="24"/>
        </w:rPr>
        <w:t>b</w:t>
      </w:r>
      <w:r>
        <w:rPr>
          <w:spacing w:val="-5"/>
          <w:sz w:val="24"/>
        </w:rPr>
        <w:t>e</w:t>
      </w:r>
      <w:r>
        <w:rPr>
          <w:spacing w:val="-4"/>
          <w:w w:val="99"/>
          <w:sz w:val="24"/>
        </w:rPr>
        <w:t>is</w:t>
      </w:r>
      <w:r>
        <w:rPr>
          <w:w w:val="99"/>
          <w:sz w:val="24"/>
        </w:rPr>
        <w:t> </w:t>
      </w:r>
      <w:r>
        <w:rPr>
          <w:sz w:val="24"/>
        </w:rPr>
        <w:t>e os atos de gestão relevantes dos responsáveis pelo TRE-BA relativos aos processos de</w:t>
      </w:r>
      <w:r>
        <w:rPr>
          <w:spacing w:val="-10"/>
          <w:sz w:val="24"/>
        </w:rPr>
        <w:t> </w:t>
      </w:r>
      <w:r>
        <w:rPr>
          <w:sz w:val="24"/>
        </w:rPr>
        <w:t>compras</w:t>
      </w:r>
      <w:r>
        <w:rPr>
          <w:spacing w:val="-8"/>
          <w:sz w:val="24"/>
        </w:rPr>
        <w:t> </w:t>
      </w:r>
      <w:r>
        <w:rPr>
          <w:sz w:val="24"/>
        </w:rPr>
        <w:t>e</w:t>
      </w:r>
      <w:r>
        <w:rPr>
          <w:spacing w:val="-9"/>
          <w:sz w:val="24"/>
        </w:rPr>
        <w:t> </w:t>
      </w:r>
      <w:r>
        <w:rPr>
          <w:sz w:val="24"/>
        </w:rPr>
        <w:t>contratações</w:t>
      </w:r>
      <w:r>
        <w:rPr>
          <w:spacing w:val="-8"/>
          <w:sz w:val="24"/>
        </w:rPr>
        <w:t> </w:t>
      </w:r>
      <w:r>
        <w:rPr>
          <w:sz w:val="24"/>
        </w:rPr>
        <w:t>estão</w:t>
      </w:r>
      <w:r>
        <w:rPr>
          <w:spacing w:val="-9"/>
          <w:sz w:val="24"/>
        </w:rPr>
        <w:t> </w:t>
      </w:r>
      <w:r>
        <w:rPr>
          <w:sz w:val="24"/>
        </w:rPr>
        <w:t>de</w:t>
      </w:r>
      <w:r>
        <w:rPr>
          <w:spacing w:val="-9"/>
          <w:sz w:val="24"/>
        </w:rPr>
        <w:t> </w:t>
      </w:r>
      <w:r>
        <w:rPr>
          <w:sz w:val="24"/>
        </w:rPr>
        <w:t>acordo</w:t>
      </w:r>
      <w:r>
        <w:rPr>
          <w:spacing w:val="-9"/>
          <w:sz w:val="24"/>
        </w:rPr>
        <w:t> </w:t>
      </w:r>
      <w:r>
        <w:rPr>
          <w:sz w:val="24"/>
        </w:rPr>
        <w:t>com</w:t>
      </w:r>
      <w:r>
        <w:rPr>
          <w:spacing w:val="-8"/>
          <w:sz w:val="24"/>
        </w:rPr>
        <w:t> </w:t>
      </w:r>
      <w:r>
        <w:rPr>
          <w:sz w:val="24"/>
        </w:rPr>
        <w:t>as</w:t>
      </w:r>
      <w:r>
        <w:rPr>
          <w:spacing w:val="-5"/>
          <w:sz w:val="24"/>
        </w:rPr>
        <w:t> </w:t>
      </w:r>
      <w:r>
        <w:rPr>
          <w:sz w:val="24"/>
        </w:rPr>
        <w:t>leis</w:t>
      </w:r>
      <w:r>
        <w:rPr>
          <w:spacing w:val="-8"/>
          <w:sz w:val="24"/>
        </w:rPr>
        <w:t> </w:t>
      </w:r>
      <w:r>
        <w:rPr>
          <w:sz w:val="24"/>
        </w:rPr>
        <w:t>e</w:t>
      </w:r>
      <w:r>
        <w:rPr>
          <w:spacing w:val="-10"/>
          <w:sz w:val="24"/>
        </w:rPr>
        <w:t> </w:t>
      </w:r>
      <w:r>
        <w:rPr>
          <w:sz w:val="24"/>
        </w:rPr>
        <w:t>regulamentos</w:t>
      </w:r>
      <w:r>
        <w:rPr>
          <w:spacing w:val="-7"/>
          <w:sz w:val="24"/>
        </w:rPr>
        <w:t> </w:t>
      </w:r>
      <w:r>
        <w:rPr>
          <w:sz w:val="24"/>
        </w:rPr>
        <w:t>aplicáveis</w:t>
      </w:r>
      <w:r>
        <w:rPr>
          <w:spacing w:val="-8"/>
          <w:sz w:val="24"/>
        </w:rPr>
        <w:t> </w:t>
      </w:r>
      <w:r>
        <w:rPr>
          <w:sz w:val="24"/>
        </w:rPr>
        <w:t>e</w:t>
      </w:r>
      <w:r>
        <w:rPr>
          <w:spacing w:val="-10"/>
          <w:sz w:val="24"/>
        </w:rPr>
        <w:t> </w:t>
      </w:r>
      <w:r>
        <w:rPr>
          <w:sz w:val="24"/>
        </w:rPr>
        <w:t>com </w:t>
      </w:r>
      <w:r>
        <w:rPr>
          <w:w w:val="99"/>
          <w:sz w:val="24"/>
        </w:rPr>
        <w:t>os</w:t>
      </w:r>
      <w:r>
        <w:rPr>
          <w:spacing w:val="12"/>
          <w:sz w:val="24"/>
        </w:rPr>
        <w:t> </w:t>
      </w:r>
      <w:r>
        <w:rPr>
          <w:sz w:val="24"/>
        </w:rPr>
        <w:t>prin</w:t>
      </w:r>
      <w:r>
        <w:rPr>
          <w:spacing w:val="-1"/>
          <w:sz w:val="24"/>
        </w:rPr>
        <w:t>c</w:t>
      </w:r>
      <w:r>
        <w:rPr>
          <w:sz w:val="24"/>
        </w:rPr>
        <w:t>ípios</w:t>
      </w:r>
      <w:r>
        <w:rPr>
          <w:spacing w:val="12"/>
          <w:sz w:val="24"/>
        </w:rPr>
        <w:t> </w:t>
      </w:r>
      <w:r>
        <w:rPr>
          <w:sz w:val="24"/>
        </w:rPr>
        <w:t>de</w:t>
      </w:r>
      <w:r>
        <w:rPr>
          <w:spacing w:val="10"/>
          <w:sz w:val="24"/>
        </w:rPr>
        <w:t> </w:t>
      </w:r>
      <w:r>
        <w:rPr>
          <w:spacing w:val="-1"/>
          <w:sz w:val="24"/>
        </w:rPr>
        <w:t>a</w:t>
      </w:r>
      <w:r>
        <w:rPr>
          <w:sz w:val="24"/>
        </w:rPr>
        <w:t>dmi</w:t>
      </w:r>
      <w:r>
        <w:rPr>
          <w:w w:val="99"/>
          <w:sz w:val="24"/>
        </w:rPr>
        <w:t>ni</w:t>
      </w:r>
      <w:r>
        <w:rPr>
          <w:spacing w:val="-2"/>
          <w:w w:val="99"/>
          <w:sz w:val="24"/>
        </w:rPr>
        <w:t>s</w:t>
      </w:r>
      <w:r>
        <w:rPr>
          <w:spacing w:val="-2"/>
          <w:sz w:val="24"/>
        </w:rPr>
        <w:t>t</w:t>
      </w:r>
      <w:r>
        <w:rPr>
          <w:sz w:val="24"/>
        </w:rPr>
        <w:t>r</w:t>
      </w:r>
      <w:r>
        <w:rPr>
          <w:spacing w:val="-1"/>
          <w:sz w:val="24"/>
        </w:rPr>
        <w:t>a</w:t>
      </w:r>
      <w:r>
        <w:rPr>
          <w:w w:val="36"/>
          <w:sz w:val="24"/>
        </w:rPr>
        <w:t>c</w:t>
      </w:r>
      <w:r>
        <w:rPr>
          <w:spacing w:val="-1"/>
          <w:w w:val="36"/>
          <w:sz w:val="24"/>
        </w:rPr>
        <w:t>̧</w:t>
      </w:r>
      <w:r>
        <w:rPr>
          <w:sz w:val="24"/>
        </w:rPr>
        <w:t>a</w:t>
      </w:r>
      <w:r>
        <w:rPr>
          <w:spacing w:val="-1"/>
          <w:sz w:val="24"/>
        </w:rPr>
        <w:t>̃</w:t>
      </w:r>
      <w:r>
        <w:rPr>
          <w:sz w:val="24"/>
        </w:rPr>
        <w:t>o</w:t>
      </w:r>
      <w:r>
        <w:rPr>
          <w:spacing w:val="11"/>
          <w:sz w:val="24"/>
        </w:rPr>
        <w:t> </w:t>
      </w:r>
      <w:r>
        <w:rPr>
          <w:sz w:val="24"/>
        </w:rPr>
        <w:t>públi</w:t>
      </w:r>
      <w:r>
        <w:rPr>
          <w:spacing w:val="-1"/>
          <w:sz w:val="24"/>
        </w:rPr>
        <w:t>c</w:t>
      </w:r>
      <w:r>
        <w:rPr>
          <w:sz w:val="24"/>
        </w:rPr>
        <w:t>a</w:t>
      </w:r>
      <w:r>
        <w:rPr>
          <w:spacing w:val="10"/>
          <w:sz w:val="24"/>
        </w:rPr>
        <w:t> </w:t>
      </w:r>
      <w:r>
        <w:rPr>
          <w:sz w:val="24"/>
        </w:rPr>
        <w:t>que</w:t>
      </w:r>
      <w:r>
        <w:rPr>
          <w:spacing w:val="10"/>
          <w:sz w:val="24"/>
        </w:rPr>
        <w:t> </w:t>
      </w:r>
      <w:r>
        <w:rPr>
          <w:spacing w:val="1"/>
          <w:sz w:val="24"/>
        </w:rPr>
        <w:t>r</w:t>
      </w:r>
      <w:r>
        <w:rPr>
          <w:spacing w:val="-1"/>
          <w:sz w:val="24"/>
        </w:rPr>
        <w:t>e</w:t>
      </w:r>
      <w:r>
        <w:rPr>
          <w:sz w:val="24"/>
        </w:rPr>
        <w:t>g</w:t>
      </w:r>
      <w:r>
        <w:rPr>
          <w:spacing w:val="-1"/>
          <w:sz w:val="24"/>
        </w:rPr>
        <w:t>e</w:t>
      </w:r>
      <w:r>
        <w:rPr>
          <w:sz w:val="24"/>
        </w:rPr>
        <w:t>m</w:t>
      </w:r>
      <w:r>
        <w:rPr>
          <w:spacing w:val="12"/>
          <w:sz w:val="24"/>
        </w:rPr>
        <w:t> </w:t>
      </w:r>
      <w:r>
        <w:rPr>
          <w:sz w:val="24"/>
        </w:rPr>
        <w:t>a</w:t>
      </w:r>
      <w:r>
        <w:rPr>
          <w:spacing w:val="10"/>
          <w:sz w:val="24"/>
        </w:rPr>
        <w:t> </w:t>
      </w:r>
      <w:r>
        <w:rPr>
          <w:sz w:val="24"/>
        </w:rPr>
        <w:t>g</w:t>
      </w:r>
      <w:r>
        <w:rPr>
          <w:spacing w:val="-1"/>
          <w:sz w:val="24"/>
        </w:rPr>
        <w:t>e</w:t>
      </w:r>
      <w:r>
        <w:rPr>
          <w:w w:val="99"/>
          <w:sz w:val="24"/>
        </w:rPr>
        <w:t>s</w:t>
      </w:r>
      <w:r>
        <w:rPr>
          <w:spacing w:val="2"/>
          <w:w w:val="99"/>
          <w:sz w:val="24"/>
        </w:rPr>
        <w:t>t</w:t>
      </w:r>
      <w:r>
        <w:rPr>
          <w:sz w:val="24"/>
        </w:rPr>
        <w:t>a</w:t>
      </w:r>
      <w:r>
        <w:rPr>
          <w:spacing w:val="-1"/>
          <w:sz w:val="24"/>
        </w:rPr>
        <w:t>̃</w:t>
      </w:r>
      <w:r>
        <w:rPr>
          <w:sz w:val="24"/>
        </w:rPr>
        <w:t>o</w:t>
      </w:r>
      <w:r>
        <w:rPr>
          <w:spacing w:val="11"/>
          <w:sz w:val="24"/>
        </w:rPr>
        <w:t> </w:t>
      </w:r>
      <w:r>
        <w:rPr>
          <w:sz w:val="24"/>
        </w:rPr>
        <w:t>fin</w:t>
      </w:r>
      <w:r>
        <w:rPr>
          <w:spacing w:val="-2"/>
          <w:sz w:val="24"/>
        </w:rPr>
        <w:t>a</w:t>
      </w:r>
      <w:r>
        <w:rPr>
          <w:sz w:val="24"/>
        </w:rPr>
        <w:t>n</w:t>
      </w:r>
      <w:r>
        <w:rPr>
          <w:spacing w:val="-1"/>
          <w:sz w:val="24"/>
        </w:rPr>
        <w:t>ce</w:t>
      </w:r>
      <w:r>
        <w:rPr>
          <w:sz w:val="24"/>
        </w:rPr>
        <w:t>i</w:t>
      </w:r>
      <w:r>
        <w:rPr>
          <w:spacing w:val="1"/>
          <w:sz w:val="24"/>
        </w:rPr>
        <w:t>r</w:t>
      </w:r>
      <w:r>
        <w:rPr>
          <w:sz w:val="24"/>
        </w:rPr>
        <w:t>a</w:t>
      </w:r>
      <w:r>
        <w:rPr>
          <w:spacing w:val="10"/>
          <w:sz w:val="24"/>
        </w:rPr>
        <w:t> </w:t>
      </w:r>
      <w:r>
        <w:rPr>
          <w:sz w:val="24"/>
        </w:rPr>
        <w:t>r</w:t>
      </w:r>
      <w:r>
        <w:rPr>
          <w:spacing w:val="-2"/>
          <w:sz w:val="24"/>
        </w:rPr>
        <w:t>e</w:t>
      </w:r>
      <w:r>
        <w:rPr>
          <w:w w:val="99"/>
          <w:sz w:val="24"/>
        </w:rPr>
        <w:t>sp</w:t>
      </w:r>
      <w:r>
        <w:rPr>
          <w:spacing w:val="2"/>
          <w:w w:val="99"/>
          <w:sz w:val="24"/>
        </w:rPr>
        <w:t>o</w:t>
      </w:r>
      <w:r>
        <w:rPr>
          <w:w w:val="99"/>
          <w:sz w:val="24"/>
        </w:rPr>
        <w:t>n</w:t>
      </w:r>
      <w:r>
        <w:rPr>
          <w:spacing w:val="1"/>
          <w:w w:val="99"/>
          <w:sz w:val="24"/>
        </w:rPr>
        <w:t>s</w:t>
      </w:r>
      <w:r>
        <w:rPr>
          <w:sz w:val="24"/>
        </w:rPr>
        <w:t>a</w:t>
      </w:r>
      <w:r>
        <w:rPr>
          <w:spacing w:val="-1"/>
          <w:sz w:val="24"/>
        </w:rPr>
        <w:t>́</w:t>
      </w:r>
      <w:r>
        <w:rPr>
          <w:sz w:val="24"/>
        </w:rPr>
        <w:t>v</w:t>
      </w:r>
      <w:r>
        <w:rPr>
          <w:spacing w:val="-1"/>
          <w:sz w:val="24"/>
        </w:rPr>
        <w:t>e</w:t>
      </w:r>
      <w:r>
        <w:rPr>
          <w:sz w:val="24"/>
        </w:rPr>
        <w:t>l</w:t>
      </w:r>
      <w:r>
        <w:rPr>
          <w:spacing w:val="12"/>
          <w:sz w:val="24"/>
        </w:rPr>
        <w:t> </w:t>
      </w:r>
      <w:r>
        <w:rPr>
          <w:sz w:val="24"/>
        </w:rPr>
        <w:t>e</w:t>
      </w:r>
      <w:r>
        <w:rPr>
          <w:spacing w:val="10"/>
          <w:sz w:val="24"/>
        </w:rPr>
        <w:t> </w:t>
      </w:r>
      <w:r>
        <w:rPr>
          <w:spacing w:val="-22"/>
          <w:sz w:val="24"/>
        </w:rPr>
        <w:t>a</w:t>
      </w:r>
      <w:r>
        <w:rPr>
          <w:sz w:val="24"/>
        </w:rPr>
        <w:t> conduta dos agentes</w:t>
      </w:r>
      <w:r>
        <w:rPr>
          <w:spacing w:val="-1"/>
          <w:sz w:val="24"/>
        </w:rPr>
        <w:t> </w:t>
      </w:r>
      <w:r>
        <w:rPr>
          <w:sz w:val="24"/>
        </w:rPr>
        <w:t>públicos.</w:t>
      </w:r>
    </w:p>
    <w:p>
      <w:pPr>
        <w:pStyle w:val="ListParagraph"/>
        <w:numPr>
          <w:ilvl w:val="4"/>
          <w:numId w:val="6"/>
        </w:numPr>
        <w:tabs>
          <w:tab w:pos="1199" w:val="left" w:leader="none"/>
        </w:tabs>
        <w:spacing w:line="240" w:lineRule="auto" w:before="0" w:after="0"/>
        <w:ind w:left="1198" w:right="0" w:hanging="1081"/>
        <w:jc w:val="both"/>
        <w:rPr>
          <w:sz w:val="24"/>
        </w:rPr>
      </w:pPr>
      <w:r>
        <w:rPr>
          <w:spacing w:val="-4"/>
          <w:sz w:val="24"/>
        </w:rPr>
        <w:t>Carga horária</w:t>
      </w:r>
      <w:r>
        <w:rPr>
          <w:spacing w:val="-14"/>
          <w:sz w:val="24"/>
        </w:rPr>
        <w:t> </w:t>
      </w:r>
      <w:r>
        <w:rPr>
          <w:spacing w:val="-4"/>
          <w:sz w:val="24"/>
        </w:rPr>
        <w:t>prevista:</w:t>
      </w:r>
    </w:p>
    <w:p>
      <w:pPr>
        <w:pStyle w:val="ListParagraph"/>
        <w:numPr>
          <w:ilvl w:val="5"/>
          <w:numId w:val="6"/>
        </w:numPr>
        <w:tabs>
          <w:tab w:pos="1199" w:val="left" w:leader="none"/>
        </w:tabs>
        <w:spacing w:line="240" w:lineRule="auto" w:before="1" w:after="0"/>
        <w:ind w:left="1198" w:right="0" w:hanging="1081"/>
        <w:jc w:val="left"/>
        <w:rPr>
          <w:sz w:val="24"/>
        </w:rPr>
      </w:pPr>
      <w:r>
        <w:rPr>
          <w:spacing w:val="-4"/>
          <w:sz w:val="24"/>
        </w:rPr>
        <w:t>1.056 horas </w:t>
      </w:r>
      <w:r>
        <w:rPr>
          <w:sz w:val="24"/>
        </w:rPr>
        <w:t>de</w:t>
      </w:r>
      <w:r>
        <w:rPr>
          <w:spacing w:val="-18"/>
          <w:sz w:val="24"/>
        </w:rPr>
        <w:t> </w:t>
      </w:r>
      <w:r>
        <w:rPr>
          <w:spacing w:val="-5"/>
          <w:sz w:val="24"/>
        </w:rPr>
        <w:t>auditoria;</w:t>
      </w:r>
    </w:p>
    <w:p>
      <w:pPr>
        <w:pStyle w:val="ListParagraph"/>
        <w:numPr>
          <w:ilvl w:val="5"/>
          <w:numId w:val="6"/>
        </w:numPr>
        <w:tabs>
          <w:tab w:pos="1199" w:val="left" w:leader="none"/>
        </w:tabs>
        <w:spacing w:line="240" w:lineRule="auto" w:before="0" w:after="0"/>
        <w:ind w:left="1198" w:right="0" w:hanging="1081"/>
        <w:jc w:val="left"/>
        <w:rPr>
          <w:sz w:val="24"/>
        </w:rPr>
      </w:pPr>
      <w:r>
        <w:rPr>
          <w:spacing w:val="-4"/>
          <w:sz w:val="24"/>
        </w:rPr>
        <w:t>369 horas </w:t>
      </w:r>
      <w:r>
        <w:rPr>
          <w:sz w:val="24"/>
        </w:rPr>
        <w:t>de </w:t>
      </w:r>
      <w:r>
        <w:rPr>
          <w:spacing w:val="-4"/>
          <w:sz w:val="24"/>
        </w:rPr>
        <w:t>gerência;</w:t>
      </w:r>
      <w:r>
        <w:rPr>
          <w:spacing w:val="-26"/>
          <w:sz w:val="24"/>
        </w:rPr>
        <w:t> </w:t>
      </w:r>
      <w:r>
        <w:rPr>
          <w:sz w:val="24"/>
        </w:rPr>
        <w:t>e</w:t>
      </w:r>
    </w:p>
    <w:p>
      <w:pPr>
        <w:pStyle w:val="ListParagraph"/>
        <w:numPr>
          <w:ilvl w:val="5"/>
          <w:numId w:val="6"/>
        </w:numPr>
        <w:tabs>
          <w:tab w:pos="1199" w:val="left" w:leader="none"/>
        </w:tabs>
        <w:spacing w:line="240" w:lineRule="auto" w:before="0" w:after="0"/>
        <w:ind w:left="1198" w:right="0" w:hanging="1081"/>
        <w:jc w:val="left"/>
        <w:rPr>
          <w:sz w:val="24"/>
        </w:rPr>
      </w:pPr>
      <w:r>
        <w:rPr>
          <w:spacing w:val="-4"/>
          <w:sz w:val="24"/>
        </w:rPr>
        <w:t>105 horas </w:t>
      </w:r>
      <w:r>
        <w:rPr>
          <w:sz w:val="24"/>
        </w:rPr>
        <w:t>de</w:t>
      </w:r>
      <w:r>
        <w:rPr>
          <w:spacing w:val="-9"/>
          <w:sz w:val="24"/>
        </w:rPr>
        <w:t> </w:t>
      </w:r>
      <w:r>
        <w:rPr>
          <w:spacing w:val="-5"/>
          <w:sz w:val="24"/>
        </w:rPr>
        <w:t>supervisão.</w:t>
      </w:r>
    </w:p>
    <w:p>
      <w:pPr>
        <w:pStyle w:val="ListParagraph"/>
        <w:numPr>
          <w:ilvl w:val="5"/>
          <w:numId w:val="6"/>
        </w:numPr>
        <w:tabs>
          <w:tab w:pos="1199" w:val="left" w:leader="none"/>
        </w:tabs>
        <w:spacing w:line="240" w:lineRule="auto" w:before="0" w:after="0"/>
        <w:ind w:left="1198" w:right="371" w:hanging="1080"/>
        <w:jc w:val="both"/>
        <w:rPr>
          <w:sz w:val="24"/>
        </w:rPr>
      </w:pPr>
      <w:r>
        <w:rPr>
          <w:spacing w:val="-5"/>
          <w:sz w:val="24"/>
        </w:rPr>
        <w:t>Conhecimentos </w:t>
      </w:r>
      <w:r>
        <w:rPr>
          <w:spacing w:val="-4"/>
          <w:sz w:val="24"/>
        </w:rPr>
        <w:t>básicos </w:t>
      </w:r>
      <w:r>
        <w:rPr>
          <w:spacing w:val="-5"/>
          <w:sz w:val="24"/>
        </w:rPr>
        <w:t>desejáveis: </w:t>
      </w:r>
      <w:r>
        <w:rPr>
          <w:sz w:val="24"/>
        </w:rPr>
        <w:t>Lei nº 8.666, de 21 de junho de 1993; Instrução Normativa</w:t>
      </w:r>
      <w:r>
        <w:rPr>
          <w:spacing w:val="-7"/>
          <w:sz w:val="24"/>
        </w:rPr>
        <w:t> </w:t>
      </w:r>
      <w:r>
        <w:rPr>
          <w:sz w:val="24"/>
        </w:rPr>
        <w:t>do</w:t>
      </w:r>
      <w:r>
        <w:rPr>
          <w:spacing w:val="-3"/>
          <w:sz w:val="24"/>
        </w:rPr>
        <w:t> </w:t>
      </w:r>
      <w:r>
        <w:rPr>
          <w:sz w:val="24"/>
        </w:rPr>
        <w:t>Ministério</w:t>
      </w:r>
      <w:r>
        <w:rPr>
          <w:spacing w:val="-2"/>
          <w:sz w:val="24"/>
        </w:rPr>
        <w:t> </w:t>
      </w:r>
      <w:r>
        <w:rPr>
          <w:sz w:val="24"/>
        </w:rPr>
        <w:t>do</w:t>
      </w:r>
      <w:r>
        <w:rPr>
          <w:spacing w:val="-6"/>
          <w:sz w:val="24"/>
        </w:rPr>
        <w:t> </w:t>
      </w:r>
      <w:r>
        <w:rPr>
          <w:sz w:val="24"/>
        </w:rPr>
        <w:t>Planejamento,</w:t>
      </w:r>
      <w:r>
        <w:rPr>
          <w:spacing w:val="-5"/>
          <w:sz w:val="24"/>
        </w:rPr>
        <w:t> </w:t>
      </w:r>
      <w:r>
        <w:rPr>
          <w:sz w:val="24"/>
        </w:rPr>
        <w:t>Orçamento</w:t>
      </w:r>
      <w:r>
        <w:rPr>
          <w:spacing w:val="-5"/>
          <w:sz w:val="24"/>
        </w:rPr>
        <w:t> </w:t>
      </w:r>
      <w:r>
        <w:rPr>
          <w:sz w:val="24"/>
        </w:rPr>
        <w:t>e</w:t>
      </w:r>
      <w:r>
        <w:rPr>
          <w:spacing w:val="-5"/>
          <w:sz w:val="24"/>
        </w:rPr>
        <w:t> </w:t>
      </w:r>
      <w:r>
        <w:rPr>
          <w:sz w:val="24"/>
        </w:rPr>
        <w:t>Gestão</w:t>
      </w:r>
      <w:r>
        <w:rPr>
          <w:spacing w:val="-3"/>
          <w:sz w:val="24"/>
        </w:rPr>
        <w:t> </w:t>
      </w:r>
      <w:r>
        <w:rPr>
          <w:sz w:val="24"/>
        </w:rPr>
        <w:t>nº</w:t>
      </w:r>
      <w:r>
        <w:rPr>
          <w:spacing w:val="-5"/>
          <w:sz w:val="24"/>
        </w:rPr>
        <w:t> </w:t>
      </w:r>
      <w:r>
        <w:rPr>
          <w:sz w:val="24"/>
        </w:rPr>
        <w:t>5,</w:t>
      </w:r>
      <w:r>
        <w:rPr>
          <w:spacing w:val="-3"/>
          <w:sz w:val="24"/>
        </w:rPr>
        <w:t> </w:t>
      </w:r>
      <w:r>
        <w:rPr>
          <w:sz w:val="24"/>
        </w:rPr>
        <w:t>de</w:t>
      </w:r>
      <w:r>
        <w:rPr>
          <w:spacing w:val="-7"/>
          <w:sz w:val="24"/>
        </w:rPr>
        <w:t> </w:t>
      </w:r>
      <w:r>
        <w:rPr>
          <w:sz w:val="24"/>
        </w:rPr>
        <w:t>25</w:t>
      </w:r>
      <w:r>
        <w:rPr>
          <w:spacing w:val="-1"/>
          <w:sz w:val="24"/>
        </w:rPr>
        <w:t> </w:t>
      </w:r>
      <w:r>
        <w:rPr>
          <w:sz w:val="24"/>
        </w:rPr>
        <w:t>de</w:t>
      </w:r>
      <w:r>
        <w:rPr>
          <w:spacing w:val="-6"/>
          <w:sz w:val="24"/>
        </w:rPr>
        <w:t> </w:t>
      </w:r>
      <w:r>
        <w:rPr>
          <w:sz w:val="24"/>
        </w:rPr>
        <w:t>maio</w:t>
      </w:r>
      <w:r>
        <w:rPr>
          <w:spacing w:val="-6"/>
          <w:sz w:val="24"/>
        </w:rPr>
        <w:t> </w:t>
      </w:r>
      <w:r>
        <w:rPr>
          <w:sz w:val="24"/>
        </w:rPr>
        <w:t>de 2017; Lei nº 10.520, de 17 de julho de 2002; Manual de Gestão e Fiscalização de Contratos Administrativos do TRE/BA e Decreto nº 9507, de 21 de setembro de</w:t>
      </w:r>
      <w:r>
        <w:rPr>
          <w:spacing w:val="-32"/>
          <w:sz w:val="24"/>
        </w:rPr>
        <w:t> </w:t>
      </w:r>
      <w:r>
        <w:rPr>
          <w:sz w:val="24"/>
        </w:rPr>
        <w:t>2018.</w:t>
      </w:r>
    </w:p>
    <w:p>
      <w:pPr>
        <w:pStyle w:val="ListParagraph"/>
        <w:numPr>
          <w:ilvl w:val="3"/>
          <w:numId w:val="3"/>
        </w:numPr>
        <w:tabs>
          <w:tab w:pos="839" w:val="left" w:leader="none"/>
        </w:tabs>
        <w:spacing w:line="240" w:lineRule="auto" w:before="0" w:after="0"/>
        <w:ind w:left="838" w:right="0" w:hanging="721"/>
        <w:jc w:val="both"/>
        <w:rPr>
          <w:sz w:val="24"/>
        </w:rPr>
      </w:pPr>
      <w:r>
        <w:rPr>
          <w:sz w:val="24"/>
        </w:rPr>
        <w:t>Financeira (integrada com</w:t>
      </w:r>
      <w:r>
        <w:rPr>
          <w:spacing w:val="-2"/>
          <w:sz w:val="24"/>
        </w:rPr>
        <w:t> </w:t>
      </w:r>
      <w:r>
        <w:rPr>
          <w:sz w:val="24"/>
        </w:rPr>
        <w:t>conformidade):</w:t>
      </w:r>
    </w:p>
    <w:p>
      <w:pPr>
        <w:pStyle w:val="ListParagraph"/>
        <w:numPr>
          <w:ilvl w:val="4"/>
          <w:numId w:val="3"/>
        </w:numPr>
        <w:tabs>
          <w:tab w:pos="1199" w:val="left" w:leader="none"/>
        </w:tabs>
        <w:spacing w:line="240" w:lineRule="auto" w:before="0" w:after="0"/>
        <w:ind w:left="118" w:right="1837" w:firstLine="0"/>
        <w:jc w:val="both"/>
        <w:rPr>
          <w:sz w:val="24"/>
        </w:rPr>
      </w:pPr>
      <w:r>
        <w:rPr>
          <w:sz w:val="24"/>
        </w:rPr>
        <w:t>Local de realização dos trabalhos de auditoria: PRE/COAUD/SEAGO. 3.1.1.4.2 Cronograma: 1/9/2020 a</w:t>
      </w:r>
      <w:r>
        <w:rPr>
          <w:spacing w:val="-1"/>
          <w:sz w:val="24"/>
        </w:rPr>
        <w:t> </w:t>
      </w:r>
      <w:r>
        <w:rPr>
          <w:sz w:val="24"/>
        </w:rPr>
        <w:t>28/2/2021.</w:t>
      </w:r>
    </w:p>
    <w:p>
      <w:pPr>
        <w:pStyle w:val="ListParagraph"/>
        <w:numPr>
          <w:ilvl w:val="4"/>
          <w:numId w:val="7"/>
        </w:numPr>
        <w:tabs>
          <w:tab w:pos="1199" w:val="left" w:leader="none"/>
        </w:tabs>
        <w:spacing w:line="240" w:lineRule="auto" w:before="0" w:after="0"/>
        <w:ind w:left="1198" w:right="377" w:hanging="1080"/>
        <w:jc w:val="both"/>
        <w:rPr>
          <w:sz w:val="24"/>
        </w:rPr>
      </w:pPr>
      <w:r>
        <w:rPr>
          <w:sz w:val="24"/>
        </w:rPr>
        <w:t>Avaliação sumária do risco: demonstrações financeiras elaboradas com distorções relevantes, seja por fraude ou erro; dano à imagem do</w:t>
      </w:r>
      <w:r>
        <w:rPr>
          <w:spacing w:val="-4"/>
          <w:sz w:val="24"/>
        </w:rPr>
        <w:t> </w:t>
      </w:r>
      <w:r>
        <w:rPr>
          <w:sz w:val="24"/>
        </w:rPr>
        <w:t>Tribunal.</w:t>
      </w:r>
    </w:p>
    <w:p>
      <w:pPr>
        <w:pStyle w:val="ListParagraph"/>
        <w:numPr>
          <w:ilvl w:val="4"/>
          <w:numId w:val="7"/>
        </w:numPr>
        <w:tabs>
          <w:tab w:pos="1199" w:val="left" w:leader="none"/>
        </w:tabs>
        <w:spacing w:line="240" w:lineRule="auto" w:before="0" w:after="0"/>
        <w:ind w:left="1198" w:right="0" w:hanging="1081"/>
        <w:jc w:val="both"/>
        <w:rPr>
          <w:sz w:val="24"/>
        </w:rPr>
      </w:pPr>
      <w:r>
        <w:rPr>
          <w:sz w:val="24"/>
        </w:rPr>
        <w:t>Origem da demanda:</w:t>
      </w:r>
      <w:r>
        <w:rPr>
          <w:spacing w:val="-2"/>
          <w:sz w:val="24"/>
        </w:rPr>
        <w:t> </w:t>
      </w:r>
      <w:r>
        <w:rPr>
          <w:sz w:val="24"/>
        </w:rPr>
        <w:t>TCU.</w:t>
      </w:r>
    </w:p>
    <w:p>
      <w:pPr>
        <w:pStyle w:val="ListParagraph"/>
        <w:numPr>
          <w:ilvl w:val="4"/>
          <w:numId w:val="7"/>
        </w:numPr>
        <w:tabs>
          <w:tab w:pos="1199" w:val="left" w:leader="none"/>
        </w:tabs>
        <w:spacing w:line="240" w:lineRule="auto" w:before="0" w:after="0"/>
        <w:ind w:left="1198" w:right="367" w:hanging="1080"/>
        <w:jc w:val="both"/>
        <w:rPr>
          <w:sz w:val="24"/>
        </w:rPr>
      </w:pPr>
      <w:r>
        <w:rPr>
          <w:sz w:val="24"/>
        </w:rPr>
        <w:t>Objetivo preliminar: emitir relatório e certificado de auditoria com opinião sobre se: as demonstrações contábeis do TRE-BA foram elaboradas e apresentadas de acordo com as normas contábeis e o marco regulatório aplicável e estão livres de distorções relevantes</w:t>
      </w:r>
      <w:r>
        <w:rPr>
          <w:spacing w:val="-13"/>
          <w:sz w:val="24"/>
        </w:rPr>
        <w:t> </w:t>
      </w:r>
      <w:r>
        <w:rPr>
          <w:sz w:val="24"/>
        </w:rPr>
        <w:t>causadas</w:t>
      </w:r>
      <w:r>
        <w:rPr>
          <w:spacing w:val="-13"/>
          <w:sz w:val="24"/>
        </w:rPr>
        <w:t> </w:t>
      </w:r>
      <w:r>
        <w:rPr>
          <w:sz w:val="24"/>
        </w:rPr>
        <w:t>por</w:t>
      </w:r>
      <w:r>
        <w:rPr>
          <w:spacing w:val="-14"/>
          <w:sz w:val="24"/>
        </w:rPr>
        <w:t> </w:t>
      </w:r>
      <w:r>
        <w:rPr>
          <w:sz w:val="24"/>
        </w:rPr>
        <w:t>fraude</w:t>
      </w:r>
      <w:r>
        <w:rPr>
          <w:spacing w:val="-14"/>
          <w:sz w:val="24"/>
        </w:rPr>
        <w:t> </w:t>
      </w:r>
      <w:r>
        <w:rPr>
          <w:sz w:val="24"/>
        </w:rPr>
        <w:t>ou</w:t>
      </w:r>
      <w:r>
        <w:rPr>
          <w:spacing w:val="-11"/>
          <w:sz w:val="24"/>
        </w:rPr>
        <w:t> </w:t>
      </w:r>
      <w:r>
        <w:rPr>
          <w:sz w:val="24"/>
        </w:rPr>
        <w:t>erro;</w:t>
      </w:r>
      <w:r>
        <w:rPr>
          <w:spacing w:val="-11"/>
          <w:sz w:val="24"/>
        </w:rPr>
        <w:t> </w:t>
      </w:r>
      <w:r>
        <w:rPr>
          <w:sz w:val="24"/>
        </w:rPr>
        <w:t>e</w:t>
      </w:r>
      <w:r>
        <w:rPr>
          <w:spacing w:val="-14"/>
          <w:sz w:val="24"/>
        </w:rPr>
        <w:t> </w:t>
      </w:r>
      <w:r>
        <w:rPr>
          <w:sz w:val="24"/>
        </w:rPr>
        <w:t>se</w:t>
      </w:r>
      <w:r>
        <w:rPr>
          <w:spacing w:val="-12"/>
          <w:sz w:val="24"/>
        </w:rPr>
        <w:t> </w:t>
      </w:r>
      <w:r>
        <w:rPr>
          <w:sz w:val="24"/>
        </w:rPr>
        <w:t>as</w:t>
      </w:r>
      <w:r>
        <w:rPr>
          <w:spacing w:val="-10"/>
          <w:sz w:val="24"/>
        </w:rPr>
        <w:t> </w:t>
      </w:r>
      <w:r>
        <w:rPr>
          <w:sz w:val="24"/>
        </w:rPr>
        <w:t>transações</w:t>
      </w:r>
      <w:r>
        <w:rPr>
          <w:spacing w:val="-13"/>
          <w:sz w:val="24"/>
        </w:rPr>
        <w:t> </w:t>
      </w:r>
      <w:r>
        <w:rPr>
          <w:sz w:val="24"/>
        </w:rPr>
        <w:t>subjacentes</w:t>
      </w:r>
      <w:r>
        <w:rPr>
          <w:spacing w:val="-10"/>
          <w:sz w:val="24"/>
        </w:rPr>
        <w:t> </w:t>
      </w:r>
      <w:r>
        <w:rPr>
          <w:sz w:val="24"/>
        </w:rPr>
        <w:t>às</w:t>
      </w:r>
      <w:r>
        <w:rPr>
          <w:spacing w:val="-13"/>
          <w:sz w:val="24"/>
        </w:rPr>
        <w:t> </w:t>
      </w:r>
      <w:r>
        <w:rPr>
          <w:sz w:val="24"/>
        </w:rPr>
        <w:t>demonstrações contábeis</w:t>
      </w:r>
      <w:r>
        <w:rPr>
          <w:spacing w:val="-13"/>
          <w:sz w:val="24"/>
        </w:rPr>
        <w:t> </w:t>
      </w:r>
      <w:r>
        <w:rPr>
          <w:sz w:val="24"/>
        </w:rPr>
        <w:t>e</w:t>
      </w:r>
      <w:r>
        <w:rPr>
          <w:spacing w:val="-11"/>
          <w:sz w:val="24"/>
        </w:rPr>
        <w:t> </w:t>
      </w:r>
      <w:r>
        <w:rPr>
          <w:sz w:val="24"/>
        </w:rPr>
        <w:t>os</w:t>
      </w:r>
      <w:r>
        <w:rPr>
          <w:spacing w:val="-11"/>
          <w:sz w:val="24"/>
        </w:rPr>
        <w:t> </w:t>
      </w:r>
      <w:r>
        <w:rPr>
          <w:sz w:val="24"/>
        </w:rPr>
        <w:t>atos</w:t>
      </w:r>
      <w:r>
        <w:rPr>
          <w:spacing w:val="-12"/>
          <w:sz w:val="24"/>
        </w:rPr>
        <w:t> </w:t>
      </w:r>
      <w:r>
        <w:rPr>
          <w:sz w:val="24"/>
        </w:rPr>
        <w:t>de</w:t>
      </w:r>
      <w:r>
        <w:rPr>
          <w:spacing w:val="-14"/>
          <w:sz w:val="24"/>
        </w:rPr>
        <w:t> </w:t>
      </w:r>
      <w:r>
        <w:rPr>
          <w:sz w:val="24"/>
        </w:rPr>
        <w:t>gestão</w:t>
      </w:r>
      <w:r>
        <w:rPr>
          <w:spacing w:val="-12"/>
          <w:sz w:val="24"/>
        </w:rPr>
        <w:t> </w:t>
      </w:r>
      <w:r>
        <w:rPr>
          <w:sz w:val="24"/>
        </w:rPr>
        <w:t>relevantes</w:t>
      </w:r>
      <w:r>
        <w:rPr>
          <w:spacing w:val="-14"/>
          <w:sz w:val="24"/>
        </w:rPr>
        <w:t> </w:t>
      </w:r>
      <w:r>
        <w:rPr>
          <w:sz w:val="24"/>
        </w:rPr>
        <w:t>dos</w:t>
      </w:r>
      <w:r>
        <w:rPr>
          <w:spacing w:val="-9"/>
          <w:sz w:val="24"/>
        </w:rPr>
        <w:t> </w:t>
      </w:r>
      <w:r>
        <w:rPr>
          <w:sz w:val="24"/>
        </w:rPr>
        <w:t>responsáveis</w:t>
      </w:r>
      <w:r>
        <w:rPr>
          <w:spacing w:val="-12"/>
          <w:sz w:val="24"/>
        </w:rPr>
        <w:t> </w:t>
      </w:r>
      <w:r>
        <w:rPr>
          <w:sz w:val="24"/>
        </w:rPr>
        <w:t>pelo</w:t>
      </w:r>
      <w:r>
        <w:rPr>
          <w:spacing w:val="-12"/>
          <w:sz w:val="24"/>
        </w:rPr>
        <w:t> </w:t>
      </w:r>
      <w:r>
        <w:rPr>
          <w:sz w:val="24"/>
        </w:rPr>
        <w:t>TRE-BA</w:t>
      </w:r>
      <w:r>
        <w:rPr>
          <w:spacing w:val="-14"/>
          <w:sz w:val="24"/>
        </w:rPr>
        <w:t> </w:t>
      </w:r>
      <w:r>
        <w:rPr>
          <w:sz w:val="24"/>
        </w:rPr>
        <w:t>estão</w:t>
      </w:r>
      <w:r>
        <w:rPr>
          <w:spacing w:val="-12"/>
          <w:sz w:val="24"/>
        </w:rPr>
        <w:t> </w:t>
      </w:r>
      <w:r>
        <w:rPr>
          <w:sz w:val="24"/>
        </w:rPr>
        <w:t>de</w:t>
      </w:r>
      <w:r>
        <w:rPr>
          <w:spacing w:val="-12"/>
          <w:sz w:val="24"/>
        </w:rPr>
        <w:t> </w:t>
      </w:r>
      <w:r>
        <w:rPr>
          <w:sz w:val="24"/>
        </w:rPr>
        <w:t>acordo com</w:t>
      </w:r>
      <w:r>
        <w:rPr>
          <w:spacing w:val="-11"/>
          <w:sz w:val="24"/>
        </w:rPr>
        <w:t> </w:t>
      </w:r>
      <w:r>
        <w:rPr>
          <w:sz w:val="24"/>
        </w:rPr>
        <w:t>as</w:t>
      </w:r>
      <w:r>
        <w:rPr>
          <w:spacing w:val="-11"/>
          <w:sz w:val="24"/>
        </w:rPr>
        <w:t> </w:t>
      </w:r>
      <w:r>
        <w:rPr>
          <w:sz w:val="24"/>
        </w:rPr>
        <w:t>leis</w:t>
      </w:r>
      <w:r>
        <w:rPr>
          <w:spacing w:val="-11"/>
          <w:sz w:val="24"/>
        </w:rPr>
        <w:t> </w:t>
      </w:r>
      <w:r>
        <w:rPr>
          <w:sz w:val="24"/>
        </w:rPr>
        <w:t>e</w:t>
      </w:r>
      <w:r>
        <w:rPr>
          <w:spacing w:val="-12"/>
          <w:sz w:val="24"/>
        </w:rPr>
        <w:t> </w:t>
      </w:r>
      <w:r>
        <w:rPr>
          <w:sz w:val="24"/>
        </w:rPr>
        <w:t>regulamentos</w:t>
      </w:r>
      <w:r>
        <w:rPr>
          <w:spacing w:val="-10"/>
          <w:sz w:val="24"/>
        </w:rPr>
        <w:t> </w:t>
      </w:r>
      <w:r>
        <w:rPr>
          <w:sz w:val="24"/>
        </w:rPr>
        <w:t>aplicáveis</w:t>
      </w:r>
      <w:r>
        <w:rPr>
          <w:spacing w:val="-10"/>
          <w:sz w:val="24"/>
        </w:rPr>
        <w:t> </w:t>
      </w:r>
      <w:r>
        <w:rPr>
          <w:sz w:val="24"/>
        </w:rPr>
        <w:t>e</w:t>
      </w:r>
      <w:r>
        <w:rPr>
          <w:spacing w:val="-12"/>
          <w:sz w:val="24"/>
        </w:rPr>
        <w:t> </w:t>
      </w:r>
      <w:r>
        <w:rPr>
          <w:sz w:val="24"/>
        </w:rPr>
        <w:t>com</w:t>
      </w:r>
      <w:r>
        <w:rPr>
          <w:spacing w:val="-11"/>
          <w:sz w:val="24"/>
        </w:rPr>
        <w:t> </w:t>
      </w:r>
      <w:r>
        <w:rPr>
          <w:sz w:val="24"/>
        </w:rPr>
        <w:t>os</w:t>
      </w:r>
      <w:r>
        <w:rPr>
          <w:spacing w:val="-10"/>
          <w:sz w:val="24"/>
        </w:rPr>
        <w:t> </w:t>
      </w:r>
      <w:r>
        <w:rPr>
          <w:sz w:val="24"/>
        </w:rPr>
        <w:t>princípios</w:t>
      </w:r>
      <w:r>
        <w:rPr>
          <w:spacing w:val="-10"/>
          <w:sz w:val="24"/>
        </w:rPr>
        <w:t> </w:t>
      </w:r>
      <w:r>
        <w:rPr>
          <w:sz w:val="24"/>
        </w:rPr>
        <w:t>de</w:t>
      </w:r>
      <w:r>
        <w:rPr>
          <w:spacing w:val="-12"/>
          <w:sz w:val="24"/>
        </w:rPr>
        <w:t> </w:t>
      </w:r>
      <w:r>
        <w:rPr>
          <w:sz w:val="24"/>
        </w:rPr>
        <w:t>administração</w:t>
      </w:r>
      <w:r>
        <w:rPr>
          <w:spacing w:val="-9"/>
          <w:sz w:val="24"/>
        </w:rPr>
        <w:t> </w:t>
      </w:r>
      <w:r>
        <w:rPr>
          <w:sz w:val="24"/>
        </w:rPr>
        <w:t>pública</w:t>
      </w:r>
      <w:r>
        <w:rPr>
          <w:spacing w:val="-11"/>
          <w:sz w:val="24"/>
        </w:rPr>
        <w:t> </w:t>
      </w:r>
      <w:r>
        <w:rPr>
          <w:sz w:val="24"/>
        </w:rPr>
        <w:t>que regem a gestão financeira responsável e a conduta dos agentes</w:t>
      </w:r>
      <w:r>
        <w:rPr>
          <w:spacing w:val="-4"/>
          <w:sz w:val="24"/>
        </w:rPr>
        <w:t> </w:t>
      </w:r>
      <w:r>
        <w:rPr>
          <w:sz w:val="24"/>
        </w:rPr>
        <w:t>públicos.</w:t>
      </w:r>
    </w:p>
    <w:p>
      <w:pPr>
        <w:pStyle w:val="ListParagraph"/>
        <w:numPr>
          <w:ilvl w:val="4"/>
          <w:numId w:val="7"/>
        </w:numPr>
        <w:tabs>
          <w:tab w:pos="1199" w:val="left" w:leader="none"/>
        </w:tabs>
        <w:spacing w:line="240" w:lineRule="auto" w:before="1" w:after="0"/>
        <w:ind w:left="1198" w:right="0" w:hanging="1081"/>
        <w:jc w:val="both"/>
        <w:rPr>
          <w:sz w:val="24"/>
        </w:rPr>
      </w:pPr>
      <w:r>
        <w:rPr>
          <w:spacing w:val="-4"/>
          <w:sz w:val="24"/>
        </w:rPr>
        <w:t>Carga horária prevista</w:t>
      </w:r>
      <w:r>
        <w:rPr>
          <w:spacing w:val="-19"/>
          <w:sz w:val="24"/>
        </w:rPr>
        <w:t> </w:t>
      </w:r>
      <w:r>
        <w:rPr>
          <w:spacing w:val="-4"/>
          <w:sz w:val="24"/>
        </w:rPr>
        <w:t>2020:</w:t>
      </w:r>
    </w:p>
    <w:p>
      <w:pPr>
        <w:pStyle w:val="ListParagraph"/>
        <w:numPr>
          <w:ilvl w:val="5"/>
          <w:numId w:val="7"/>
        </w:numPr>
        <w:tabs>
          <w:tab w:pos="1199" w:val="left" w:leader="none"/>
        </w:tabs>
        <w:spacing w:line="275" w:lineRule="exact" w:before="0" w:after="0"/>
        <w:ind w:left="1198" w:right="0" w:hanging="1081"/>
        <w:jc w:val="both"/>
        <w:rPr>
          <w:sz w:val="24"/>
        </w:rPr>
      </w:pPr>
      <w:r>
        <w:rPr>
          <w:spacing w:val="-4"/>
          <w:sz w:val="24"/>
        </w:rPr>
        <w:t>1.584 horas </w:t>
      </w:r>
      <w:r>
        <w:rPr>
          <w:sz w:val="24"/>
        </w:rPr>
        <w:t>de</w:t>
      </w:r>
      <w:r>
        <w:rPr>
          <w:spacing w:val="-18"/>
          <w:sz w:val="24"/>
        </w:rPr>
        <w:t> </w:t>
      </w:r>
      <w:r>
        <w:rPr>
          <w:spacing w:val="-5"/>
          <w:sz w:val="24"/>
        </w:rPr>
        <w:t>auditoria;</w:t>
      </w:r>
    </w:p>
    <w:p>
      <w:pPr>
        <w:pStyle w:val="ListParagraph"/>
        <w:numPr>
          <w:ilvl w:val="5"/>
          <w:numId w:val="7"/>
        </w:numPr>
        <w:tabs>
          <w:tab w:pos="1199" w:val="left" w:leader="none"/>
        </w:tabs>
        <w:spacing w:line="275" w:lineRule="exact" w:before="0" w:after="0"/>
        <w:ind w:left="1198" w:right="0" w:hanging="1081"/>
        <w:jc w:val="both"/>
        <w:rPr>
          <w:sz w:val="24"/>
        </w:rPr>
      </w:pPr>
      <w:r>
        <w:rPr>
          <w:spacing w:val="-4"/>
          <w:sz w:val="24"/>
        </w:rPr>
        <w:t>554 horas </w:t>
      </w:r>
      <w:r>
        <w:rPr>
          <w:sz w:val="24"/>
        </w:rPr>
        <w:t>de </w:t>
      </w:r>
      <w:r>
        <w:rPr>
          <w:spacing w:val="-4"/>
          <w:sz w:val="24"/>
        </w:rPr>
        <w:t>gerência;</w:t>
      </w:r>
      <w:r>
        <w:rPr>
          <w:spacing w:val="-26"/>
          <w:sz w:val="24"/>
        </w:rPr>
        <w:t> </w:t>
      </w:r>
      <w:r>
        <w:rPr>
          <w:sz w:val="24"/>
        </w:rPr>
        <w:t>e</w:t>
      </w:r>
    </w:p>
    <w:p>
      <w:pPr>
        <w:pStyle w:val="ListParagraph"/>
        <w:numPr>
          <w:ilvl w:val="5"/>
          <w:numId w:val="7"/>
        </w:numPr>
        <w:tabs>
          <w:tab w:pos="1199" w:val="left" w:leader="none"/>
        </w:tabs>
        <w:spacing w:line="240" w:lineRule="auto" w:before="0" w:after="0"/>
        <w:ind w:left="1198" w:right="0" w:hanging="1081"/>
        <w:jc w:val="both"/>
        <w:rPr>
          <w:sz w:val="24"/>
        </w:rPr>
      </w:pPr>
      <w:r>
        <w:rPr>
          <w:spacing w:val="-4"/>
          <w:sz w:val="24"/>
        </w:rPr>
        <w:t>158 horas </w:t>
      </w:r>
      <w:r>
        <w:rPr>
          <w:sz w:val="24"/>
        </w:rPr>
        <w:t>de</w:t>
      </w:r>
      <w:r>
        <w:rPr>
          <w:spacing w:val="-9"/>
          <w:sz w:val="24"/>
        </w:rPr>
        <w:t> </w:t>
      </w:r>
      <w:r>
        <w:rPr>
          <w:spacing w:val="-5"/>
          <w:sz w:val="24"/>
        </w:rPr>
        <w:t>supervisão.</w:t>
      </w:r>
    </w:p>
    <w:p>
      <w:pPr>
        <w:pStyle w:val="ListParagraph"/>
        <w:numPr>
          <w:ilvl w:val="5"/>
          <w:numId w:val="7"/>
        </w:numPr>
        <w:tabs>
          <w:tab w:pos="1199" w:val="left" w:leader="none"/>
        </w:tabs>
        <w:spacing w:line="240" w:lineRule="auto" w:before="0" w:after="0"/>
        <w:ind w:left="1198" w:right="368" w:hanging="1080"/>
        <w:jc w:val="both"/>
        <w:rPr>
          <w:sz w:val="24"/>
        </w:rPr>
      </w:pPr>
      <w:r>
        <w:rPr>
          <w:spacing w:val="-5"/>
          <w:sz w:val="24"/>
        </w:rPr>
        <w:t>Conhecimentos </w:t>
      </w:r>
      <w:r>
        <w:rPr>
          <w:spacing w:val="-4"/>
          <w:sz w:val="24"/>
        </w:rPr>
        <w:t>básicos </w:t>
      </w:r>
      <w:r>
        <w:rPr>
          <w:spacing w:val="-5"/>
          <w:sz w:val="24"/>
        </w:rPr>
        <w:t>desejáveis: </w:t>
      </w:r>
      <w:r>
        <w:rPr>
          <w:spacing w:val="-4"/>
          <w:sz w:val="24"/>
        </w:rPr>
        <w:t>Contabilidade Aplicada </w:t>
      </w:r>
      <w:r>
        <w:rPr>
          <w:spacing w:val="-3"/>
          <w:sz w:val="24"/>
        </w:rPr>
        <w:t>ao </w:t>
      </w:r>
      <w:r>
        <w:rPr>
          <w:spacing w:val="-4"/>
          <w:sz w:val="24"/>
        </w:rPr>
        <w:t>Setor Público; Sistema </w:t>
      </w:r>
      <w:r>
        <w:rPr>
          <w:spacing w:val="-5"/>
          <w:sz w:val="24"/>
        </w:rPr>
        <w:t>Integrado </w:t>
      </w:r>
      <w:r>
        <w:rPr>
          <w:sz w:val="24"/>
        </w:rPr>
        <w:t>de </w:t>
      </w:r>
      <w:r>
        <w:rPr>
          <w:spacing w:val="-5"/>
          <w:sz w:val="24"/>
        </w:rPr>
        <w:t>Administração Financeira </w:t>
      </w:r>
      <w:r>
        <w:rPr>
          <w:sz w:val="24"/>
        </w:rPr>
        <w:t>– </w:t>
      </w:r>
      <w:r>
        <w:rPr>
          <w:spacing w:val="-4"/>
          <w:sz w:val="24"/>
        </w:rPr>
        <w:t>SIAFI; Tesouro </w:t>
      </w:r>
      <w:r>
        <w:rPr>
          <w:spacing w:val="-5"/>
          <w:sz w:val="24"/>
        </w:rPr>
        <w:t>Gerencial; </w:t>
      </w:r>
      <w:r>
        <w:rPr>
          <w:spacing w:val="-4"/>
          <w:sz w:val="24"/>
        </w:rPr>
        <w:t>Legislação aplicada </w:t>
      </w:r>
      <w:r>
        <w:rPr>
          <w:sz w:val="24"/>
        </w:rPr>
        <w:t>a </w:t>
      </w:r>
      <w:r>
        <w:rPr>
          <w:spacing w:val="-4"/>
          <w:sz w:val="24"/>
        </w:rPr>
        <w:t>gestão orçamentária </w:t>
      </w:r>
      <w:r>
        <w:rPr>
          <w:sz w:val="24"/>
        </w:rPr>
        <w:t>e</w:t>
      </w:r>
      <w:r>
        <w:rPr>
          <w:spacing w:val="-30"/>
          <w:sz w:val="24"/>
        </w:rPr>
        <w:t> </w:t>
      </w:r>
      <w:r>
        <w:rPr>
          <w:spacing w:val="-4"/>
          <w:sz w:val="24"/>
        </w:rPr>
        <w:t>financeira.</w:t>
      </w:r>
    </w:p>
    <w:p>
      <w:pPr>
        <w:pStyle w:val="ListParagraph"/>
        <w:numPr>
          <w:ilvl w:val="1"/>
          <w:numId w:val="8"/>
        </w:numPr>
        <w:tabs>
          <w:tab w:pos="479" w:val="left" w:leader="none"/>
        </w:tabs>
        <w:spacing w:line="240" w:lineRule="auto" w:before="1" w:after="0"/>
        <w:ind w:left="478" w:right="0" w:hanging="361"/>
        <w:jc w:val="both"/>
        <w:rPr>
          <w:i/>
          <w:sz w:val="24"/>
        </w:rPr>
      </w:pPr>
      <w:r>
        <w:rPr>
          <w:i/>
          <w:sz w:val="24"/>
        </w:rPr>
        <w:t>Monitoramento de ações fiscalizatórias</w:t>
      </w:r>
      <w:r>
        <w:rPr>
          <w:i/>
          <w:spacing w:val="1"/>
          <w:sz w:val="24"/>
        </w:rPr>
        <w:t> </w:t>
      </w:r>
      <w:r>
        <w:rPr>
          <w:i/>
          <w:sz w:val="24"/>
        </w:rPr>
        <w:t>pretéritas:</w:t>
      </w:r>
    </w:p>
    <w:p>
      <w:pPr>
        <w:pStyle w:val="ListParagraph"/>
        <w:numPr>
          <w:ilvl w:val="2"/>
          <w:numId w:val="8"/>
        </w:numPr>
        <w:tabs>
          <w:tab w:pos="839" w:val="left" w:leader="none"/>
        </w:tabs>
        <w:spacing w:line="240" w:lineRule="auto" w:before="0" w:after="0"/>
        <w:ind w:left="838" w:right="380" w:hanging="720"/>
        <w:jc w:val="both"/>
        <w:rPr>
          <w:sz w:val="24"/>
        </w:rPr>
      </w:pPr>
      <w:r>
        <w:rPr>
          <w:sz w:val="24"/>
        </w:rPr>
        <w:t>Cumpre destacar que, além, das auditorias já mencionadas, a COAUD também atuará no monitoramento de ação fiscalizatória pretérita, qual</w:t>
      </w:r>
      <w:r>
        <w:rPr>
          <w:spacing w:val="-3"/>
          <w:sz w:val="24"/>
        </w:rPr>
        <w:t> </w:t>
      </w:r>
      <w:r>
        <w:rPr>
          <w:sz w:val="24"/>
        </w:rPr>
        <w:t>seja:</w:t>
      </w:r>
    </w:p>
    <w:p>
      <w:pPr>
        <w:pStyle w:val="BodyText"/>
        <w:spacing w:before="6"/>
        <w:rPr>
          <w:sz w:val="32"/>
        </w:rPr>
      </w:pPr>
    </w:p>
    <w:p>
      <w:pPr>
        <w:spacing w:before="0"/>
        <w:ind w:left="118" w:right="0" w:firstLine="0"/>
        <w:jc w:val="left"/>
        <w:rPr>
          <w:sz w:val="22"/>
        </w:rPr>
      </w:pPr>
      <w:r>
        <w:rPr>
          <w:spacing w:val="-3"/>
          <w:sz w:val="22"/>
        </w:rPr>
        <w:t>Quadro </w:t>
      </w:r>
      <w:r>
        <w:rPr>
          <w:sz w:val="22"/>
        </w:rPr>
        <w:t>4 – </w:t>
      </w:r>
      <w:r>
        <w:rPr>
          <w:spacing w:val="-3"/>
          <w:sz w:val="22"/>
        </w:rPr>
        <w:t>Delimitação </w:t>
      </w:r>
      <w:r>
        <w:rPr>
          <w:sz w:val="22"/>
        </w:rPr>
        <w:t>de </w:t>
      </w:r>
      <w:r>
        <w:rPr>
          <w:spacing w:val="-2"/>
          <w:sz w:val="22"/>
        </w:rPr>
        <w:t>objeto </w:t>
      </w:r>
      <w:r>
        <w:rPr>
          <w:sz w:val="22"/>
        </w:rPr>
        <w:t>de </w:t>
      </w:r>
      <w:r>
        <w:rPr>
          <w:spacing w:val="-3"/>
          <w:sz w:val="22"/>
        </w:rPr>
        <w:t>monitoramento </w:t>
      </w:r>
      <w:r>
        <w:rPr>
          <w:sz w:val="22"/>
        </w:rPr>
        <w:t>– </w:t>
      </w:r>
      <w:r>
        <w:rPr>
          <w:spacing w:val="-2"/>
          <w:sz w:val="22"/>
        </w:rPr>
        <w:t>Exercício </w:t>
      </w:r>
      <w:r>
        <w:rPr>
          <w:spacing w:val="-3"/>
          <w:sz w:val="22"/>
        </w:rPr>
        <w:t>2020 </w:t>
      </w:r>
      <w:r>
        <w:rPr>
          <w:sz w:val="22"/>
        </w:rPr>
        <w:t>–</w:t>
      </w:r>
      <w:r>
        <w:rPr>
          <w:spacing w:val="-6"/>
          <w:sz w:val="22"/>
        </w:rPr>
        <w:t> </w:t>
      </w:r>
      <w:r>
        <w:rPr>
          <w:spacing w:val="-4"/>
          <w:sz w:val="22"/>
        </w:rPr>
        <w:t>TRE-BA.</w:t>
      </w: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60"/>
        <w:gridCol w:w="4109"/>
      </w:tblGrid>
      <w:tr>
        <w:trPr>
          <w:trHeight w:val="275" w:hRule="atLeast"/>
        </w:trPr>
        <w:tc>
          <w:tcPr>
            <w:tcW w:w="5360" w:type="dxa"/>
          </w:tcPr>
          <w:p>
            <w:pPr>
              <w:pStyle w:val="TableParagraph"/>
              <w:spacing w:line="256" w:lineRule="exact" w:before="0"/>
              <w:ind w:left="1247"/>
              <w:rPr>
                <w:b/>
                <w:sz w:val="24"/>
              </w:rPr>
            </w:pPr>
            <w:r>
              <w:rPr>
                <w:b/>
                <w:sz w:val="24"/>
              </w:rPr>
              <w:t>AÇÃO FISCALIZATÓRIA</w:t>
            </w:r>
          </w:p>
        </w:tc>
        <w:tc>
          <w:tcPr>
            <w:tcW w:w="4109" w:type="dxa"/>
          </w:tcPr>
          <w:p>
            <w:pPr>
              <w:pStyle w:val="TableParagraph"/>
              <w:spacing w:line="256" w:lineRule="exact" w:before="0"/>
              <w:ind w:left="229" w:right="222"/>
              <w:jc w:val="center"/>
              <w:rPr>
                <w:b/>
                <w:sz w:val="24"/>
              </w:rPr>
            </w:pPr>
            <w:r>
              <w:rPr>
                <w:b/>
                <w:sz w:val="24"/>
              </w:rPr>
              <w:t>PLANO ANUAL DE AUDITORIA</w:t>
            </w:r>
          </w:p>
        </w:tc>
      </w:tr>
      <w:tr>
        <w:trPr>
          <w:trHeight w:val="830" w:hRule="atLeast"/>
        </w:trPr>
        <w:tc>
          <w:tcPr>
            <w:tcW w:w="5360" w:type="dxa"/>
          </w:tcPr>
          <w:p>
            <w:pPr>
              <w:pStyle w:val="TableParagraph"/>
              <w:spacing w:line="270" w:lineRule="atLeast" w:before="1"/>
              <w:ind w:left="107" w:right="1125"/>
              <w:rPr>
                <w:sz w:val="24"/>
              </w:rPr>
            </w:pPr>
            <w:r>
              <w:rPr>
                <w:sz w:val="24"/>
              </w:rPr>
              <w:t>Auditoria Coordenada CNJ – Governança orçamentária e financeira, planejamento, gerenciamento, execução e gestão contábil</w:t>
            </w:r>
          </w:p>
        </w:tc>
        <w:tc>
          <w:tcPr>
            <w:tcW w:w="4109" w:type="dxa"/>
          </w:tcPr>
          <w:p>
            <w:pPr>
              <w:pStyle w:val="TableParagraph"/>
              <w:spacing w:before="1"/>
              <w:rPr>
                <w:sz w:val="24"/>
              </w:rPr>
            </w:pPr>
          </w:p>
          <w:p>
            <w:pPr>
              <w:pStyle w:val="TableParagraph"/>
              <w:spacing w:before="0"/>
              <w:ind w:left="226" w:right="222"/>
              <w:jc w:val="center"/>
              <w:rPr>
                <w:sz w:val="24"/>
              </w:rPr>
            </w:pPr>
            <w:r>
              <w:rPr>
                <w:sz w:val="24"/>
                <w:u w:val="single"/>
              </w:rPr>
              <w:t>PAA2019</w:t>
            </w:r>
          </w:p>
        </w:tc>
      </w:tr>
    </w:tbl>
    <w:p>
      <w:pPr>
        <w:spacing w:before="0"/>
        <w:ind w:left="118" w:right="0" w:firstLine="0"/>
        <w:jc w:val="left"/>
        <w:rPr>
          <w:sz w:val="18"/>
        </w:rPr>
      </w:pPr>
      <w:r>
        <w:rPr>
          <w:i/>
          <w:sz w:val="18"/>
        </w:rPr>
        <w:t>Fonte: PAA referente ao exercício </w:t>
      </w:r>
      <w:r>
        <w:rPr>
          <w:sz w:val="18"/>
        </w:rPr>
        <w:t>2019.</w:t>
      </w:r>
    </w:p>
    <w:p>
      <w:pPr>
        <w:pStyle w:val="BodyText"/>
        <w:rPr>
          <w:sz w:val="20"/>
        </w:rPr>
      </w:pPr>
    </w:p>
    <w:p>
      <w:pPr>
        <w:pStyle w:val="BodyText"/>
        <w:rPr>
          <w:sz w:val="20"/>
        </w:rPr>
      </w:pPr>
    </w:p>
    <w:p>
      <w:pPr>
        <w:pStyle w:val="BodyText"/>
        <w:spacing w:before="233"/>
        <w:ind w:right="369"/>
        <w:jc w:val="right"/>
        <w:rPr>
          <w:rFonts w:ascii="Arial"/>
        </w:rPr>
      </w:pPr>
      <w:r>
        <w:rPr>
          <w:rFonts w:ascii="Arial"/>
          <w:w w:val="99"/>
        </w:rPr>
        <w:t>9</w:t>
      </w:r>
    </w:p>
    <w:p>
      <w:pPr>
        <w:spacing w:after="0"/>
        <w:jc w:val="right"/>
        <w:rPr>
          <w:rFonts w:ascii="Arial"/>
        </w:rPr>
        <w:sectPr>
          <w:pgSz w:w="11910" w:h="16840"/>
          <w:pgMar w:top="1320" w:bottom="280" w:left="1300" w:right="760"/>
        </w:sectPr>
      </w:pPr>
    </w:p>
    <w:p>
      <w:pPr>
        <w:pStyle w:val="ListParagraph"/>
        <w:numPr>
          <w:ilvl w:val="2"/>
          <w:numId w:val="8"/>
        </w:numPr>
        <w:tabs>
          <w:tab w:pos="839" w:val="left" w:leader="none"/>
        </w:tabs>
        <w:spacing w:line="240" w:lineRule="auto" w:before="79" w:after="0"/>
        <w:ind w:left="838" w:right="370" w:hanging="720"/>
        <w:jc w:val="both"/>
        <w:rPr>
          <w:sz w:val="24"/>
        </w:rPr>
      </w:pPr>
      <w:r>
        <w:rPr>
          <w:spacing w:val="-5"/>
          <w:sz w:val="24"/>
        </w:rPr>
        <w:t>Ressalte-se </w:t>
      </w:r>
      <w:r>
        <w:rPr>
          <w:spacing w:val="-3"/>
          <w:sz w:val="24"/>
        </w:rPr>
        <w:t>que </w:t>
      </w:r>
      <w:r>
        <w:rPr>
          <w:sz w:val="24"/>
        </w:rPr>
        <w:t>os </w:t>
      </w:r>
      <w:r>
        <w:rPr>
          <w:spacing w:val="-5"/>
          <w:sz w:val="24"/>
        </w:rPr>
        <w:t>resultados </w:t>
      </w:r>
      <w:r>
        <w:rPr>
          <w:spacing w:val="-4"/>
          <w:sz w:val="24"/>
        </w:rPr>
        <w:t>apurados </w:t>
      </w:r>
      <w:r>
        <w:rPr>
          <w:spacing w:val="-3"/>
          <w:sz w:val="24"/>
        </w:rPr>
        <w:t>no </w:t>
      </w:r>
      <w:r>
        <w:rPr>
          <w:spacing w:val="-5"/>
          <w:sz w:val="24"/>
        </w:rPr>
        <w:t>referido procedimento </w:t>
      </w:r>
      <w:r>
        <w:rPr>
          <w:sz w:val="24"/>
        </w:rPr>
        <w:t>de </w:t>
      </w:r>
      <w:r>
        <w:rPr>
          <w:spacing w:val="-5"/>
          <w:sz w:val="24"/>
        </w:rPr>
        <w:t>monitoramento </w:t>
      </w:r>
      <w:r>
        <w:rPr>
          <w:spacing w:val="-4"/>
          <w:sz w:val="24"/>
        </w:rPr>
        <w:t>deverão</w:t>
      </w:r>
      <w:r>
        <w:rPr>
          <w:spacing w:val="52"/>
          <w:sz w:val="24"/>
        </w:rPr>
        <w:t> </w:t>
      </w:r>
      <w:r>
        <w:rPr>
          <w:spacing w:val="-4"/>
          <w:sz w:val="24"/>
        </w:rPr>
        <w:t>constar </w:t>
      </w:r>
      <w:r>
        <w:rPr>
          <w:spacing w:val="-3"/>
          <w:sz w:val="24"/>
        </w:rPr>
        <w:t>de </w:t>
      </w:r>
      <w:r>
        <w:rPr>
          <w:spacing w:val="-4"/>
          <w:sz w:val="24"/>
        </w:rPr>
        <w:t>banco</w:t>
      </w:r>
      <w:r>
        <w:rPr>
          <w:spacing w:val="52"/>
          <w:sz w:val="24"/>
        </w:rPr>
        <w:t> </w:t>
      </w:r>
      <w:r>
        <w:rPr>
          <w:spacing w:val="-3"/>
          <w:sz w:val="24"/>
        </w:rPr>
        <w:t>de </w:t>
      </w:r>
      <w:r>
        <w:rPr>
          <w:spacing w:val="-5"/>
          <w:sz w:val="24"/>
        </w:rPr>
        <w:t>encaminhamentos pendentes </w:t>
      </w:r>
      <w:r>
        <w:rPr>
          <w:spacing w:val="-3"/>
          <w:sz w:val="24"/>
        </w:rPr>
        <w:t>de </w:t>
      </w:r>
      <w:r>
        <w:rPr>
          <w:spacing w:val="-4"/>
          <w:sz w:val="24"/>
        </w:rPr>
        <w:t>adimplemento,</w:t>
      </w:r>
      <w:r>
        <w:rPr>
          <w:spacing w:val="52"/>
          <w:sz w:val="24"/>
        </w:rPr>
        <w:t> </w:t>
      </w:r>
      <w:r>
        <w:rPr>
          <w:spacing w:val="-4"/>
          <w:sz w:val="24"/>
        </w:rPr>
        <w:t>passando</w:t>
      </w:r>
      <w:r>
        <w:rPr>
          <w:spacing w:val="52"/>
          <w:sz w:val="24"/>
        </w:rPr>
        <w:t> </w:t>
      </w:r>
      <w:r>
        <w:rPr>
          <w:sz w:val="24"/>
        </w:rPr>
        <w:t>a </w:t>
      </w:r>
      <w:r>
        <w:rPr>
          <w:spacing w:val="-3"/>
          <w:sz w:val="24"/>
        </w:rPr>
        <w:t>ser </w:t>
      </w:r>
      <w:r>
        <w:rPr>
          <w:spacing w:val="-5"/>
          <w:sz w:val="24"/>
        </w:rPr>
        <w:t>acompanhados </w:t>
      </w:r>
      <w:r>
        <w:rPr>
          <w:spacing w:val="-3"/>
          <w:sz w:val="24"/>
        </w:rPr>
        <w:t>por </w:t>
      </w:r>
      <w:r>
        <w:rPr>
          <w:spacing w:val="-4"/>
          <w:sz w:val="24"/>
        </w:rPr>
        <w:t>processos</w:t>
      </w:r>
      <w:r>
        <w:rPr>
          <w:spacing w:val="52"/>
          <w:sz w:val="24"/>
        </w:rPr>
        <w:t> </w:t>
      </w:r>
      <w:r>
        <w:rPr>
          <w:sz w:val="24"/>
        </w:rPr>
        <w:t>no </w:t>
      </w:r>
      <w:r>
        <w:rPr>
          <w:spacing w:val="-4"/>
          <w:sz w:val="24"/>
        </w:rPr>
        <w:t>SEI,</w:t>
      </w:r>
      <w:r>
        <w:rPr>
          <w:spacing w:val="52"/>
          <w:sz w:val="24"/>
        </w:rPr>
        <w:t> </w:t>
      </w:r>
      <w:r>
        <w:rPr>
          <w:spacing w:val="-4"/>
          <w:sz w:val="24"/>
        </w:rPr>
        <w:t>específicos</w:t>
      </w:r>
      <w:r>
        <w:rPr>
          <w:spacing w:val="52"/>
          <w:sz w:val="24"/>
        </w:rPr>
        <w:t> </w:t>
      </w:r>
      <w:r>
        <w:rPr>
          <w:spacing w:val="-4"/>
          <w:sz w:val="24"/>
        </w:rPr>
        <w:t>para</w:t>
      </w:r>
      <w:r>
        <w:rPr>
          <w:spacing w:val="52"/>
          <w:sz w:val="24"/>
        </w:rPr>
        <w:t> </w:t>
      </w:r>
      <w:r>
        <w:rPr>
          <w:spacing w:val="-4"/>
          <w:sz w:val="24"/>
        </w:rPr>
        <w:t>cada</w:t>
      </w:r>
      <w:r>
        <w:rPr>
          <w:spacing w:val="52"/>
          <w:sz w:val="24"/>
        </w:rPr>
        <w:t> </w:t>
      </w:r>
      <w:r>
        <w:rPr>
          <w:spacing w:val="-4"/>
          <w:sz w:val="24"/>
        </w:rPr>
        <w:t>unidade</w:t>
      </w:r>
      <w:r>
        <w:rPr>
          <w:spacing w:val="52"/>
          <w:sz w:val="24"/>
        </w:rPr>
        <w:t> </w:t>
      </w:r>
      <w:r>
        <w:rPr>
          <w:spacing w:val="-5"/>
          <w:sz w:val="24"/>
        </w:rPr>
        <w:t>destinatária </w:t>
      </w:r>
      <w:r>
        <w:rPr>
          <w:sz w:val="24"/>
        </w:rPr>
        <w:t>de </w:t>
      </w:r>
      <w:r>
        <w:rPr>
          <w:spacing w:val="-5"/>
          <w:sz w:val="24"/>
        </w:rPr>
        <w:t>recomendação </w:t>
      </w:r>
      <w:r>
        <w:rPr>
          <w:spacing w:val="-3"/>
          <w:sz w:val="24"/>
        </w:rPr>
        <w:t>não </w:t>
      </w:r>
      <w:r>
        <w:rPr>
          <w:spacing w:val="-5"/>
          <w:sz w:val="24"/>
        </w:rPr>
        <w:t>implementada, </w:t>
      </w:r>
      <w:r>
        <w:rPr>
          <w:spacing w:val="-3"/>
          <w:sz w:val="24"/>
        </w:rPr>
        <w:t>de </w:t>
      </w:r>
      <w:r>
        <w:rPr>
          <w:spacing w:val="-4"/>
          <w:sz w:val="24"/>
        </w:rPr>
        <w:t>modo </w:t>
      </w:r>
      <w:r>
        <w:rPr>
          <w:sz w:val="24"/>
        </w:rPr>
        <w:t>a </w:t>
      </w:r>
      <w:r>
        <w:rPr>
          <w:spacing w:val="-5"/>
          <w:sz w:val="24"/>
        </w:rPr>
        <w:t>viabilizar </w:t>
      </w:r>
      <w:r>
        <w:rPr>
          <w:spacing w:val="-4"/>
          <w:sz w:val="24"/>
        </w:rPr>
        <w:t>consulta </w:t>
      </w:r>
      <w:r>
        <w:rPr>
          <w:sz w:val="24"/>
        </w:rPr>
        <w:t>e </w:t>
      </w:r>
      <w:r>
        <w:rPr>
          <w:spacing w:val="-5"/>
          <w:sz w:val="24"/>
        </w:rPr>
        <w:t>acompanhamento, </w:t>
      </w:r>
      <w:r>
        <w:rPr>
          <w:spacing w:val="-3"/>
          <w:sz w:val="24"/>
        </w:rPr>
        <w:t>bem </w:t>
      </w:r>
      <w:r>
        <w:rPr>
          <w:spacing w:val="-4"/>
          <w:sz w:val="24"/>
        </w:rPr>
        <w:t>como</w:t>
      </w:r>
      <w:r>
        <w:rPr>
          <w:spacing w:val="-10"/>
          <w:sz w:val="24"/>
        </w:rPr>
        <w:t> </w:t>
      </w:r>
      <w:r>
        <w:rPr>
          <w:spacing w:val="-5"/>
          <w:sz w:val="24"/>
        </w:rPr>
        <w:t>instrumentalizar</w:t>
      </w:r>
      <w:r>
        <w:rPr>
          <w:spacing w:val="-7"/>
          <w:sz w:val="24"/>
        </w:rPr>
        <w:t> </w:t>
      </w:r>
      <w:r>
        <w:rPr>
          <w:sz w:val="24"/>
        </w:rPr>
        <w:t>o</w:t>
      </w:r>
      <w:r>
        <w:rPr>
          <w:spacing w:val="-10"/>
          <w:sz w:val="24"/>
        </w:rPr>
        <w:t> </w:t>
      </w:r>
      <w:r>
        <w:rPr>
          <w:spacing w:val="-4"/>
          <w:sz w:val="24"/>
        </w:rPr>
        <w:t>processo</w:t>
      </w:r>
      <w:r>
        <w:rPr>
          <w:spacing w:val="-7"/>
          <w:sz w:val="24"/>
        </w:rPr>
        <w:t> </w:t>
      </w:r>
      <w:r>
        <w:rPr>
          <w:spacing w:val="-4"/>
          <w:sz w:val="24"/>
        </w:rPr>
        <w:t>decisório</w:t>
      </w:r>
      <w:r>
        <w:rPr>
          <w:spacing w:val="-8"/>
          <w:sz w:val="24"/>
        </w:rPr>
        <w:t> </w:t>
      </w:r>
      <w:r>
        <w:rPr>
          <w:sz w:val="24"/>
        </w:rPr>
        <w:t>da</w:t>
      </w:r>
      <w:r>
        <w:rPr>
          <w:spacing w:val="-10"/>
          <w:sz w:val="24"/>
        </w:rPr>
        <w:t> </w:t>
      </w:r>
      <w:r>
        <w:rPr>
          <w:spacing w:val="-4"/>
          <w:sz w:val="24"/>
        </w:rPr>
        <w:t>Alta</w:t>
      </w:r>
      <w:r>
        <w:rPr>
          <w:spacing w:val="-6"/>
          <w:sz w:val="24"/>
        </w:rPr>
        <w:t> </w:t>
      </w:r>
      <w:r>
        <w:rPr>
          <w:spacing w:val="-4"/>
          <w:sz w:val="24"/>
        </w:rPr>
        <w:t>Gestão</w:t>
      </w:r>
      <w:r>
        <w:rPr>
          <w:spacing w:val="-9"/>
          <w:sz w:val="24"/>
        </w:rPr>
        <w:t> </w:t>
      </w:r>
      <w:r>
        <w:rPr>
          <w:spacing w:val="-4"/>
          <w:sz w:val="24"/>
        </w:rPr>
        <w:t>deste</w:t>
      </w:r>
      <w:r>
        <w:rPr>
          <w:spacing w:val="-9"/>
          <w:sz w:val="24"/>
        </w:rPr>
        <w:t> </w:t>
      </w:r>
      <w:r>
        <w:rPr>
          <w:spacing w:val="-4"/>
          <w:sz w:val="24"/>
        </w:rPr>
        <w:t>Regional.</w:t>
      </w:r>
    </w:p>
    <w:p>
      <w:pPr>
        <w:pStyle w:val="ListParagraph"/>
        <w:numPr>
          <w:ilvl w:val="1"/>
          <w:numId w:val="8"/>
        </w:numPr>
        <w:tabs>
          <w:tab w:pos="479" w:val="left" w:leader="none"/>
        </w:tabs>
        <w:spacing w:line="240" w:lineRule="auto" w:before="0" w:after="0"/>
        <w:ind w:left="478" w:right="0" w:hanging="361"/>
        <w:jc w:val="both"/>
        <w:rPr>
          <w:i/>
          <w:sz w:val="24"/>
        </w:rPr>
      </w:pPr>
      <w:r>
        <w:rPr>
          <w:i/>
          <w:sz w:val="24"/>
        </w:rPr>
        <w:t>Outras ações</w:t>
      </w:r>
      <w:r>
        <w:rPr>
          <w:i/>
          <w:spacing w:val="-1"/>
          <w:sz w:val="24"/>
        </w:rPr>
        <w:t> </w:t>
      </w:r>
      <w:r>
        <w:rPr>
          <w:i/>
          <w:sz w:val="24"/>
        </w:rPr>
        <w:t>relevantes:</w:t>
      </w:r>
    </w:p>
    <w:p>
      <w:pPr>
        <w:pStyle w:val="ListParagraph"/>
        <w:numPr>
          <w:ilvl w:val="2"/>
          <w:numId w:val="8"/>
        </w:numPr>
        <w:tabs>
          <w:tab w:pos="839" w:val="left" w:leader="none"/>
        </w:tabs>
        <w:spacing w:line="240" w:lineRule="auto" w:before="0" w:after="0"/>
        <w:ind w:left="838" w:right="369" w:hanging="720"/>
        <w:jc w:val="both"/>
        <w:rPr>
          <w:sz w:val="24"/>
        </w:rPr>
      </w:pPr>
      <w:r>
        <w:rPr>
          <w:spacing w:val="-5"/>
          <w:sz w:val="24"/>
        </w:rPr>
        <w:t>Deverão </w:t>
      </w:r>
      <w:r>
        <w:rPr>
          <w:spacing w:val="-3"/>
          <w:sz w:val="24"/>
        </w:rPr>
        <w:t>ser </w:t>
      </w:r>
      <w:r>
        <w:rPr>
          <w:spacing w:val="-5"/>
          <w:sz w:val="24"/>
        </w:rPr>
        <w:t>realizadas, </w:t>
      </w:r>
      <w:r>
        <w:rPr>
          <w:spacing w:val="-4"/>
          <w:sz w:val="24"/>
        </w:rPr>
        <w:t>ainda, outras ações, </w:t>
      </w:r>
      <w:r>
        <w:rPr>
          <w:spacing w:val="-3"/>
          <w:sz w:val="24"/>
        </w:rPr>
        <w:t>não </w:t>
      </w:r>
      <w:r>
        <w:rPr>
          <w:spacing w:val="-5"/>
          <w:sz w:val="24"/>
        </w:rPr>
        <w:t>consistentes </w:t>
      </w:r>
      <w:r>
        <w:rPr>
          <w:spacing w:val="-3"/>
          <w:sz w:val="24"/>
        </w:rPr>
        <w:t>com </w:t>
      </w:r>
      <w:r>
        <w:rPr>
          <w:spacing w:val="-4"/>
          <w:sz w:val="24"/>
        </w:rPr>
        <w:t>aquelas </w:t>
      </w:r>
      <w:r>
        <w:rPr>
          <w:spacing w:val="-5"/>
          <w:sz w:val="24"/>
        </w:rPr>
        <w:t>sinalizadas </w:t>
      </w:r>
      <w:r>
        <w:rPr>
          <w:spacing w:val="-4"/>
          <w:sz w:val="24"/>
        </w:rPr>
        <w:t>nos</w:t>
      </w:r>
      <w:r>
        <w:rPr>
          <w:spacing w:val="52"/>
          <w:sz w:val="24"/>
        </w:rPr>
        <w:t> </w:t>
      </w:r>
      <w:r>
        <w:rPr>
          <w:spacing w:val="-5"/>
          <w:sz w:val="24"/>
        </w:rPr>
        <w:t>subitens anteriores, </w:t>
      </w:r>
      <w:r>
        <w:rPr>
          <w:spacing w:val="-3"/>
          <w:sz w:val="24"/>
        </w:rPr>
        <w:t>mas </w:t>
      </w:r>
      <w:r>
        <w:rPr>
          <w:sz w:val="24"/>
        </w:rPr>
        <w:t>de </w:t>
      </w:r>
      <w:r>
        <w:rPr>
          <w:spacing w:val="-5"/>
          <w:sz w:val="24"/>
        </w:rPr>
        <w:t>realização </w:t>
      </w:r>
      <w:r>
        <w:rPr>
          <w:spacing w:val="-4"/>
          <w:sz w:val="24"/>
        </w:rPr>
        <w:t>obrigatória, </w:t>
      </w:r>
      <w:r>
        <w:rPr>
          <w:spacing w:val="-3"/>
          <w:sz w:val="24"/>
        </w:rPr>
        <w:t>por </w:t>
      </w:r>
      <w:r>
        <w:rPr>
          <w:spacing w:val="-4"/>
          <w:sz w:val="24"/>
        </w:rPr>
        <w:t>força </w:t>
      </w:r>
      <w:r>
        <w:rPr>
          <w:sz w:val="24"/>
        </w:rPr>
        <w:t>de </w:t>
      </w:r>
      <w:r>
        <w:rPr>
          <w:spacing w:val="-5"/>
          <w:sz w:val="24"/>
        </w:rPr>
        <w:t>prescrições </w:t>
      </w:r>
      <w:r>
        <w:rPr>
          <w:spacing w:val="-4"/>
          <w:sz w:val="24"/>
        </w:rPr>
        <w:t>legais e/ou </w:t>
      </w:r>
      <w:r>
        <w:rPr>
          <w:spacing w:val="-5"/>
          <w:sz w:val="24"/>
        </w:rPr>
        <w:t>regimentais, </w:t>
      </w:r>
      <w:r>
        <w:rPr>
          <w:spacing w:val="-3"/>
          <w:sz w:val="24"/>
        </w:rPr>
        <w:t>ou, </w:t>
      </w:r>
      <w:r>
        <w:rPr>
          <w:spacing w:val="-4"/>
          <w:sz w:val="24"/>
        </w:rPr>
        <w:t>ainda, </w:t>
      </w:r>
      <w:r>
        <w:rPr>
          <w:spacing w:val="-3"/>
          <w:sz w:val="24"/>
        </w:rPr>
        <w:t>por </w:t>
      </w:r>
      <w:r>
        <w:rPr>
          <w:spacing w:val="-5"/>
          <w:sz w:val="24"/>
        </w:rPr>
        <w:t>determinação </w:t>
      </w:r>
      <w:r>
        <w:rPr>
          <w:spacing w:val="-3"/>
          <w:sz w:val="24"/>
        </w:rPr>
        <w:t>de </w:t>
      </w:r>
      <w:r>
        <w:rPr>
          <w:spacing w:val="-4"/>
          <w:sz w:val="24"/>
        </w:rPr>
        <w:t>órgãos </w:t>
      </w:r>
      <w:r>
        <w:rPr>
          <w:sz w:val="24"/>
        </w:rPr>
        <w:t>de</w:t>
      </w:r>
      <w:r>
        <w:rPr>
          <w:spacing w:val="-41"/>
          <w:sz w:val="24"/>
        </w:rPr>
        <w:t> </w:t>
      </w:r>
      <w:r>
        <w:rPr>
          <w:spacing w:val="-5"/>
          <w:sz w:val="24"/>
        </w:rPr>
        <w:t>controle </w:t>
      </w:r>
      <w:r>
        <w:rPr>
          <w:spacing w:val="-4"/>
          <w:sz w:val="24"/>
        </w:rPr>
        <w:t>externo:</w:t>
      </w:r>
    </w:p>
    <w:p>
      <w:pPr>
        <w:spacing w:before="120"/>
        <w:ind w:left="118" w:right="0" w:firstLine="0"/>
        <w:jc w:val="both"/>
        <w:rPr>
          <w:sz w:val="22"/>
        </w:rPr>
      </w:pPr>
      <w:r>
        <w:rPr>
          <w:sz w:val="22"/>
        </w:rPr>
        <w:t>Quadro 5 – Descrição de ações não decorrentes de auditoria:</w:t>
      </w:r>
    </w:p>
    <w:tbl>
      <w:tblPr>
        <w:tblW w:w="0" w:type="auto"/>
        <w:jc w:val="left"/>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78"/>
        <w:gridCol w:w="4822"/>
      </w:tblGrid>
      <w:tr>
        <w:trPr>
          <w:trHeight w:val="275" w:hRule="atLeast"/>
        </w:trPr>
        <w:tc>
          <w:tcPr>
            <w:tcW w:w="4678" w:type="dxa"/>
          </w:tcPr>
          <w:p>
            <w:pPr>
              <w:pStyle w:val="TableParagraph"/>
              <w:spacing w:line="256" w:lineRule="exact" w:before="0"/>
              <w:ind w:left="1963" w:right="1958"/>
              <w:jc w:val="center"/>
              <w:rPr>
                <w:b/>
                <w:sz w:val="24"/>
              </w:rPr>
            </w:pPr>
            <w:r>
              <w:rPr>
                <w:b/>
                <w:sz w:val="24"/>
              </w:rPr>
              <w:t>AÇÃO</w:t>
            </w:r>
          </w:p>
        </w:tc>
        <w:tc>
          <w:tcPr>
            <w:tcW w:w="4822" w:type="dxa"/>
          </w:tcPr>
          <w:p>
            <w:pPr>
              <w:pStyle w:val="TableParagraph"/>
              <w:spacing w:line="256" w:lineRule="exact" w:before="0"/>
              <w:ind w:left="1771" w:right="1760"/>
              <w:jc w:val="center"/>
              <w:rPr>
                <w:b/>
                <w:sz w:val="24"/>
              </w:rPr>
            </w:pPr>
            <w:r>
              <w:rPr>
                <w:b/>
                <w:sz w:val="24"/>
              </w:rPr>
              <w:t>OBJETIVO</w:t>
            </w:r>
          </w:p>
        </w:tc>
      </w:tr>
      <w:tr>
        <w:trPr>
          <w:trHeight w:val="3451" w:hRule="atLeast"/>
        </w:trPr>
        <w:tc>
          <w:tcPr>
            <w:tcW w:w="4678" w:type="dxa"/>
          </w:tcPr>
          <w:p>
            <w:pPr>
              <w:pStyle w:val="TableParagraph"/>
              <w:spacing w:before="0"/>
              <w:rPr>
                <w:sz w:val="22"/>
              </w:rPr>
            </w:pPr>
          </w:p>
          <w:p>
            <w:pPr>
              <w:pStyle w:val="TableParagraph"/>
              <w:spacing w:before="0"/>
              <w:rPr>
                <w:sz w:val="22"/>
              </w:rPr>
            </w:pPr>
          </w:p>
          <w:p>
            <w:pPr>
              <w:pStyle w:val="TableParagraph"/>
              <w:spacing w:before="0"/>
              <w:rPr>
                <w:sz w:val="22"/>
              </w:rPr>
            </w:pPr>
          </w:p>
          <w:p>
            <w:pPr>
              <w:pStyle w:val="TableParagraph"/>
              <w:spacing w:before="0"/>
              <w:rPr>
                <w:sz w:val="22"/>
              </w:rPr>
            </w:pPr>
          </w:p>
          <w:p>
            <w:pPr>
              <w:pStyle w:val="TableParagraph"/>
              <w:spacing w:before="1"/>
              <w:rPr>
                <w:sz w:val="32"/>
              </w:rPr>
            </w:pPr>
          </w:p>
          <w:p>
            <w:pPr>
              <w:pStyle w:val="TableParagraph"/>
              <w:spacing w:before="0"/>
              <w:ind w:left="107" w:right="123"/>
              <w:rPr>
                <w:sz w:val="20"/>
              </w:rPr>
            </w:pPr>
            <w:r>
              <w:rPr>
                <w:sz w:val="20"/>
              </w:rPr>
              <w:t>Elaborar relatório de atividades da Unidade de Auditoria Interna, nos termos do artigo 4º, inciso I, da Resolução CNJ nº 308, de 11 de março de 2020.</w:t>
            </w:r>
          </w:p>
        </w:tc>
        <w:tc>
          <w:tcPr>
            <w:tcW w:w="4822" w:type="dxa"/>
          </w:tcPr>
          <w:p>
            <w:pPr>
              <w:pStyle w:val="TableParagraph"/>
              <w:spacing w:before="0"/>
              <w:ind w:left="108" w:right="92"/>
              <w:rPr>
                <w:sz w:val="20"/>
              </w:rPr>
            </w:pPr>
            <w:r>
              <w:rPr>
                <w:sz w:val="20"/>
              </w:rPr>
              <w:t>Informar sobre a atuação da unidade de auditoria interna, devendo consignar, pelo menos: o desempenho da unidade de auditoria interna em relação ao Plano Anual de Auditoria, evidenciando: a relação entre o planejamento de auditoria e as auditorias efetivamente realizadas, apontando o(s) motivo(s) que inviabilizou(aram) a execução da(s) auditoria(s); as consultorias realizadas; e os principais resultados das avaliações; declaração de manutenção da independência durante a atividade de auditoria, avaliando se houve alguma restrição ao acesso completo e livre a todo e qualquer documento, registro ou informação; e os principais riscos e fragilidades de controle do tribunal ou conselho, incluindo riscos de fraude, e avaliação da</w:t>
            </w:r>
          </w:p>
          <w:p>
            <w:pPr>
              <w:pStyle w:val="TableParagraph"/>
              <w:spacing w:line="210" w:lineRule="exact" w:before="2"/>
              <w:ind w:left="108"/>
              <w:rPr>
                <w:sz w:val="20"/>
              </w:rPr>
            </w:pPr>
            <w:r>
              <w:rPr>
                <w:sz w:val="20"/>
              </w:rPr>
              <w:t>governança institucional.</w:t>
            </w:r>
          </w:p>
        </w:tc>
      </w:tr>
      <w:tr>
        <w:trPr>
          <w:trHeight w:val="919" w:hRule="atLeast"/>
        </w:trPr>
        <w:tc>
          <w:tcPr>
            <w:tcW w:w="4678" w:type="dxa"/>
          </w:tcPr>
          <w:p>
            <w:pPr>
              <w:pStyle w:val="TableParagraph"/>
              <w:spacing w:before="0"/>
              <w:ind w:left="107" w:right="123"/>
              <w:rPr>
                <w:sz w:val="20"/>
              </w:rPr>
            </w:pPr>
            <w:r>
              <w:rPr>
                <w:sz w:val="20"/>
              </w:rPr>
              <w:t>Analisar atos de admissão e concessão de aposentadoria e pensão civil, cadastrados no Sistema </w:t>
            </w:r>
            <w:r>
              <w:rPr>
                <w:spacing w:val="2"/>
                <w:sz w:val="20"/>
              </w:rPr>
              <w:t>e- </w:t>
            </w:r>
            <w:r>
              <w:rPr>
                <w:sz w:val="20"/>
              </w:rPr>
              <w:t>Pessoal, consoante determina a Instrução</w:t>
            </w:r>
            <w:r>
              <w:rPr>
                <w:spacing w:val="-7"/>
                <w:sz w:val="20"/>
              </w:rPr>
              <w:t> </w:t>
            </w:r>
            <w:r>
              <w:rPr>
                <w:sz w:val="20"/>
              </w:rPr>
              <w:t>Normativa</w:t>
            </w:r>
          </w:p>
          <w:p>
            <w:pPr>
              <w:pStyle w:val="TableParagraph"/>
              <w:spacing w:line="209" w:lineRule="exact" w:before="0"/>
              <w:ind w:left="107"/>
              <w:rPr>
                <w:sz w:val="20"/>
              </w:rPr>
            </w:pPr>
            <w:r>
              <w:rPr>
                <w:sz w:val="20"/>
              </w:rPr>
              <w:t>TCU nº 78, de 21 de março de 2018.</w:t>
            </w:r>
          </w:p>
        </w:tc>
        <w:tc>
          <w:tcPr>
            <w:tcW w:w="4822" w:type="dxa"/>
          </w:tcPr>
          <w:p>
            <w:pPr>
              <w:pStyle w:val="TableParagraph"/>
              <w:spacing w:before="0"/>
              <w:ind w:left="108" w:right="121"/>
              <w:rPr>
                <w:sz w:val="20"/>
              </w:rPr>
            </w:pPr>
            <w:r>
              <w:rPr>
                <w:sz w:val="20"/>
              </w:rPr>
              <w:t>Emitir parecer atestando a regularidade dos atos de admissão e concessão de aposentadoria e pensão civil do TRE-BA, em face do aparato normativo pertinente,</w:t>
            </w:r>
          </w:p>
          <w:p>
            <w:pPr>
              <w:pStyle w:val="TableParagraph"/>
              <w:spacing w:line="209" w:lineRule="exact" w:before="0"/>
              <w:ind w:left="108"/>
              <w:rPr>
                <w:sz w:val="20"/>
              </w:rPr>
            </w:pPr>
            <w:r>
              <w:rPr>
                <w:sz w:val="20"/>
              </w:rPr>
              <w:t>promovendo eventuais diligências reputadas necessárias.</w:t>
            </w:r>
          </w:p>
        </w:tc>
      </w:tr>
      <w:tr>
        <w:trPr>
          <w:trHeight w:val="1151" w:hRule="atLeast"/>
        </w:trPr>
        <w:tc>
          <w:tcPr>
            <w:tcW w:w="4678" w:type="dxa"/>
          </w:tcPr>
          <w:p>
            <w:pPr>
              <w:pStyle w:val="TableParagraph"/>
              <w:spacing w:before="0"/>
              <w:rPr>
                <w:sz w:val="20"/>
              </w:rPr>
            </w:pPr>
          </w:p>
          <w:p>
            <w:pPr>
              <w:pStyle w:val="TableParagraph"/>
              <w:spacing w:before="0"/>
              <w:ind w:left="107" w:right="169"/>
              <w:jc w:val="both"/>
              <w:rPr>
                <w:sz w:val="20"/>
              </w:rPr>
            </w:pPr>
            <w:r>
              <w:rPr>
                <w:sz w:val="20"/>
              </w:rPr>
              <w:t>Intermediar o cumprimento de determinações do</w:t>
            </w:r>
            <w:r>
              <w:rPr>
                <w:spacing w:val="-15"/>
                <w:sz w:val="20"/>
              </w:rPr>
              <w:t> </w:t>
            </w:r>
            <w:r>
              <w:rPr>
                <w:sz w:val="20"/>
              </w:rPr>
              <w:t>TCU, consoante prescrição inserta no inciso VI do art. 26 da Resolução Administrativa TRE-BA nº</w:t>
            </w:r>
            <w:r>
              <w:rPr>
                <w:spacing w:val="-2"/>
                <w:sz w:val="20"/>
              </w:rPr>
              <w:t> </w:t>
            </w:r>
            <w:r>
              <w:rPr>
                <w:sz w:val="20"/>
              </w:rPr>
              <w:t>12/2018.</w:t>
            </w:r>
          </w:p>
        </w:tc>
        <w:tc>
          <w:tcPr>
            <w:tcW w:w="4822" w:type="dxa"/>
          </w:tcPr>
          <w:p>
            <w:pPr>
              <w:pStyle w:val="TableParagraph"/>
              <w:spacing w:line="230" w:lineRule="atLeast" w:before="0"/>
              <w:ind w:left="108" w:right="551"/>
              <w:rPr>
                <w:sz w:val="20"/>
              </w:rPr>
            </w:pPr>
            <w:r>
              <w:rPr>
                <w:sz w:val="20"/>
              </w:rPr>
              <w:t>Acompanhar o cumprimento de planos de ação apresentados ou providências elencadas por este Regional com vistas à implementação de encaminhamentos constantes de Acórdãos do TCU, decorrentes de auditorias realizadas.</w:t>
            </w:r>
          </w:p>
        </w:tc>
      </w:tr>
      <w:tr>
        <w:trPr>
          <w:trHeight w:val="1379" w:hRule="atLeast"/>
        </w:trPr>
        <w:tc>
          <w:tcPr>
            <w:tcW w:w="4678" w:type="dxa"/>
          </w:tcPr>
          <w:p>
            <w:pPr>
              <w:pStyle w:val="TableParagraph"/>
              <w:spacing w:before="0"/>
              <w:ind w:left="107" w:right="123"/>
              <w:rPr>
                <w:sz w:val="20"/>
              </w:rPr>
            </w:pPr>
            <w:r>
              <w:rPr>
                <w:sz w:val="20"/>
              </w:rPr>
              <w:t>Intermediar o cumprimento de diligências do TCU relativas a declarações de bens e rendas, fichas financeiras, inconsistências de cadastro, dentre outras, com fundamento no inciso VII do art. 28 da Resolução Administrativa TRE-BA nº 12/2018 e legislação</w:t>
            </w:r>
          </w:p>
          <w:p>
            <w:pPr>
              <w:pStyle w:val="TableParagraph"/>
              <w:spacing w:line="209" w:lineRule="exact" w:before="0"/>
              <w:ind w:left="107"/>
              <w:rPr>
                <w:sz w:val="20"/>
              </w:rPr>
            </w:pPr>
            <w:r>
              <w:rPr>
                <w:sz w:val="20"/>
              </w:rPr>
              <w:t>esparsa pertinente.</w:t>
            </w:r>
          </w:p>
        </w:tc>
        <w:tc>
          <w:tcPr>
            <w:tcW w:w="4822" w:type="dxa"/>
          </w:tcPr>
          <w:p>
            <w:pPr>
              <w:pStyle w:val="TableParagraph"/>
              <w:spacing w:before="9"/>
              <w:rPr>
                <w:sz w:val="19"/>
              </w:rPr>
            </w:pPr>
          </w:p>
          <w:p>
            <w:pPr>
              <w:pStyle w:val="TableParagraph"/>
              <w:spacing w:before="0"/>
              <w:ind w:left="108" w:right="91"/>
              <w:rPr>
                <w:sz w:val="20"/>
              </w:rPr>
            </w:pPr>
            <w:r>
              <w:rPr>
                <w:sz w:val="20"/>
              </w:rPr>
              <w:t>Estabelecer interlocução entre o TCU e a gestão do TRE- BA, no que tange ao atendimento a diligências formuladas, acompanhando a adoção de providências necessárias ao seu efetivo cumprimento.</w:t>
            </w:r>
          </w:p>
        </w:tc>
      </w:tr>
      <w:tr>
        <w:trPr>
          <w:trHeight w:val="460" w:hRule="atLeast"/>
        </w:trPr>
        <w:tc>
          <w:tcPr>
            <w:tcW w:w="4678" w:type="dxa"/>
          </w:tcPr>
          <w:p>
            <w:pPr>
              <w:pStyle w:val="TableParagraph"/>
              <w:spacing w:line="230" w:lineRule="atLeast" w:before="0"/>
              <w:ind w:left="107" w:right="123"/>
              <w:rPr>
                <w:sz w:val="20"/>
              </w:rPr>
            </w:pPr>
            <w:r>
              <w:rPr>
                <w:sz w:val="20"/>
              </w:rPr>
              <w:t>Acompanhamento de Ações Fiscalizatórias Monitoradas</w:t>
            </w:r>
          </w:p>
        </w:tc>
        <w:tc>
          <w:tcPr>
            <w:tcW w:w="4822" w:type="dxa"/>
          </w:tcPr>
          <w:p>
            <w:pPr>
              <w:pStyle w:val="TableParagraph"/>
              <w:spacing w:line="230" w:lineRule="atLeast" w:before="0"/>
              <w:ind w:left="108" w:right="302"/>
              <w:rPr>
                <w:sz w:val="20"/>
              </w:rPr>
            </w:pPr>
            <w:r>
              <w:rPr>
                <w:sz w:val="20"/>
              </w:rPr>
              <w:t>Avaliar e registrar o adimplemento a recomendação de auditoria monitorada e considerada não integralizada.</w:t>
            </w:r>
          </w:p>
        </w:tc>
      </w:tr>
      <w:tr>
        <w:trPr>
          <w:trHeight w:val="1380" w:hRule="atLeast"/>
        </w:trPr>
        <w:tc>
          <w:tcPr>
            <w:tcW w:w="4678" w:type="dxa"/>
          </w:tcPr>
          <w:p>
            <w:pPr>
              <w:pStyle w:val="TableParagraph"/>
              <w:spacing w:before="0"/>
              <w:ind w:left="107" w:right="140"/>
              <w:rPr>
                <w:sz w:val="20"/>
              </w:rPr>
            </w:pPr>
            <w:r>
              <w:rPr>
                <w:sz w:val="20"/>
              </w:rPr>
              <w:t>Atestar a conformidade legal das informações constantes nos relatórios de gestão fiscal do Órgão, em cumprimento de obrigações decorrentes da Lei de Responsabilidade Fiscal, nos termos inciso VI do art. 29 da Resolução Administrativa TRE-BA nº 12/2018 e</w:t>
            </w:r>
          </w:p>
          <w:p>
            <w:pPr>
              <w:pStyle w:val="TableParagraph"/>
              <w:spacing w:line="210" w:lineRule="exact" w:before="0"/>
              <w:ind w:left="107"/>
              <w:rPr>
                <w:sz w:val="20"/>
              </w:rPr>
            </w:pPr>
            <w:r>
              <w:rPr>
                <w:sz w:val="20"/>
              </w:rPr>
              <w:t>legislação esparsa pertinente.</w:t>
            </w:r>
          </w:p>
        </w:tc>
        <w:tc>
          <w:tcPr>
            <w:tcW w:w="4822" w:type="dxa"/>
          </w:tcPr>
          <w:p>
            <w:pPr>
              <w:pStyle w:val="TableParagraph"/>
              <w:spacing w:before="10"/>
              <w:rPr>
                <w:sz w:val="29"/>
              </w:rPr>
            </w:pPr>
          </w:p>
          <w:p>
            <w:pPr>
              <w:pStyle w:val="TableParagraph"/>
              <w:spacing w:before="0"/>
              <w:ind w:left="108" w:right="121"/>
              <w:rPr>
                <w:sz w:val="20"/>
              </w:rPr>
            </w:pPr>
            <w:r>
              <w:rPr>
                <w:sz w:val="20"/>
              </w:rPr>
              <w:t>Efetuar, quadrimestralmente, análises destinadas a aferir a conformidade das informações consignadas em relatórios de gestão fiscal do TRE-BA.</w:t>
            </w:r>
          </w:p>
        </w:tc>
      </w:tr>
    </w:tbl>
    <w:p>
      <w:pPr>
        <w:pStyle w:val="BodyText"/>
        <w:spacing w:before="9"/>
        <w:rPr>
          <w:sz w:val="20"/>
        </w:rPr>
      </w:pPr>
    </w:p>
    <w:p>
      <w:pPr>
        <w:pStyle w:val="Heading1"/>
        <w:numPr>
          <w:ilvl w:val="0"/>
          <w:numId w:val="3"/>
        </w:numPr>
        <w:tabs>
          <w:tab w:pos="477" w:val="left" w:leader="none"/>
        </w:tabs>
        <w:spacing w:line="240" w:lineRule="auto" w:before="0" w:after="0"/>
        <w:ind w:left="476" w:right="0" w:hanging="359"/>
        <w:jc w:val="both"/>
      </w:pPr>
      <w:bookmarkStart w:name="_bookmark4" w:id="8"/>
      <w:bookmarkEnd w:id="8"/>
      <w:r>
        <w:rPr>
          <w:b w:val="0"/>
        </w:rPr>
      </w:r>
      <w:bookmarkStart w:name="_bookmark4" w:id="9"/>
      <w:bookmarkEnd w:id="9"/>
      <w:r>
        <w:rPr/>
        <w:t>E</w:t>
      </w:r>
      <w:r>
        <w:rPr/>
        <w:t>STIMATIVA DE ALOCAÇÃO DE RECURSOS E PRAZOS</w:t>
      </w:r>
    </w:p>
    <w:p>
      <w:pPr>
        <w:pStyle w:val="ListParagraph"/>
        <w:numPr>
          <w:ilvl w:val="1"/>
          <w:numId w:val="3"/>
        </w:numPr>
        <w:tabs>
          <w:tab w:pos="686" w:val="left" w:leader="none"/>
        </w:tabs>
        <w:spacing w:line="240" w:lineRule="auto" w:before="120" w:after="0"/>
        <w:ind w:left="685" w:right="372" w:hanging="567"/>
        <w:jc w:val="both"/>
        <w:rPr>
          <w:sz w:val="24"/>
        </w:rPr>
      </w:pPr>
      <w:r>
        <w:rPr>
          <w:sz w:val="24"/>
        </w:rPr>
        <w:t>Para a realização das atividades fiscalizatórias elencadas na seção 3, sintetizadas no cronograma preliminar de atividades constante do Apêndice IV, deverão ser utilizados recursos</w:t>
      </w:r>
      <w:r>
        <w:rPr>
          <w:spacing w:val="47"/>
          <w:sz w:val="24"/>
        </w:rPr>
        <w:t> </w:t>
      </w:r>
      <w:r>
        <w:rPr>
          <w:sz w:val="24"/>
        </w:rPr>
        <w:t>(pessoas,</w:t>
      </w:r>
      <w:r>
        <w:rPr>
          <w:spacing w:val="48"/>
          <w:sz w:val="24"/>
        </w:rPr>
        <w:t> </w:t>
      </w:r>
      <w:r>
        <w:rPr>
          <w:sz w:val="24"/>
        </w:rPr>
        <w:t>estrutura</w:t>
      </w:r>
      <w:r>
        <w:rPr>
          <w:spacing w:val="47"/>
          <w:sz w:val="24"/>
        </w:rPr>
        <w:t> </w:t>
      </w:r>
      <w:r>
        <w:rPr>
          <w:sz w:val="24"/>
        </w:rPr>
        <w:t>e</w:t>
      </w:r>
      <w:r>
        <w:rPr>
          <w:spacing w:val="47"/>
          <w:sz w:val="24"/>
        </w:rPr>
        <w:t> </w:t>
      </w:r>
      <w:r>
        <w:rPr>
          <w:sz w:val="24"/>
        </w:rPr>
        <w:t>tecnologia)</w:t>
      </w:r>
      <w:r>
        <w:rPr>
          <w:spacing w:val="48"/>
          <w:sz w:val="24"/>
        </w:rPr>
        <w:t> </w:t>
      </w:r>
      <w:r>
        <w:rPr>
          <w:sz w:val="24"/>
        </w:rPr>
        <w:t>ordinariamente</w:t>
      </w:r>
      <w:r>
        <w:rPr>
          <w:spacing w:val="47"/>
          <w:sz w:val="24"/>
        </w:rPr>
        <w:t> </w:t>
      </w:r>
      <w:r>
        <w:rPr>
          <w:sz w:val="24"/>
        </w:rPr>
        <w:t>empregados</w:t>
      </w:r>
      <w:r>
        <w:rPr>
          <w:spacing w:val="49"/>
          <w:sz w:val="24"/>
        </w:rPr>
        <w:t> </w:t>
      </w:r>
      <w:r>
        <w:rPr>
          <w:sz w:val="24"/>
        </w:rPr>
        <w:t>pela</w:t>
      </w:r>
      <w:r>
        <w:rPr>
          <w:spacing w:val="47"/>
          <w:sz w:val="24"/>
        </w:rPr>
        <w:t> </w:t>
      </w:r>
      <w:r>
        <w:rPr>
          <w:sz w:val="24"/>
        </w:rPr>
        <w:t>COAUD</w:t>
      </w:r>
      <w:r>
        <w:rPr>
          <w:spacing w:val="47"/>
          <w:sz w:val="24"/>
        </w:rPr>
        <w:t> </w:t>
      </w:r>
      <w:r>
        <w:rPr>
          <w:sz w:val="24"/>
        </w:rPr>
        <w:t>no</w:t>
      </w:r>
    </w:p>
    <w:p>
      <w:pPr>
        <w:pStyle w:val="BodyText"/>
        <w:rPr>
          <w:sz w:val="20"/>
        </w:rPr>
      </w:pPr>
    </w:p>
    <w:p>
      <w:pPr>
        <w:pStyle w:val="BodyText"/>
        <w:rPr>
          <w:sz w:val="20"/>
        </w:rPr>
      </w:pPr>
    </w:p>
    <w:p>
      <w:pPr>
        <w:pStyle w:val="BodyText"/>
        <w:spacing w:before="8"/>
      </w:pPr>
    </w:p>
    <w:p>
      <w:pPr>
        <w:pStyle w:val="BodyText"/>
        <w:spacing w:before="92"/>
        <w:ind w:right="366"/>
        <w:jc w:val="right"/>
        <w:rPr>
          <w:rFonts w:ascii="Arial"/>
        </w:rPr>
      </w:pPr>
      <w:r>
        <w:rPr>
          <w:rFonts w:ascii="Arial"/>
          <w:w w:val="95"/>
        </w:rPr>
        <w:t>10</w:t>
      </w:r>
    </w:p>
    <w:p>
      <w:pPr>
        <w:spacing w:after="0"/>
        <w:jc w:val="right"/>
        <w:rPr>
          <w:rFonts w:ascii="Arial"/>
        </w:rPr>
        <w:sectPr>
          <w:pgSz w:w="11910" w:h="16840"/>
          <w:pgMar w:top="1320" w:bottom="280" w:left="1300" w:right="760"/>
        </w:sectPr>
      </w:pPr>
    </w:p>
    <w:p>
      <w:pPr>
        <w:pStyle w:val="BodyText"/>
        <w:spacing w:before="79"/>
        <w:ind w:left="685" w:right="373"/>
        <w:jc w:val="both"/>
      </w:pPr>
      <w:r>
        <w:rPr/>
        <w:t>desenvolvimento</w:t>
      </w:r>
      <w:r>
        <w:rPr>
          <w:spacing w:val="-6"/>
        </w:rPr>
        <w:t> </w:t>
      </w:r>
      <w:r>
        <w:rPr/>
        <w:t>das</w:t>
      </w:r>
      <w:r>
        <w:rPr>
          <w:spacing w:val="-6"/>
        </w:rPr>
        <w:t> </w:t>
      </w:r>
      <w:r>
        <w:rPr/>
        <w:t>atividades</w:t>
      </w:r>
      <w:r>
        <w:rPr>
          <w:spacing w:val="-6"/>
        </w:rPr>
        <w:t> </w:t>
      </w:r>
      <w:r>
        <w:rPr/>
        <w:t>de</w:t>
      </w:r>
      <w:r>
        <w:rPr>
          <w:spacing w:val="-4"/>
        </w:rPr>
        <w:t> </w:t>
      </w:r>
      <w:r>
        <w:rPr/>
        <w:t>auditoria</w:t>
      </w:r>
      <w:r>
        <w:rPr>
          <w:spacing w:val="-7"/>
        </w:rPr>
        <w:t> </w:t>
      </w:r>
      <w:r>
        <w:rPr/>
        <w:t>interna,</w:t>
      </w:r>
      <w:r>
        <w:rPr>
          <w:spacing w:val="-6"/>
        </w:rPr>
        <w:t> </w:t>
      </w:r>
      <w:r>
        <w:rPr/>
        <w:t>sem</w:t>
      </w:r>
      <w:r>
        <w:rPr>
          <w:spacing w:val="-5"/>
        </w:rPr>
        <w:t> </w:t>
      </w:r>
      <w:r>
        <w:rPr/>
        <w:t>prejuízo</w:t>
      </w:r>
      <w:r>
        <w:rPr>
          <w:spacing w:val="-6"/>
        </w:rPr>
        <w:t> </w:t>
      </w:r>
      <w:r>
        <w:rPr/>
        <w:t>de</w:t>
      </w:r>
      <w:r>
        <w:rPr>
          <w:spacing w:val="-5"/>
        </w:rPr>
        <w:t> </w:t>
      </w:r>
      <w:r>
        <w:rPr/>
        <w:t>eventual</w:t>
      </w:r>
      <w:r>
        <w:rPr>
          <w:spacing w:val="-5"/>
        </w:rPr>
        <w:t> </w:t>
      </w:r>
      <w:r>
        <w:rPr/>
        <w:t>requerimento de autorização para prestação de serviço extraordinário, caso a demanda assim</w:t>
      </w:r>
      <w:r>
        <w:rPr>
          <w:spacing w:val="-10"/>
        </w:rPr>
        <w:t> </w:t>
      </w:r>
      <w:r>
        <w:rPr/>
        <w:t>justifique.</w:t>
      </w:r>
    </w:p>
    <w:p>
      <w:pPr>
        <w:pStyle w:val="ListParagraph"/>
        <w:numPr>
          <w:ilvl w:val="1"/>
          <w:numId w:val="3"/>
        </w:numPr>
        <w:tabs>
          <w:tab w:pos="686" w:val="left" w:leader="none"/>
        </w:tabs>
        <w:spacing w:line="240" w:lineRule="auto" w:before="0" w:after="0"/>
        <w:ind w:left="685" w:right="372" w:hanging="567"/>
        <w:jc w:val="both"/>
        <w:rPr>
          <w:sz w:val="24"/>
        </w:rPr>
      </w:pPr>
      <w:r>
        <w:rPr>
          <w:sz w:val="24"/>
        </w:rPr>
        <w:t>As equipes de auditoria designadas restarão compostas por auditores internos lotados nas unidades</w:t>
      </w:r>
      <w:r>
        <w:rPr>
          <w:spacing w:val="-12"/>
          <w:sz w:val="24"/>
        </w:rPr>
        <w:t> </w:t>
      </w:r>
      <w:r>
        <w:rPr>
          <w:sz w:val="24"/>
        </w:rPr>
        <w:t>vinculadas</w:t>
      </w:r>
      <w:r>
        <w:rPr>
          <w:spacing w:val="-11"/>
          <w:sz w:val="24"/>
        </w:rPr>
        <w:t> </w:t>
      </w:r>
      <w:r>
        <w:rPr>
          <w:sz w:val="24"/>
        </w:rPr>
        <w:t>à</w:t>
      </w:r>
      <w:r>
        <w:rPr>
          <w:spacing w:val="-12"/>
          <w:sz w:val="24"/>
        </w:rPr>
        <w:t> </w:t>
      </w:r>
      <w:r>
        <w:rPr>
          <w:sz w:val="24"/>
        </w:rPr>
        <w:t>COAUD,</w:t>
      </w:r>
      <w:r>
        <w:rPr>
          <w:spacing w:val="-12"/>
          <w:sz w:val="24"/>
        </w:rPr>
        <w:t> </w:t>
      </w:r>
      <w:r>
        <w:rPr>
          <w:sz w:val="24"/>
        </w:rPr>
        <w:t>podendo</w:t>
      </w:r>
      <w:r>
        <w:rPr>
          <w:spacing w:val="-11"/>
          <w:sz w:val="24"/>
        </w:rPr>
        <w:t> </w:t>
      </w:r>
      <w:r>
        <w:rPr>
          <w:sz w:val="24"/>
        </w:rPr>
        <w:t>ser</w:t>
      </w:r>
      <w:r>
        <w:rPr>
          <w:spacing w:val="-12"/>
          <w:sz w:val="24"/>
        </w:rPr>
        <w:t> </w:t>
      </w:r>
      <w:r>
        <w:rPr>
          <w:sz w:val="24"/>
        </w:rPr>
        <w:t>desenvolvidas</w:t>
      </w:r>
      <w:r>
        <w:rPr>
          <w:spacing w:val="-12"/>
          <w:sz w:val="24"/>
        </w:rPr>
        <w:t> </w:t>
      </w:r>
      <w:r>
        <w:rPr>
          <w:sz w:val="24"/>
        </w:rPr>
        <w:t>ações</w:t>
      </w:r>
      <w:r>
        <w:rPr>
          <w:spacing w:val="-11"/>
          <w:sz w:val="24"/>
        </w:rPr>
        <w:t> </w:t>
      </w:r>
      <w:r>
        <w:rPr>
          <w:sz w:val="24"/>
        </w:rPr>
        <w:t>em</w:t>
      </w:r>
      <w:r>
        <w:rPr>
          <w:spacing w:val="-11"/>
          <w:sz w:val="24"/>
        </w:rPr>
        <w:t> </w:t>
      </w:r>
      <w:r>
        <w:rPr>
          <w:sz w:val="24"/>
        </w:rPr>
        <w:t>caráter</w:t>
      </w:r>
      <w:r>
        <w:rPr>
          <w:spacing w:val="-12"/>
          <w:sz w:val="24"/>
        </w:rPr>
        <w:t> </w:t>
      </w:r>
      <w:r>
        <w:rPr>
          <w:sz w:val="24"/>
        </w:rPr>
        <w:t>compartilhado, ou seja, com o apoio de auditores provenientes de mais de uma unidade operacional, associando técnica e </w:t>
      </w:r>
      <w:r>
        <w:rPr>
          <w:i/>
          <w:sz w:val="24"/>
        </w:rPr>
        <w:t>expertise</w:t>
      </w:r>
      <w:r>
        <w:rPr>
          <w:sz w:val="24"/>
        </w:rPr>
        <w:t>. A coordenação e supervisão dos trabalhos deverá ser realizada pelo titular da</w:t>
      </w:r>
      <w:r>
        <w:rPr>
          <w:spacing w:val="-3"/>
          <w:sz w:val="24"/>
        </w:rPr>
        <w:t> </w:t>
      </w:r>
      <w:r>
        <w:rPr>
          <w:sz w:val="24"/>
        </w:rPr>
        <w:t>COAUD.</w:t>
      </w:r>
    </w:p>
    <w:p>
      <w:pPr>
        <w:pStyle w:val="ListParagraph"/>
        <w:numPr>
          <w:ilvl w:val="1"/>
          <w:numId w:val="3"/>
        </w:numPr>
        <w:tabs>
          <w:tab w:pos="686" w:val="left" w:leader="none"/>
        </w:tabs>
        <w:spacing w:line="240" w:lineRule="auto" w:before="0" w:after="0"/>
        <w:ind w:left="685" w:right="372" w:hanging="567"/>
        <w:jc w:val="both"/>
        <w:rPr>
          <w:sz w:val="24"/>
        </w:rPr>
      </w:pPr>
      <w:r>
        <w:rPr>
          <w:sz w:val="24"/>
        </w:rPr>
        <w:t>Registre-se</w:t>
      </w:r>
      <w:r>
        <w:rPr>
          <w:spacing w:val="-7"/>
          <w:sz w:val="24"/>
        </w:rPr>
        <w:t> </w:t>
      </w:r>
      <w:r>
        <w:rPr>
          <w:sz w:val="24"/>
        </w:rPr>
        <w:t>a</w:t>
      </w:r>
      <w:r>
        <w:rPr>
          <w:spacing w:val="-7"/>
          <w:sz w:val="24"/>
        </w:rPr>
        <w:t> </w:t>
      </w:r>
      <w:r>
        <w:rPr>
          <w:sz w:val="24"/>
        </w:rPr>
        <w:t>possibilidade</w:t>
      </w:r>
      <w:r>
        <w:rPr>
          <w:spacing w:val="-7"/>
          <w:sz w:val="24"/>
        </w:rPr>
        <w:t> </w:t>
      </w:r>
      <w:r>
        <w:rPr>
          <w:sz w:val="24"/>
        </w:rPr>
        <w:t>de</w:t>
      </w:r>
      <w:r>
        <w:rPr>
          <w:spacing w:val="-7"/>
          <w:sz w:val="24"/>
        </w:rPr>
        <w:t> </w:t>
      </w:r>
      <w:r>
        <w:rPr>
          <w:sz w:val="24"/>
        </w:rPr>
        <w:t>requisição</w:t>
      </w:r>
      <w:r>
        <w:rPr>
          <w:spacing w:val="-6"/>
          <w:sz w:val="24"/>
        </w:rPr>
        <w:t> </w:t>
      </w:r>
      <w:r>
        <w:rPr>
          <w:sz w:val="24"/>
        </w:rPr>
        <w:t>de</w:t>
      </w:r>
      <w:r>
        <w:rPr>
          <w:spacing w:val="-7"/>
          <w:sz w:val="24"/>
        </w:rPr>
        <w:t> </w:t>
      </w:r>
      <w:r>
        <w:rPr>
          <w:sz w:val="24"/>
        </w:rPr>
        <w:t>suporte</w:t>
      </w:r>
      <w:r>
        <w:rPr>
          <w:spacing w:val="-7"/>
          <w:sz w:val="24"/>
        </w:rPr>
        <w:t> </w:t>
      </w:r>
      <w:r>
        <w:rPr>
          <w:sz w:val="24"/>
        </w:rPr>
        <w:t>temporário</w:t>
      </w:r>
      <w:r>
        <w:rPr>
          <w:spacing w:val="-7"/>
          <w:sz w:val="24"/>
        </w:rPr>
        <w:t> </w:t>
      </w:r>
      <w:r>
        <w:rPr>
          <w:sz w:val="24"/>
        </w:rPr>
        <w:t>de</w:t>
      </w:r>
      <w:r>
        <w:rPr>
          <w:spacing w:val="-7"/>
          <w:sz w:val="24"/>
        </w:rPr>
        <w:t> </w:t>
      </w:r>
      <w:r>
        <w:rPr>
          <w:sz w:val="24"/>
        </w:rPr>
        <w:t>servidores</w:t>
      </w:r>
      <w:r>
        <w:rPr>
          <w:spacing w:val="-6"/>
          <w:sz w:val="24"/>
        </w:rPr>
        <w:t> </w:t>
      </w:r>
      <w:r>
        <w:rPr>
          <w:sz w:val="24"/>
        </w:rPr>
        <w:t>com</w:t>
      </w:r>
      <w:r>
        <w:rPr>
          <w:spacing w:val="-6"/>
          <w:sz w:val="24"/>
        </w:rPr>
        <w:t> </w:t>
      </w:r>
      <w:r>
        <w:rPr>
          <w:sz w:val="24"/>
        </w:rPr>
        <w:t>formação multidisciplinar, notadamente nas áreas de contabilidade, administração, economia, direito, tecnologia</w:t>
      </w:r>
      <w:r>
        <w:rPr>
          <w:spacing w:val="-11"/>
          <w:sz w:val="24"/>
        </w:rPr>
        <w:t> </w:t>
      </w:r>
      <w:r>
        <w:rPr>
          <w:sz w:val="24"/>
        </w:rPr>
        <w:t>da</w:t>
      </w:r>
      <w:r>
        <w:rPr>
          <w:spacing w:val="-11"/>
          <w:sz w:val="24"/>
        </w:rPr>
        <w:t> </w:t>
      </w:r>
      <w:r>
        <w:rPr>
          <w:sz w:val="24"/>
        </w:rPr>
        <w:t>informação</w:t>
      </w:r>
      <w:r>
        <w:rPr>
          <w:spacing w:val="-8"/>
          <w:sz w:val="24"/>
        </w:rPr>
        <w:t> </w:t>
      </w:r>
      <w:r>
        <w:rPr>
          <w:sz w:val="24"/>
        </w:rPr>
        <w:t>e</w:t>
      </w:r>
      <w:r>
        <w:rPr>
          <w:spacing w:val="-10"/>
          <w:sz w:val="24"/>
        </w:rPr>
        <w:t> </w:t>
      </w:r>
      <w:r>
        <w:rPr>
          <w:sz w:val="24"/>
        </w:rPr>
        <w:t>engenharia</w:t>
      </w:r>
      <w:r>
        <w:rPr>
          <w:spacing w:val="-11"/>
          <w:sz w:val="24"/>
        </w:rPr>
        <w:t> </w:t>
      </w:r>
      <w:r>
        <w:rPr>
          <w:sz w:val="24"/>
        </w:rPr>
        <w:t>civil,</w:t>
      </w:r>
      <w:r>
        <w:rPr>
          <w:spacing w:val="-9"/>
          <w:sz w:val="24"/>
        </w:rPr>
        <w:t> </w:t>
      </w:r>
      <w:r>
        <w:rPr>
          <w:sz w:val="24"/>
        </w:rPr>
        <w:t>lotados</w:t>
      </w:r>
      <w:r>
        <w:rPr>
          <w:spacing w:val="-8"/>
          <w:sz w:val="24"/>
        </w:rPr>
        <w:t> </w:t>
      </w:r>
      <w:r>
        <w:rPr>
          <w:sz w:val="24"/>
        </w:rPr>
        <w:t>nas</w:t>
      </w:r>
      <w:r>
        <w:rPr>
          <w:spacing w:val="-9"/>
          <w:sz w:val="24"/>
        </w:rPr>
        <w:t> </w:t>
      </w:r>
      <w:r>
        <w:rPr>
          <w:sz w:val="24"/>
        </w:rPr>
        <w:t>demais</w:t>
      </w:r>
      <w:r>
        <w:rPr>
          <w:spacing w:val="-9"/>
          <w:sz w:val="24"/>
        </w:rPr>
        <w:t> </w:t>
      </w:r>
      <w:r>
        <w:rPr>
          <w:sz w:val="24"/>
        </w:rPr>
        <w:t>unidades</w:t>
      </w:r>
      <w:r>
        <w:rPr>
          <w:spacing w:val="-8"/>
          <w:sz w:val="24"/>
        </w:rPr>
        <w:t> </w:t>
      </w:r>
      <w:r>
        <w:rPr>
          <w:sz w:val="24"/>
        </w:rPr>
        <w:t>administrativas</w:t>
      </w:r>
      <w:r>
        <w:rPr>
          <w:spacing w:val="-9"/>
          <w:sz w:val="24"/>
        </w:rPr>
        <w:t> </w:t>
      </w:r>
      <w:r>
        <w:rPr>
          <w:sz w:val="24"/>
        </w:rPr>
        <w:t>ou judiciárias</w:t>
      </w:r>
      <w:r>
        <w:rPr>
          <w:spacing w:val="-14"/>
          <w:sz w:val="24"/>
        </w:rPr>
        <w:t> </w:t>
      </w:r>
      <w:r>
        <w:rPr>
          <w:sz w:val="24"/>
        </w:rPr>
        <w:t>do</w:t>
      </w:r>
      <w:r>
        <w:rPr>
          <w:spacing w:val="-11"/>
          <w:sz w:val="24"/>
        </w:rPr>
        <w:t> </w:t>
      </w:r>
      <w:r>
        <w:rPr>
          <w:sz w:val="24"/>
        </w:rPr>
        <w:t>Tribunal,</w:t>
      </w:r>
      <w:r>
        <w:rPr>
          <w:spacing w:val="-13"/>
          <w:sz w:val="24"/>
        </w:rPr>
        <w:t> </w:t>
      </w:r>
      <w:r>
        <w:rPr>
          <w:sz w:val="24"/>
        </w:rPr>
        <w:t>na</w:t>
      </w:r>
      <w:r>
        <w:rPr>
          <w:spacing w:val="-14"/>
          <w:sz w:val="24"/>
        </w:rPr>
        <w:t> </w:t>
      </w:r>
      <w:r>
        <w:rPr>
          <w:sz w:val="24"/>
        </w:rPr>
        <w:t>realização</w:t>
      </w:r>
      <w:r>
        <w:rPr>
          <w:spacing w:val="-11"/>
          <w:sz w:val="24"/>
        </w:rPr>
        <w:t> </w:t>
      </w:r>
      <w:r>
        <w:rPr>
          <w:sz w:val="24"/>
        </w:rPr>
        <w:t>de</w:t>
      </w:r>
      <w:r>
        <w:rPr>
          <w:spacing w:val="-12"/>
          <w:sz w:val="24"/>
        </w:rPr>
        <w:t> </w:t>
      </w:r>
      <w:r>
        <w:rPr>
          <w:sz w:val="24"/>
        </w:rPr>
        <w:t>ações</w:t>
      </w:r>
      <w:r>
        <w:rPr>
          <w:spacing w:val="-13"/>
          <w:sz w:val="24"/>
        </w:rPr>
        <w:t> </w:t>
      </w:r>
      <w:r>
        <w:rPr>
          <w:sz w:val="24"/>
        </w:rPr>
        <w:t>fiscalizatórias</w:t>
      </w:r>
      <w:r>
        <w:rPr>
          <w:spacing w:val="-13"/>
          <w:sz w:val="24"/>
        </w:rPr>
        <w:t> </w:t>
      </w:r>
      <w:r>
        <w:rPr>
          <w:sz w:val="24"/>
        </w:rPr>
        <w:t>que</w:t>
      </w:r>
      <w:r>
        <w:rPr>
          <w:spacing w:val="-13"/>
          <w:sz w:val="24"/>
        </w:rPr>
        <w:t> </w:t>
      </w:r>
      <w:r>
        <w:rPr>
          <w:sz w:val="24"/>
        </w:rPr>
        <w:t>demandarem</w:t>
      </w:r>
      <w:r>
        <w:rPr>
          <w:spacing w:val="-13"/>
          <w:sz w:val="24"/>
        </w:rPr>
        <w:t> </w:t>
      </w:r>
      <w:r>
        <w:rPr>
          <w:sz w:val="24"/>
        </w:rPr>
        <w:t>especializado conhecimento na matéria objeto de exame, consoante facultado pelo inciso VIII do item 7 do Parecer nº</w:t>
      </w:r>
      <w:r>
        <w:rPr>
          <w:spacing w:val="-1"/>
          <w:sz w:val="24"/>
        </w:rPr>
        <w:t> </w:t>
      </w:r>
      <w:r>
        <w:rPr>
          <w:sz w:val="24"/>
        </w:rPr>
        <w:t>2/2013/SCI-Presi/CNJ.</w:t>
      </w:r>
    </w:p>
    <w:p>
      <w:pPr>
        <w:pStyle w:val="ListParagraph"/>
        <w:numPr>
          <w:ilvl w:val="1"/>
          <w:numId w:val="3"/>
        </w:numPr>
        <w:tabs>
          <w:tab w:pos="686" w:val="left" w:leader="none"/>
        </w:tabs>
        <w:spacing w:line="240" w:lineRule="auto" w:before="1" w:after="0"/>
        <w:ind w:left="685" w:right="371" w:hanging="567"/>
        <w:jc w:val="both"/>
        <w:rPr>
          <w:sz w:val="24"/>
        </w:rPr>
      </w:pPr>
      <w:r>
        <w:rPr>
          <w:spacing w:val="-3"/>
          <w:sz w:val="24"/>
        </w:rPr>
        <w:t>Estima-se, </w:t>
      </w:r>
      <w:r>
        <w:rPr>
          <w:sz w:val="24"/>
        </w:rPr>
        <w:t>para a </w:t>
      </w:r>
      <w:r>
        <w:rPr>
          <w:spacing w:val="-3"/>
          <w:sz w:val="24"/>
        </w:rPr>
        <w:t>concretização </w:t>
      </w:r>
      <w:r>
        <w:rPr>
          <w:sz w:val="24"/>
        </w:rPr>
        <w:t>das </w:t>
      </w:r>
      <w:r>
        <w:rPr>
          <w:spacing w:val="-2"/>
          <w:sz w:val="24"/>
        </w:rPr>
        <w:t>etapas </w:t>
      </w:r>
      <w:r>
        <w:rPr>
          <w:sz w:val="24"/>
        </w:rPr>
        <w:t>relativas ao </w:t>
      </w:r>
      <w:r>
        <w:rPr>
          <w:spacing w:val="-3"/>
          <w:sz w:val="24"/>
        </w:rPr>
        <w:t>planejamento, execução </w:t>
      </w:r>
      <w:r>
        <w:rPr>
          <w:sz w:val="24"/>
        </w:rPr>
        <w:t>e elaboração de </w:t>
      </w:r>
      <w:r>
        <w:rPr>
          <w:spacing w:val="-3"/>
          <w:sz w:val="24"/>
        </w:rPr>
        <w:t>relatório, </w:t>
      </w:r>
      <w:r>
        <w:rPr>
          <w:spacing w:val="-2"/>
          <w:sz w:val="24"/>
        </w:rPr>
        <w:t>observada </w:t>
      </w:r>
      <w:r>
        <w:rPr>
          <w:sz w:val="24"/>
        </w:rPr>
        <w:t>a </w:t>
      </w:r>
      <w:r>
        <w:rPr>
          <w:spacing w:val="-3"/>
          <w:sz w:val="24"/>
        </w:rPr>
        <w:t>utilização </w:t>
      </w:r>
      <w:r>
        <w:rPr>
          <w:sz w:val="24"/>
        </w:rPr>
        <w:t>de </w:t>
      </w:r>
      <w:r>
        <w:rPr>
          <w:spacing w:val="-3"/>
          <w:sz w:val="24"/>
        </w:rPr>
        <w:t>abordagem baseada </w:t>
      </w:r>
      <w:r>
        <w:rPr>
          <w:sz w:val="24"/>
        </w:rPr>
        <w:t>em </w:t>
      </w:r>
      <w:r>
        <w:rPr>
          <w:spacing w:val="-3"/>
          <w:sz w:val="24"/>
        </w:rPr>
        <w:t>riscos </w:t>
      </w:r>
      <w:r>
        <w:rPr>
          <w:sz w:val="24"/>
        </w:rPr>
        <w:t>(ABR), </w:t>
      </w:r>
      <w:r>
        <w:rPr>
          <w:spacing w:val="-3"/>
          <w:sz w:val="24"/>
        </w:rPr>
        <w:t>exceto </w:t>
      </w:r>
      <w:r>
        <w:rPr>
          <w:sz w:val="24"/>
        </w:rPr>
        <w:t>para as </w:t>
      </w:r>
      <w:r>
        <w:rPr>
          <w:spacing w:val="-3"/>
          <w:sz w:val="24"/>
        </w:rPr>
        <w:t>Auditorias Integradas TSE/TREs </w:t>
      </w:r>
      <w:r>
        <w:rPr>
          <w:sz w:val="24"/>
        </w:rPr>
        <w:t>e </w:t>
      </w:r>
      <w:r>
        <w:rPr>
          <w:spacing w:val="-3"/>
          <w:sz w:val="24"/>
        </w:rPr>
        <w:t>Coordenadas </w:t>
      </w:r>
      <w:r>
        <w:rPr>
          <w:sz w:val="24"/>
        </w:rPr>
        <w:t>CNJ, para definição do escopo e </w:t>
      </w:r>
      <w:r>
        <w:rPr>
          <w:spacing w:val="-3"/>
          <w:sz w:val="24"/>
        </w:rPr>
        <w:t>profundidade </w:t>
      </w:r>
      <w:r>
        <w:rPr>
          <w:sz w:val="24"/>
        </w:rPr>
        <w:t>dos </w:t>
      </w:r>
      <w:r>
        <w:rPr>
          <w:spacing w:val="-2"/>
          <w:sz w:val="24"/>
        </w:rPr>
        <w:t>testes </w:t>
      </w:r>
      <w:r>
        <w:rPr>
          <w:sz w:val="24"/>
        </w:rPr>
        <w:t>de auditoria a </w:t>
      </w:r>
      <w:r>
        <w:rPr>
          <w:spacing w:val="-3"/>
          <w:sz w:val="24"/>
        </w:rPr>
        <w:t>serem aplicados, </w:t>
      </w:r>
      <w:r>
        <w:rPr>
          <w:sz w:val="24"/>
        </w:rPr>
        <w:t>o prazo de 80 dias </w:t>
      </w:r>
      <w:r>
        <w:rPr>
          <w:spacing w:val="-3"/>
          <w:sz w:val="24"/>
        </w:rPr>
        <w:t>úteis </w:t>
      </w:r>
      <w:r>
        <w:rPr>
          <w:sz w:val="24"/>
        </w:rPr>
        <w:t>ou 4 meses para </w:t>
      </w:r>
      <w:r>
        <w:rPr>
          <w:spacing w:val="-3"/>
          <w:sz w:val="24"/>
        </w:rPr>
        <w:t>conclusão </w:t>
      </w:r>
      <w:r>
        <w:rPr>
          <w:sz w:val="24"/>
        </w:rPr>
        <w:t>dos trabalhos, quando não </w:t>
      </w:r>
      <w:r>
        <w:rPr>
          <w:spacing w:val="-3"/>
          <w:sz w:val="24"/>
        </w:rPr>
        <w:t>fixado </w:t>
      </w:r>
      <w:r>
        <w:rPr>
          <w:sz w:val="24"/>
        </w:rPr>
        <w:t>lapso </w:t>
      </w:r>
      <w:r>
        <w:rPr>
          <w:spacing w:val="-3"/>
          <w:sz w:val="24"/>
        </w:rPr>
        <w:t>temporal distinto, </w:t>
      </w:r>
      <w:r>
        <w:rPr>
          <w:sz w:val="24"/>
        </w:rPr>
        <w:t>em se tratando de </w:t>
      </w:r>
      <w:r>
        <w:rPr>
          <w:spacing w:val="-3"/>
          <w:sz w:val="24"/>
        </w:rPr>
        <w:t>cronograma afeto </w:t>
      </w:r>
      <w:r>
        <w:rPr>
          <w:sz w:val="24"/>
        </w:rPr>
        <w:t>a ações </w:t>
      </w:r>
      <w:r>
        <w:rPr>
          <w:spacing w:val="-3"/>
          <w:sz w:val="24"/>
        </w:rPr>
        <w:t>coordenadas </w:t>
      </w:r>
      <w:r>
        <w:rPr>
          <w:sz w:val="24"/>
        </w:rPr>
        <w:t>ou </w:t>
      </w:r>
      <w:r>
        <w:rPr>
          <w:spacing w:val="-3"/>
          <w:sz w:val="24"/>
        </w:rPr>
        <w:t>integradas. </w:t>
      </w:r>
      <w:r>
        <w:rPr>
          <w:sz w:val="24"/>
        </w:rPr>
        <w:t>No caso de ações de </w:t>
      </w:r>
      <w:r>
        <w:rPr>
          <w:spacing w:val="-3"/>
          <w:sz w:val="24"/>
        </w:rPr>
        <w:t>monitoramento, prevê-se conclusão </w:t>
      </w:r>
      <w:r>
        <w:rPr>
          <w:sz w:val="24"/>
        </w:rPr>
        <w:t>dos trabalhos em cerca de 2</w:t>
      </w:r>
      <w:r>
        <w:rPr>
          <w:spacing w:val="-33"/>
          <w:sz w:val="24"/>
        </w:rPr>
        <w:t> </w:t>
      </w:r>
      <w:r>
        <w:rPr>
          <w:sz w:val="24"/>
        </w:rPr>
        <w:t>meses.</w:t>
      </w:r>
    </w:p>
    <w:p>
      <w:pPr>
        <w:pStyle w:val="ListParagraph"/>
        <w:numPr>
          <w:ilvl w:val="1"/>
          <w:numId w:val="3"/>
        </w:numPr>
        <w:tabs>
          <w:tab w:pos="686" w:val="left" w:leader="none"/>
        </w:tabs>
        <w:spacing w:line="240" w:lineRule="auto" w:before="0" w:after="0"/>
        <w:ind w:left="685" w:right="380" w:hanging="567"/>
        <w:jc w:val="both"/>
        <w:rPr>
          <w:sz w:val="24"/>
        </w:rPr>
      </w:pPr>
      <w:r>
        <w:rPr>
          <w:sz w:val="24"/>
        </w:rPr>
        <w:t>A auditoria financeira integrada com conformidade deverá ser executada no período de setembro de 2020 a março de</w:t>
      </w:r>
      <w:r>
        <w:rPr>
          <w:spacing w:val="-4"/>
          <w:sz w:val="24"/>
        </w:rPr>
        <w:t> </w:t>
      </w:r>
      <w:r>
        <w:rPr>
          <w:sz w:val="24"/>
        </w:rPr>
        <w:t>2021.</w:t>
      </w:r>
    </w:p>
    <w:p>
      <w:pPr>
        <w:pStyle w:val="ListParagraph"/>
        <w:numPr>
          <w:ilvl w:val="1"/>
          <w:numId w:val="3"/>
        </w:numPr>
        <w:tabs>
          <w:tab w:pos="686" w:val="left" w:leader="none"/>
        </w:tabs>
        <w:spacing w:line="240" w:lineRule="auto" w:before="0" w:after="0"/>
        <w:ind w:left="685" w:right="375" w:hanging="567"/>
        <w:jc w:val="both"/>
        <w:rPr>
          <w:sz w:val="24"/>
        </w:rPr>
      </w:pPr>
      <w:r>
        <w:rPr>
          <w:sz w:val="24"/>
        </w:rPr>
        <w:t>Assim,</w:t>
      </w:r>
      <w:r>
        <w:rPr>
          <w:spacing w:val="-12"/>
          <w:sz w:val="24"/>
        </w:rPr>
        <w:t> </w:t>
      </w:r>
      <w:r>
        <w:rPr>
          <w:sz w:val="24"/>
        </w:rPr>
        <w:t>necessária</w:t>
      </w:r>
      <w:r>
        <w:rPr>
          <w:spacing w:val="-9"/>
          <w:sz w:val="24"/>
        </w:rPr>
        <w:t> </w:t>
      </w:r>
      <w:r>
        <w:rPr>
          <w:sz w:val="24"/>
        </w:rPr>
        <w:t>a</w:t>
      </w:r>
      <w:r>
        <w:rPr>
          <w:spacing w:val="-12"/>
          <w:sz w:val="24"/>
        </w:rPr>
        <w:t> </w:t>
      </w:r>
      <w:r>
        <w:rPr>
          <w:sz w:val="24"/>
        </w:rPr>
        <w:t>adequação</w:t>
      </w:r>
      <w:r>
        <w:rPr>
          <w:spacing w:val="-11"/>
          <w:sz w:val="24"/>
        </w:rPr>
        <w:t> </w:t>
      </w:r>
      <w:r>
        <w:rPr>
          <w:sz w:val="24"/>
        </w:rPr>
        <w:t>do</w:t>
      </w:r>
      <w:r>
        <w:rPr>
          <w:spacing w:val="-11"/>
          <w:sz w:val="24"/>
        </w:rPr>
        <w:t> </w:t>
      </w:r>
      <w:r>
        <w:rPr>
          <w:sz w:val="24"/>
        </w:rPr>
        <w:t>período</w:t>
      </w:r>
      <w:r>
        <w:rPr>
          <w:spacing w:val="-11"/>
          <w:sz w:val="24"/>
        </w:rPr>
        <w:t> </w:t>
      </w:r>
      <w:r>
        <w:rPr>
          <w:sz w:val="24"/>
        </w:rPr>
        <w:t>de</w:t>
      </w:r>
      <w:r>
        <w:rPr>
          <w:spacing w:val="-12"/>
          <w:sz w:val="24"/>
        </w:rPr>
        <w:t> </w:t>
      </w:r>
      <w:r>
        <w:rPr>
          <w:sz w:val="24"/>
        </w:rPr>
        <w:t>execução</w:t>
      </w:r>
      <w:r>
        <w:rPr>
          <w:spacing w:val="-11"/>
          <w:sz w:val="24"/>
        </w:rPr>
        <w:t> </w:t>
      </w:r>
      <w:r>
        <w:rPr>
          <w:sz w:val="24"/>
        </w:rPr>
        <w:t>do</w:t>
      </w:r>
      <w:r>
        <w:rPr>
          <w:spacing w:val="-11"/>
          <w:sz w:val="24"/>
        </w:rPr>
        <w:t> </w:t>
      </w:r>
      <w:r>
        <w:rPr>
          <w:sz w:val="24"/>
        </w:rPr>
        <w:t>PAA2020</w:t>
      </w:r>
      <w:r>
        <w:rPr>
          <w:spacing w:val="-11"/>
          <w:sz w:val="24"/>
        </w:rPr>
        <w:t> </w:t>
      </w:r>
      <w:r>
        <w:rPr>
          <w:sz w:val="24"/>
        </w:rPr>
        <w:t>às</w:t>
      </w:r>
      <w:r>
        <w:rPr>
          <w:spacing w:val="-11"/>
          <w:sz w:val="24"/>
        </w:rPr>
        <w:t> </w:t>
      </w:r>
      <w:r>
        <w:rPr>
          <w:sz w:val="24"/>
        </w:rPr>
        <w:t>diretrizes</w:t>
      </w:r>
      <w:r>
        <w:rPr>
          <w:spacing w:val="-12"/>
          <w:sz w:val="24"/>
        </w:rPr>
        <w:t> </w:t>
      </w:r>
      <w:r>
        <w:rPr>
          <w:sz w:val="24"/>
        </w:rPr>
        <w:t>dos</w:t>
      </w:r>
      <w:r>
        <w:rPr>
          <w:spacing w:val="-11"/>
          <w:sz w:val="24"/>
        </w:rPr>
        <w:t> </w:t>
      </w:r>
      <w:r>
        <w:rPr>
          <w:sz w:val="24"/>
        </w:rPr>
        <w:t>órgãos do TCU e do TSE, razão pela qual o prazo para realização dos trabalhos está fixado em 31/3/2021.</w:t>
      </w:r>
    </w:p>
    <w:p>
      <w:pPr>
        <w:pStyle w:val="BodyText"/>
        <w:spacing w:before="10"/>
        <w:rPr>
          <w:sz w:val="20"/>
        </w:rPr>
      </w:pPr>
    </w:p>
    <w:p>
      <w:pPr>
        <w:pStyle w:val="Heading1"/>
        <w:numPr>
          <w:ilvl w:val="0"/>
          <w:numId w:val="3"/>
        </w:numPr>
        <w:tabs>
          <w:tab w:pos="477" w:val="left" w:leader="none"/>
        </w:tabs>
        <w:spacing w:line="240" w:lineRule="auto" w:before="0" w:after="0"/>
        <w:ind w:left="476" w:right="0" w:hanging="359"/>
        <w:jc w:val="left"/>
      </w:pPr>
      <w:bookmarkStart w:name="_bookmark5" w:id="10"/>
      <w:bookmarkEnd w:id="10"/>
      <w:r>
        <w:rPr>
          <w:b w:val="0"/>
        </w:rPr>
      </w:r>
      <w:bookmarkStart w:name="_bookmark5" w:id="11"/>
      <w:bookmarkEnd w:id="11"/>
      <w:r>
        <w:rPr/>
        <w:t>A</w:t>
      </w:r>
      <w:r>
        <w:rPr/>
        <w:t>ÇÕES DE DESENVOLVIMENTO DE</w:t>
      </w:r>
      <w:r>
        <w:rPr>
          <w:spacing w:val="-1"/>
        </w:rPr>
        <w:t> </w:t>
      </w:r>
      <w:r>
        <w:rPr/>
        <w:t>PESSOAL</w:t>
      </w:r>
    </w:p>
    <w:p>
      <w:pPr>
        <w:pStyle w:val="ListParagraph"/>
        <w:numPr>
          <w:ilvl w:val="1"/>
          <w:numId w:val="3"/>
        </w:numPr>
        <w:tabs>
          <w:tab w:pos="686" w:val="left" w:leader="none"/>
        </w:tabs>
        <w:spacing w:line="240" w:lineRule="auto" w:before="121" w:after="0"/>
        <w:ind w:left="685" w:right="374" w:hanging="567"/>
        <w:jc w:val="both"/>
        <w:rPr>
          <w:sz w:val="24"/>
        </w:rPr>
      </w:pPr>
      <w:r>
        <w:rPr>
          <w:sz w:val="24"/>
        </w:rPr>
        <w:t>No intuito de viabilizar a boa e regular execução das ações fiscalizatórias propostas e a efetiva agregação de valor à gestão deste Regional decorrente dos resultados apurados e melhorias encaminhadas, em consonância com o quanto disposto nos artigos 69 a 73 da Resolução CNJ nº 309/2020, faz-se imprescindível assegurar aos auditores internos da COAUD treinamentos específicos relativos à prática profissional de auditoria interna e aos objetos a serem abordados ao longo do exercício</w:t>
      </w:r>
      <w:r>
        <w:rPr>
          <w:spacing w:val="-2"/>
          <w:sz w:val="24"/>
        </w:rPr>
        <w:t> </w:t>
      </w:r>
      <w:r>
        <w:rPr>
          <w:sz w:val="24"/>
        </w:rPr>
        <w:t>2020.</w:t>
      </w:r>
    </w:p>
    <w:p>
      <w:pPr>
        <w:pStyle w:val="ListParagraph"/>
        <w:numPr>
          <w:ilvl w:val="1"/>
          <w:numId w:val="3"/>
        </w:numPr>
        <w:tabs>
          <w:tab w:pos="686" w:val="left" w:leader="none"/>
        </w:tabs>
        <w:spacing w:line="240" w:lineRule="auto" w:before="0" w:after="0"/>
        <w:ind w:left="685" w:right="371" w:hanging="567"/>
        <w:jc w:val="both"/>
        <w:rPr>
          <w:sz w:val="24"/>
        </w:rPr>
      </w:pPr>
      <w:r>
        <w:rPr>
          <w:sz w:val="24"/>
        </w:rPr>
        <w:t>Nesse contexto, as capacitações descritas no Apêndice V(PAC-Aud2020), em atendimento ao quanto disposto nos artigos 69 a 73 da Res. CNJ nº 309/2020, concorrem para a viabilização do desenvolvimento das ações fiscalizatórias previstas para o presente exercício,</w:t>
      </w:r>
      <w:r>
        <w:rPr>
          <w:spacing w:val="-12"/>
          <w:sz w:val="24"/>
        </w:rPr>
        <w:t> </w:t>
      </w:r>
      <w:r>
        <w:rPr>
          <w:sz w:val="24"/>
        </w:rPr>
        <w:t>bem</w:t>
      </w:r>
      <w:r>
        <w:rPr>
          <w:spacing w:val="-11"/>
          <w:sz w:val="24"/>
        </w:rPr>
        <w:t> </w:t>
      </w:r>
      <w:r>
        <w:rPr>
          <w:sz w:val="24"/>
        </w:rPr>
        <w:t>assim</w:t>
      </w:r>
      <w:r>
        <w:rPr>
          <w:spacing w:val="-12"/>
          <w:sz w:val="24"/>
        </w:rPr>
        <w:t> </w:t>
      </w:r>
      <w:r>
        <w:rPr>
          <w:sz w:val="24"/>
        </w:rPr>
        <w:t>da</w:t>
      </w:r>
      <w:r>
        <w:rPr>
          <w:spacing w:val="-11"/>
          <w:sz w:val="24"/>
        </w:rPr>
        <w:t> </w:t>
      </w:r>
      <w:r>
        <w:rPr>
          <w:sz w:val="24"/>
        </w:rPr>
        <w:t>proficiência</w:t>
      </w:r>
      <w:r>
        <w:rPr>
          <w:spacing w:val="-12"/>
          <w:sz w:val="24"/>
        </w:rPr>
        <w:t> </w:t>
      </w:r>
      <w:r>
        <w:rPr>
          <w:sz w:val="24"/>
        </w:rPr>
        <w:t>na</w:t>
      </w:r>
      <w:r>
        <w:rPr>
          <w:spacing w:val="-13"/>
          <w:sz w:val="24"/>
        </w:rPr>
        <w:t> </w:t>
      </w:r>
      <w:r>
        <w:rPr>
          <w:sz w:val="24"/>
        </w:rPr>
        <w:t>prática</w:t>
      </w:r>
      <w:r>
        <w:rPr>
          <w:spacing w:val="-12"/>
          <w:sz w:val="24"/>
        </w:rPr>
        <w:t> </w:t>
      </w:r>
      <w:r>
        <w:rPr>
          <w:sz w:val="24"/>
        </w:rPr>
        <w:t>profissional</w:t>
      </w:r>
      <w:r>
        <w:rPr>
          <w:spacing w:val="-12"/>
          <w:sz w:val="24"/>
        </w:rPr>
        <w:t> </w:t>
      </w:r>
      <w:r>
        <w:rPr>
          <w:sz w:val="24"/>
        </w:rPr>
        <w:t>da</w:t>
      </w:r>
      <w:r>
        <w:rPr>
          <w:spacing w:val="-12"/>
          <w:sz w:val="24"/>
        </w:rPr>
        <w:t> </w:t>
      </w:r>
      <w:r>
        <w:rPr>
          <w:sz w:val="24"/>
        </w:rPr>
        <w:t>atividade</w:t>
      </w:r>
      <w:r>
        <w:rPr>
          <w:spacing w:val="-13"/>
          <w:sz w:val="24"/>
        </w:rPr>
        <w:t> </w:t>
      </w:r>
      <w:r>
        <w:rPr>
          <w:sz w:val="24"/>
        </w:rPr>
        <w:t>de</w:t>
      </w:r>
      <w:r>
        <w:rPr>
          <w:spacing w:val="-13"/>
          <w:sz w:val="24"/>
        </w:rPr>
        <w:t> </w:t>
      </w:r>
      <w:r>
        <w:rPr>
          <w:sz w:val="24"/>
        </w:rPr>
        <w:t>auditoria</w:t>
      </w:r>
      <w:r>
        <w:rPr>
          <w:spacing w:val="-12"/>
          <w:sz w:val="24"/>
        </w:rPr>
        <w:t> </w:t>
      </w:r>
      <w:r>
        <w:rPr>
          <w:sz w:val="24"/>
        </w:rPr>
        <w:t>interna, contribuindo</w:t>
      </w:r>
      <w:r>
        <w:rPr>
          <w:spacing w:val="-16"/>
          <w:sz w:val="24"/>
        </w:rPr>
        <w:t> </w:t>
      </w:r>
      <w:r>
        <w:rPr>
          <w:sz w:val="24"/>
        </w:rPr>
        <w:t>para</w:t>
      </w:r>
      <w:r>
        <w:rPr>
          <w:spacing w:val="-16"/>
          <w:sz w:val="24"/>
        </w:rPr>
        <w:t> </w:t>
      </w:r>
      <w:r>
        <w:rPr>
          <w:sz w:val="24"/>
        </w:rPr>
        <w:t>a</w:t>
      </w:r>
      <w:r>
        <w:rPr>
          <w:spacing w:val="-14"/>
          <w:sz w:val="24"/>
        </w:rPr>
        <w:t> </w:t>
      </w:r>
      <w:r>
        <w:rPr>
          <w:sz w:val="24"/>
        </w:rPr>
        <w:t>melhoria</w:t>
      </w:r>
      <w:r>
        <w:rPr>
          <w:spacing w:val="-16"/>
          <w:sz w:val="24"/>
        </w:rPr>
        <w:t> </w:t>
      </w:r>
      <w:r>
        <w:rPr>
          <w:sz w:val="24"/>
        </w:rPr>
        <w:t>da</w:t>
      </w:r>
      <w:r>
        <w:rPr>
          <w:spacing w:val="-14"/>
          <w:sz w:val="24"/>
        </w:rPr>
        <w:t> </w:t>
      </w:r>
      <w:r>
        <w:rPr>
          <w:sz w:val="24"/>
        </w:rPr>
        <w:t>qualidade</w:t>
      </w:r>
      <w:r>
        <w:rPr>
          <w:spacing w:val="-15"/>
          <w:sz w:val="24"/>
        </w:rPr>
        <w:t> </w:t>
      </w:r>
      <w:r>
        <w:rPr>
          <w:sz w:val="24"/>
        </w:rPr>
        <w:t>dos</w:t>
      </w:r>
      <w:r>
        <w:rPr>
          <w:spacing w:val="-15"/>
          <w:sz w:val="24"/>
        </w:rPr>
        <w:t> </w:t>
      </w:r>
      <w:r>
        <w:rPr>
          <w:sz w:val="24"/>
        </w:rPr>
        <w:t>resultados</w:t>
      </w:r>
      <w:r>
        <w:rPr>
          <w:spacing w:val="-15"/>
          <w:sz w:val="24"/>
        </w:rPr>
        <w:t> </w:t>
      </w:r>
      <w:r>
        <w:rPr>
          <w:sz w:val="24"/>
        </w:rPr>
        <w:t>agregados</w:t>
      </w:r>
      <w:r>
        <w:rPr>
          <w:spacing w:val="-15"/>
          <w:sz w:val="24"/>
        </w:rPr>
        <w:t> </w:t>
      </w:r>
      <w:r>
        <w:rPr>
          <w:sz w:val="24"/>
        </w:rPr>
        <w:t>à</w:t>
      </w:r>
      <w:r>
        <w:rPr>
          <w:spacing w:val="-14"/>
          <w:sz w:val="24"/>
        </w:rPr>
        <w:t> </w:t>
      </w:r>
      <w:r>
        <w:rPr>
          <w:sz w:val="24"/>
        </w:rPr>
        <w:t>gestão,</w:t>
      </w:r>
      <w:r>
        <w:rPr>
          <w:spacing w:val="-15"/>
          <w:sz w:val="24"/>
        </w:rPr>
        <w:t> </w:t>
      </w:r>
      <w:r>
        <w:rPr>
          <w:sz w:val="24"/>
        </w:rPr>
        <w:t>em</w:t>
      </w:r>
      <w:r>
        <w:rPr>
          <w:spacing w:val="-15"/>
          <w:sz w:val="24"/>
        </w:rPr>
        <w:t> </w:t>
      </w:r>
      <w:r>
        <w:rPr>
          <w:sz w:val="24"/>
        </w:rPr>
        <w:t>decorrência de ações fiscalizatórias</w:t>
      </w:r>
      <w:r>
        <w:rPr>
          <w:spacing w:val="-2"/>
          <w:sz w:val="24"/>
        </w:rPr>
        <w:t> </w:t>
      </w:r>
      <w:r>
        <w:rPr>
          <w:sz w:val="24"/>
        </w:rPr>
        <w:t>realizadas.</w:t>
      </w:r>
    </w:p>
    <w:p>
      <w:pPr>
        <w:pStyle w:val="ListParagraph"/>
        <w:numPr>
          <w:ilvl w:val="1"/>
          <w:numId w:val="3"/>
        </w:numPr>
        <w:tabs>
          <w:tab w:pos="686" w:val="left" w:leader="none"/>
        </w:tabs>
        <w:spacing w:line="240" w:lineRule="auto" w:before="0" w:after="0"/>
        <w:ind w:left="685" w:right="368" w:hanging="567"/>
        <w:jc w:val="both"/>
        <w:rPr>
          <w:sz w:val="24"/>
        </w:rPr>
      </w:pPr>
      <w:r>
        <w:rPr>
          <w:sz w:val="24"/>
        </w:rPr>
        <w:t>Registre-se que a melhoria da proficiência, eficácia e qualidade dos trabalhos figura como princípio</w:t>
      </w:r>
      <w:r>
        <w:rPr>
          <w:spacing w:val="-5"/>
          <w:sz w:val="24"/>
        </w:rPr>
        <w:t> </w:t>
      </w:r>
      <w:r>
        <w:rPr>
          <w:sz w:val="24"/>
        </w:rPr>
        <w:t>fundamental</w:t>
      </w:r>
      <w:r>
        <w:rPr>
          <w:sz w:val="24"/>
          <w:vertAlign w:val="superscript"/>
        </w:rPr>
        <w:t>4</w:t>
      </w:r>
      <w:r>
        <w:rPr>
          <w:sz w:val="24"/>
          <w:vertAlign w:val="baseline"/>
        </w:rPr>
        <w:t>,</w:t>
      </w:r>
      <w:r>
        <w:rPr>
          <w:spacing w:val="-4"/>
          <w:sz w:val="24"/>
          <w:vertAlign w:val="baseline"/>
        </w:rPr>
        <w:t> </w:t>
      </w:r>
      <w:r>
        <w:rPr>
          <w:sz w:val="24"/>
          <w:vertAlign w:val="baseline"/>
        </w:rPr>
        <w:t>regra</w:t>
      </w:r>
      <w:r>
        <w:rPr>
          <w:spacing w:val="-7"/>
          <w:sz w:val="24"/>
          <w:vertAlign w:val="baseline"/>
        </w:rPr>
        <w:t> </w:t>
      </w:r>
      <w:r>
        <w:rPr>
          <w:sz w:val="24"/>
          <w:vertAlign w:val="baseline"/>
        </w:rPr>
        <w:t>de</w:t>
      </w:r>
      <w:r>
        <w:rPr>
          <w:spacing w:val="-5"/>
          <w:sz w:val="24"/>
          <w:vertAlign w:val="baseline"/>
        </w:rPr>
        <w:t> </w:t>
      </w:r>
      <w:r>
        <w:rPr>
          <w:sz w:val="24"/>
          <w:vertAlign w:val="baseline"/>
        </w:rPr>
        <w:t>conduta</w:t>
      </w:r>
      <w:r>
        <w:rPr>
          <w:sz w:val="24"/>
          <w:vertAlign w:val="superscript"/>
        </w:rPr>
        <w:t>5</w:t>
      </w:r>
      <w:r>
        <w:rPr>
          <w:spacing w:val="-3"/>
          <w:sz w:val="24"/>
          <w:vertAlign w:val="baseline"/>
        </w:rPr>
        <w:t> </w:t>
      </w:r>
      <w:r>
        <w:rPr>
          <w:sz w:val="24"/>
          <w:vertAlign w:val="baseline"/>
        </w:rPr>
        <w:t>associada</w:t>
      </w:r>
      <w:r>
        <w:rPr>
          <w:spacing w:val="-6"/>
          <w:sz w:val="24"/>
          <w:vertAlign w:val="baseline"/>
        </w:rPr>
        <w:t> </w:t>
      </w:r>
      <w:r>
        <w:rPr>
          <w:sz w:val="24"/>
          <w:vertAlign w:val="baseline"/>
        </w:rPr>
        <w:t>ao</w:t>
      </w:r>
      <w:r>
        <w:rPr>
          <w:spacing w:val="-4"/>
          <w:sz w:val="24"/>
          <w:vertAlign w:val="baseline"/>
        </w:rPr>
        <w:t> </w:t>
      </w:r>
      <w:r>
        <w:rPr>
          <w:sz w:val="24"/>
          <w:vertAlign w:val="baseline"/>
        </w:rPr>
        <w:t>princípio</w:t>
      </w:r>
      <w:r>
        <w:rPr>
          <w:spacing w:val="-5"/>
          <w:sz w:val="24"/>
          <w:vertAlign w:val="baseline"/>
        </w:rPr>
        <w:t> </w:t>
      </w:r>
      <w:r>
        <w:rPr>
          <w:sz w:val="24"/>
          <w:vertAlign w:val="baseline"/>
        </w:rPr>
        <w:t>ético</w:t>
      </w:r>
      <w:r>
        <w:rPr>
          <w:spacing w:val="-4"/>
          <w:sz w:val="24"/>
          <w:vertAlign w:val="baseline"/>
        </w:rPr>
        <w:t> </w:t>
      </w:r>
      <w:r>
        <w:rPr>
          <w:sz w:val="24"/>
          <w:vertAlign w:val="baseline"/>
        </w:rPr>
        <w:t>competência</w:t>
      </w:r>
      <w:r>
        <w:rPr>
          <w:spacing w:val="-2"/>
          <w:sz w:val="24"/>
          <w:vertAlign w:val="baseline"/>
        </w:rPr>
        <w:t> </w:t>
      </w:r>
      <w:r>
        <w:rPr>
          <w:sz w:val="24"/>
          <w:vertAlign w:val="baseline"/>
        </w:rPr>
        <w:t>e</w:t>
      </w:r>
      <w:r>
        <w:rPr>
          <w:spacing w:val="-6"/>
          <w:sz w:val="24"/>
          <w:vertAlign w:val="baseline"/>
        </w:rPr>
        <w:t> </w:t>
      </w:r>
      <w:r>
        <w:rPr>
          <w:sz w:val="24"/>
          <w:vertAlign w:val="baseline"/>
        </w:rPr>
        <w:t>objeto</w:t>
      </w:r>
    </w:p>
    <w:p>
      <w:pPr>
        <w:pStyle w:val="BodyText"/>
        <w:rPr>
          <w:sz w:val="20"/>
        </w:rPr>
      </w:pPr>
    </w:p>
    <w:p>
      <w:pPr>
        <w:pStyle w:val="BodyText"/>
        <w:rPr>
          <w:sz w:val="20"/>
        </w:rPr>
      </w:pPr>
    </w:p>
    <w:p>
      <w:pPr>
        <w:pStyle w:val="BodyText"/>
        <w:spacing w:before="7"/>
      </w:pPr>
      <w:r>
        <w:rPr/>
        <w:pict>
          <v:rect style="position:absolute;margin-left:70.944pt;margin-top:16.099764pt;width:144.020pt;height:.60004pt;mso-position-horizontal-relative:page;mso-position-vertical-relative:paragraph;z-index:-15728128;mso-wrap-distance-left:0;mso-wrap-distance-right:0" filled="true" fillcolor="#000000" stroked="false">
            <v:fill type="solid"/>
            <w10:wrap type="topAndBottom"/>
          </v:rect>
        </w:pict>
      </w:r>
    </w:p>
    <w:p>
      <w:pPr>
        <w:pStyle w:val="ListParagraph"/>
        <w:numPr>
          <w:ilvl w:val="0"/>
          <w:numId w:val="9"/>
        </w:numPr>
        <w:tabs>
          <w:tab w:pos="280" w:val="left" w:leader="none"/>
        </w:tabs>
        <w:spacing w:line="240" w:lineRule="auto" w:before="71" w:after="0"/>
        <w:ind w:left="118" w:right="392" w:firstLine="0"/>
        <w:jc w:val="both"/>
        <w:rPr>
          <w:rFonts w:ascii="Arial" w:hAnsi="Arial"/>
          <w:sz w:val="20"/>
        </w:rPr>
      </w:pPr>
      <w:r>
        <w:rPr>
          <w:sz w:val="20"/>
        </w:rPr>
        <w:t>Estrutura Internacional de Práticas Profissionais de Auditoria Interna (IPPF), 2016. Instituto Global dos Auditores Internos (IIA). Princípios fundamentais para a prática profissional da Auditoria Interna. [...] Demonstrar</w:t>
      </w:r>
      <w:r>
        <w:rPr>
          <w:spacing w:val="-33"/>
          <w:sz w:val="20"/>
        </w:rPr>
        <w:t> </w:t>
      </w:r>
      <w:r>
        <w:rPr>
          <w:sz w:val="20"/>
        </w:rPr>
        <w:t>Proficiência e Zelo Profissional</w:t>
      </w:r>
      <w:r>
        <w:rPr>
          <w:spacing w:val="2"/>
          <w:sz w:val="20"/>
        </w:rPr>
        <w:t> </w:t>
      </w:r>
      <w:r>
        <w:rPr>
          <w:sz w:val="20"/>
        </w:rPr>
        <w:t>Devido.</w:t>
      </w:r>
    </w:p>
    <w:p>
      <w:pPr>
        <w:pStyle w:val="ListParagraph"/>
        <w:numPr>
          <w:ilvl w:val="0"/>
          <w:numId w:val="9"/>
        </w:numPr>
        <w:tabs>
          <w:tab w:pos="304" w:val="left" w:leader="none"/>
        </w:tabs>
        <w:spacing w:line="240" w:lineRule="auto" w:before="0" w:after="0"/>
        <w:ind w:left="118" w:right="424" w:firstLine="0"/>
        <w:jc w:val="left"/>
        <w:rPr>
          <w:rFonts w:ascii="Arial" w:hAnsi="Arial"/>
          <w:sz w:val="24"/>
        </w:rPr>
      </w:pPr>
      <w:r>
        <w:rPr>
          <w:sz w:val="20"/>
        </w:rPr>
        <w:t>Estrutura Internacional de Práticas Profissionais de Auditoria Interna (IPPF), 2016. Instituto Global dos</w:t>
      </w:r>
      <w:r>
        <w:rPr>
          <w:spacing w:val="-33"/>
          <w:sz w:val="20"/>
        </w:rPr>
        <w:t> </w:t>
      </w:r>
      <w:r>
        <w:rPr>
          <w:sz w:val="20"/>
        </w:rPr>
        <w:t>Auditores Internos (IIA). Código de Ética. Regras de Conduta. [...] 4. Competência. Os auditores internos: [...] 4.3 Devem melhorar continuamente sua proficiência e a eficácia e qualidade de seus</w:t>
      </w:r>
      <w:r>
        <w:rPr>
          <w:spacing w:val="-4"/>
          <w:sz w:val="20"/>
        </w:rPr>
        <w:t> </w:t>
      </w:r>
      <w:r>
        <w:rPr>
          <w:sz w:val="20"/>
        </w:rPr>
        <w:t>serviços.</w:t>
      </w:r>
    </w:p>
    <w:p>
      <w:pPr>
        <w:pStyle w:val="BodyText"/>
        <w:rPr>
          <w:sz w:val="20"/>
        </w:rPr>
      </w:pPr>
    </w:p>
    <w:p>
      <w:pPr>
        <w:pStyle w:val="BodyText"/>
        <w:spacing w:before="3"/>
        <w:rPr>
          <w:sz w:val="18"/>
        </w:rPr>
      </w:pPr>
    </w:p>
    <w:p>
      <w:pPr>
        <w:pStyle w:val="BodyText"/>
        <w:spacing w:before="93"/>
        <w:ind w:right="366"/>
        <w:jc w:val="right"/>
        <w:rPr>
          <w:rFonts w:ascii="Arial"/>
        </w:rPr>
      </w:pPr>
      <w:r>
        <w:rPr>
          <w:rFonts w:ascii="Arial"/>
          <w:w w:val="95"/>
        </w:rPr>
        <w:t>11</w:t>
      </w:r>
    </w:p>
    <w:p>
      <w:pPr>
        <w:spacing w:after="0"/>
        <w:jc w:val="right"/>
        <w:rPr>
          <w:rFonts w:ascii="Arial"/>
        </w:rPr>
        <w:sectPr>
          <w:pgSz w:w="11910" w:h="16840"/>
          <w:pgMar w:top="1320" w:bottom="280" w:left="1300" w:right="760"/>
        </w:sectPr>
      </w:pPr>
    </w:p>
    <w:p>
      <w:pPr>
        <w:pStyle w:val="BodyText"/>
        <w:spacing w:before="99"/>
        <w:ind w:left="685"/>
      </w:pPr>
      <w:r>
        <w:rPr/>
        <w:t>da norma de atributo 1210</w:t>
      </w:r>
      <w:r>
        <w:rPr>
          <w:vertAlign w:val="superscript"/>
        </w:rPr>
        <w:t>6</w:t>
      </w:r>
      <w:r>
        <w:rPr>
          <w:vertAlign w:val="baseline"/>
        </w:rPr>
        <w:t>, todos integrantes da Estrutura Internacional de Práticas Profissionais de Auditoria Interna (IPPF), editada pelo IIA.</w:t>
      </w:r>
    </w:p>
    <w:p>
      <w:pPr>
        <w:pStyle w:val="BodyText"/>
        <w:spacing w:before="10"/>
        <w:rPr>
          <w:sz w:val="20"/>
        </w:rPr>
      </w:pPr>
    </w:p>
    <w:p>
      <w:pPr>
        <w:pStyle w:val="Heading1"/>
        <w:numPr>
          <w:ilvl w:val="0"/>
          <w:numId w:val="3"/>
        </w:numPr>
        <w:tabs>
          <w:tab w:pos="477" w:val="left" w:leader="none"/>
        </w:tabs>
        <w:spacing w:line="240" w:lineRule="auto" w:before="0" w:after="0"/>
        <w:ind w:left="476" w:right="0" w:hanging="359"/>
        <w:jc w:val="left"/>
      </w:pPr>
      <w:bookmarkStart w:name="_bookmark6" w:id="12"/>
      <w:bookmarkEnd w:id="12"/>
      <w:r>
        <w:rPr>
          <w:b w:val="0"/>
        </w:rPr>
      </w:r>
      <w:bookmarkStart w:name="_bookmark6" w:id="13"/>
      <w:bookmarkEnd w:id="13"/>
      <w:r>
        <w:rPr/>
        <w:t>E</w:t>
      </w:r>
      <w:r>
        <w:rPr/>
        <w:t>XPECTATIVA DE</w:t>
      </w:r>
      <w:r>
        <w:rPr>
          <w:spacing w:val="-2"/>
        </w:rPr>
        <w:t> </w:t>
      </w:r>
      <w:r>
        <w:rPr/>
        <w:t>RESULTADOS</w:t>
      </w:r>
    </w:p>
    <w:p>
      <w:pPr>
        <w:pStyle w:val="ListParagraph"/>
        <w:numPr>
          <w:ilvl w:val="1"/>
          <w:numId w:val="3"/>
        </w:numPr>
        <w:tabs>
          <w:tab w:pos="686" w:val="left" w:leader="none"/>
        </w:tabs>
        <w:spacing w:line="240" w:lineRule="auto" w:before="120" w:after="0"/>
        <w:ind w:left="685" w:right="371" w:hanging="567"/>
        <w:jc w:val="both"/>
        <w:rPr>
          <w:sz w:val="24"/>
        </w:rPr>
      </w:pPr>
      <w:r>
        <w:rPr>
          <w:sz w:val="24"/>
        </w:rPr>
        <w:t>A</w:t>
      </w:r>
      <w:r>
        <w:rPr>
          <w:spacing w:val="-9"/>
          <w:sz w:val="24"/>
        </w:rPr>
        <w:t> </w:t>
      </w:r>
      <w:r>
        <w:rPr>
          <w:sz w:val="24"/>
        </w:rPr>
        <w:t>auditoria</w:t>
      </w:r>
      <w:r>
        <w:rPr>
          <w:spacing w:val="-10"/>
          <w:sz w:val="24"/>
        </w:rPr>
        <w:t> </w:t>
      </w:r>
      <w:r>
        <w:rPr>
          <w:sz w:val="24"/>
        </w:rPr>
        <w:t>interna</w:t>
      </w:r>
      <w:r>
        <w:rPr>
          <w:spacing w:val="-10"/>
          <w:sz w:val="24"/>
        </w:rPr>
        <w:t> </w:t>
      </w:r>
      <w:r>
        <w:rPr>
          <w:sz w:val="24"/>
        </w:rPr>
        <w:t>consiste</w:t>
      </w:r>
      <w:r>
        <w:rPr>
          <w:spacing w:val="-9"/>
          <w:sz w:val="24"/>
        </w:rPr>
        <w:t> </w:t>
      </w:r>
      <w:r>
        <w:rPr>
          <w:sz w:val="24"/>
        </w:rPr>
        <w:t>em</w:t>
      </w:r>
      <w:r>
        <w:rPr>
          <w:spacing w:val="-8"/>
          <w:sz w:val="24"/>
        </w:rPr>
        <w:t> </w:t>
      </w:r>
      <w:r>
        <w:rPr>
          <w:sz w:val="24"/>
        </w:rPr>
        <w:t>atividade</w:t>
      </w:r>
      <w:r>
        <w:rPr>
          <w:spacing w:val="-9"/>
          <w:sz w:val="24"/>
        </w:rPr>
        <w:t> </w:t>
      </w:r>
      <w:r>
        <w:rPr>
          <w:sz w:val="24"/>
        </w:rPr>
        <w:t>independente</w:t>
      </w:r>
      <w:r>
        <w:rPr>
          <w:spacing w:val="-9"/>
          <w:sz w:val="24"/>
        </w:rPr>
        <w:t> </w:t>
      </w:r>
      <w:r>
        <w:rPr>
          <w:sz w:val="24"/>
        </w:rPr>
        <w:t>e</w:t>
      </w:r>
      <w:r>
        <w:rPr>
          <w:spacing w:val="-10"/>
          <w:sz w:val="24"/>
        </w:rPr>
        <w:t> </w:t>
      </w:r>
      <w:r>
        <w:rPr>
          <w:sz w:val="24"/>
        </w:rPr>
        <w:t>objetiva</w:t>
      </w:r>
      <w:r>
        <w:rPr>
          <w:spacing w:val="-9"/>
          <w:sz w:val="24"/>
        </w:rPr>
        <w:t> </w:t>
      </w:r>
      <w:r>
        <w:rPr>
          <w:sz w:val="24"/>
        </w:rPr>
        <w:t>de</w:t>
      </w:r>
      <w:r>
        <w:rPr>
          <w:spacing w:val="-10"/>
          <w:sz w:val="24"/>
        </w:rPr>
        <w:t> </w:t>
      </w:r>
      <w:r>
        <w:rPr>
          <w:sz w:val="24"/>
        </w:rPr>
        <w:t>avaliação</w:t>
      </w:r>
      <w:r>
        <w:rPr>
          <w:spacing w:val="-8"/>
          <w:sz w:val="24"/>
        </w:rPr>
        <w:t> </w:t>
      </w:r>
      <w:r>
        <w:rPr>
          <w:sz w:val="24"/>
        </w:rPr>
        <w:t>e</w:t>
      </w:r>
      <w:r>
        <w:rPr>
          <w:spacing w:val="-10"/>
          <w:sz w:val="24"/>
        </w:rPr>
        <w:t> </w:t>
      </w:r>
      <w:r>
        <w:rPr>
          <w:sz w:val="24"/>
        </w:rPr>
        <w:t>consultoria, desenvolvida para agregar valor e melhorar os processos organizacionais, notadamente aqueles</w:t>
      </w:r>
      <w:r>
        <w:rPr>
          <w:spacing w:val="-6"/>
          <w:sz w:val="24"/>
        </w:rPr>
        <w:t> </w:t>
      </w:r>
      <w:r>
        <w:rPr>
          <w:sz w:val="24"/>
        </w:rPr>
        <w:t>afetos</w:t>
      </w:r>
      <w:r>
        <w:rPr>
          <w:spacing w:val="-6"/>
          <w:sz w:val="24"/>
        </w:rPr>
        <w:t> </w:t>
      </w:r>
      <w:r>
        <w:rPr>
          <w:sz w:val="24"/>
        </w:rPr>
        <w:t>a</w:t>
      </w:r>
      <w:r>
        <w:rPr>
          <w:spacing w:val="-10"/>
          <w:sz w:val="24"/>
        </w:rPr>
        <w:t> </w:t>
      </w:r>
      <w:r>
        <w:rPr>
          <w:sz w:val="24"/>
        </w:rPr>
        <w:t>governança,</w:t>
      </w:r>
      <w:r>
        <w:rPr>
          <w:spacing w:val="-8"/>
          <w:sz w:val="24"/>
        </w:rPr>
        <w:t> </w:t>
      </w:r>
      <w:r>
        <w:rPr>
          <w:sz w:val="24"/>
        </w:rPr>
        <w:t>gerenciamento</w:t>
      </w:r>
      <w:r>
        <w:rPr>
          <w:spacing w:val="-8"/>
          <w:sz w:val="24"/>
        </w:rPr>
        <w:t> </w:t>
      </w:r>
      <w:r>
        <w:rPr>
          <w:sz w:val="24"/>
        </w:rPr>
        <w:t>de</w:t>
      </w:r>
      <w:r>
        <w:rPr>
          <w:spacing w:val="-7"/>
          <w:sz w:val="24"/>
        </w:rPr>
        <w:t> </w:t>
      </w:r>
      <w:r>
        <w:rPr>
          <w:sz w:val="24"/>
        </w:rPr>
        <w:t>riscos</w:t>
      </w:r>
      <w:r>
        <w:rPr>
          <w:spacing w:val="-8"/>
          <w:sz w:val="24"/>
        </w:rPr>
        <w:t> </w:t>
      </w:r>
      <w:r>
        <w:rPr>
          <w:sz w:val="24"/>
        </w:rPr>
        <w:t>e</w:t>
      </w:r>
      <w:r>
        <w:rPr>
          <w:spacing w:val="-9"/>
          <w:sz w:val="24"/>
        </w:rPr>
        <w:t> </w:t>
      </w:r>
      <w:r>
        <w:rPr>
          <w:sz w:val="24"/>
        </w:rPr>
        <w:t>controle</w:t>
      </w:r>
      <w:r>
        <w:rPr>
          <w:spacing w:val="-10"/>
          <w:sz w:val="24"/>
        </w:rPr>
        <w:t> </w:t>
      </w:r>
      <w:r>
        <w:rPr>
          <w:sz w:val="24"/>
        </w:rPr>
        <w:t>interno.</w:t>
      </w:r>
      <w:r>
        <w:rPr>
          <w:spacing w:val="-7"/>
          <w:sz w:val="24"/>
        </w:rPr>
        <w:t> </w:t>
      </w:r>
      <w:r>
        <w:rPr>
          <w:sz w:val="24"/>
        </w:rPr>
        <w:t>Constitui,</w:t>
      </w:r>
      <w:r>
        <w:rPr>
          <w:spacing w:val="-7"/>
          <w:sz w:val="24"/>
        </w:rPr>
        <w:t> </w:t>
      </w:r>
      <w:r>
        <w:rPr>
          <w:sz w:val="24"/>
        </w:rPr>
        <w:t>portanto, missão das unidades de auditoria interna, aumentar e proteger o valor organizacional, fornecendo</w:t>
      </w:r>
      <w:r>
        <w:rPr>
          <w:spacing w:val="-13"/>
          <w:sz w:val="24"/>
        </w:rPr>
        <w:t> </w:t>
      </w:r>
      <w:r>
        <w:rPr>
          <w:sz w:val="24"/>
        </w:rPr>
        <w:t>avaliação</w:t>
      </w:r>
      <w:r>
        <w:rPr>
          <w:spacing w:val="-11"/>
          <w:sz w:val="24"/>
        </w:rPr>
        <w:t> </w:t>
      </w:r>
      <w:r>
        <w:rPr>
          <w:sz w:val="24"/>
        </w:rPr>
        <w:t>(</w:t>
      </w:r>
      <w:r>
        <w:rPr>
          <w:i/>
          <w:sz w:val="24"/>
        </w:rPr>
        <w:t>assurance</w:t>
      </w:r>
      <w:r>
        <w:rPr>
          <w:sz w:val="24"/>
        </w:rPr>
        <w:t>),</w:t>
      </w:r>
      <w:r>
        <w:rPr>
          <w:spacing w:val="-14"/>
          <w:sz w:val="24"/>
        </w:rPr>
        <w:t> </w:t>
      </w:r>
      <w:r>
        <w:rPr>
          <w:sz w:val="24"/>
        </w:rPr>
        <w:t>consultoria</w:t>
      </w:r>
      <w:r>
        <w:rPr>
          <w:spacing w:val="-12"/>
          <w:sz w:val="24"/>
        </w:rPr>
        <w:t> </w:t>
      </w:r>
      <w:r>
        <w:rPr>
          <w:sz w:val="24"/>
        </w:rPr>
        <w:t>(</w:t>
      </w:r>
      <w:r>
        <w:rPr>
          <w:i/>
          <w:sz w:val="24"/>
        </w:rPr>
        <w:t>advisory</w:t>
      </w:r>
      <w:r>
        <w:rPr>
          <w:sz w:val="24"/>
        </w:rPr>
        <w:t>)</w:t>
      </w:r>
      <w:r>
        <w:rPr>
          <w:spacing w:val="-14"/>
          <w:sz w:val="24"/>
        </w:rPr>
        <w:t> </w:t>
      </w:r>
      <w:r>
        <w:rPr>
          <w:sz w:val="24"/>
        </w:rPr>
        <w:t>e</w:t>
      </w:r>
      <w:r>
        <w:rPr>
          <w:spacing w:val="-13"/>
          <w:sz w:val="24"/>
        </w:rPr>
        <w:t> </w:t>
      </w:r>
      <w:r>
        <w:rPr>
          <w:sz w:val="24"/>
        </w:rPr>
        <w:t>percepção</w:t>
      </w:r>
      <w:r>
        <w:rPr>
          <w:spacing w:val="-13"/>
          <w:sz w:val="24"/>
        </w:rPr>
        <w:t> </w:t>
      </w:r>
      <w:r>
        <w:rPr>
          <w:sz w:val="24"/>
        </w:rPr>
        <w:t>para</w:t>
      </w:r>
      <w:r>
        <w:rPr>
          <w:spacing w:val="-13"/>
          <w:sz w:val="24"/>
        </w:rPr>
        <w:t> </w:t>
      </w:r>
      <w:r>
        <w:rPr>
          <w:sz w:val="24"/>
        </w:rPr>
        <w:t>o</w:t>
      </w:r>
      <w:r>
        <w:rPr>
          <w:spacing w:val="-13"/>
          <w:sz w:val="24"/>
        </w:rPr>
        <w:t> </w:t>
      </w:r>
      <w:r>
        <w:rPr>
          <w:sz w:val="24"/>
        </w:rPr>
        <w:t>futuro</w:t>
      </w:r>
      <w:r>
        <w:rPr>
          <w:spacing w:val="-12"/>
          <w:sz w:val="24"/>
        </w:rPr>
        <w:t> </w:t>
      </w:r>
      <w:r>
        <w:rPr>
          <w:sz w:val="24"/>
        </w:rPr>
        <w:t>(</w:t>
      </w:r>
      <w:r>
        <w:rPr>
          <w:i/>
          <w:sz w:val="24"/>
        </w:rPr>
        <w:t>insight</w:t>
      </w:r>
      <w:r>
        <w:rPr>
          <w:sz w:val="24"/>
        </w:rPr>
        <w:t>).</w:t>
      </w:r>
    </w:p>
    <w:p>
      <w:pPr>
        <w:pStyle w:val="ListParagraph"/>
        <w:numPr>
          <w:ilvl w:val="1"/>
          <w:numId w:val="3"/>
        </w:numPr>
        <w:tabs>
          <w:tab w:pos="686" w:val="left" w:leader="none"/>
        </w:tabs>
        <w:spacing w:line="240" w:lineRule="auto" w:before="0" w:after="0"/>
        <w:ind w:left="685" w:right="374" w:hanging="567"/>
        <w:jc w:val="both"/>
        <w:rPr>
          <w:sz w:val="24"/>
        </w:rPr>
      </w:pPr>
      <w:r>
        <w:rPr>
          <w:sz w:val="24"/>
        </w:rPr>
        <w:t>Nessa perspectiva, a realização das avaliações propostas no presente planejamento de atividades de auditoria interna oportuniza o exame de processos de trabalho afetos a ativos representativos de expressiva materialidade e extrema relevância para o bom e regular desenvolvimento das funções finalísticas e, por consequência, para a concretização da estratégia</w:t>
      </w:r>
      <w:r>
        <w:rPr>
          <w:spacing w:val="-2"/>
          <w:sz w:val="24"/>
        </w:rPr>
        <w:t> </w:t>
      </w:r>
      <w:r>
        <w:rPr>
          <w:sz w:val="24"/>
        </w:rPr>
        <w:t>organizacional.</w:t>
      </w:r>
    </w:p>
    <w:p>
      <w:pPr>
        <w:pStyle w:val="ListParagraph"/>
        <w:numPr>
          <w:ilvl w:val="1"/>
          <w:numId w:val="3"/>
        </w:numPr>
        <w:tabs>
          <w:tab w:pos="686" w:val="left" w:leader="none"/>
        </w:tabs>
        <w:spacing w:line="240" w:lineRule="auto" w:before="1" w:after="0"/>
        <w:ind w:left="685" w:right="374" w:hanging="567"/>
        <w:jc w:val="both"/>
        <w:rPr>
          <w:sz w:val="24"/>
        </w:rPr>
      </w:pPr>
      <w:r>
        <w:rPr>
          <w:spacing w:val="-3"/>
          <w:sz w:val="24"/>
        </w:rPr>
        <w:t>Adicionalmente, considerada </w:t>
      </w:r>
      <w:r>
        <w:rPr>
          <w:sz w:val="24"/>
        </w:rPr>
        <w:t>a </w:t>
      </w:r>
      <w:r>
        <w:rPr>
          <w:spacing w:val="-2"/>
          <w:sz w:val="24"/>
        </w:rPr>
        <w:t>cadeia </w:t>
      </w:r>
      <w:r>
        <w:rPr>
          <w:sz w:val="24"/>
        </w:rPr>
        <w:t>de valor do Tribunal, ou seja, o modo </w:t>
      </w:r>
      <w:r>
        <w:rPr>
          <w:spacing w:val="-3"/>
          <w:sz w:val="24"/>
        </w:rPr>
        <w:t>como </w:t>
      </w:r>
      <w:r>
        <w:rPr>
          <w:sz w:val="24"/>
        </w:rPr>
        <w:t>a </w:t>
      </w:r>
      <w:r>
        <w:rPr>
          <w:spacing w:val="-3"/>
          <w:sz w:val="24"/>
        </w:rPr>
        <w:t>organização </w:t>
      </w:r>
      <w:r>
        <w:rPr>
          <w:sz w:val="24"/>
        </w:rPr>
        <w:t>se estrutura em </w:t>
      </w:r>
      <w:r>
        <w:rPr>
          <w:spacing w:val="-3"/>
          <w:sz w:val="24"/>
        </w:rPr>
        <w:t>processos </w:t>
      </w:r>
      <w:r>
        <w:rPr>
          <w:sz w:val="24"/>
        </w:rPr>
        <w:t>para agregar valor às </w:t>
      </w:r>
      <w:r>
        <w:rPr>
          <w:spacing w:val="-3"/>
          <w:sz w:val="24"/>
        </w:rPr>
        <w:t>entregas ofertadas </w:t>
      </w:r>
      <w:r>
        <w:rPr>
          <w:sz w:val="24"/>
        </w:rPr>
        <w:t>aos </w:t>
      </w:r>
      <w:r>
        <w:rPr>
          <w:spacing w:val="-3"/>
          <w:sz w:val="24"/>
        </w:rPr>
        <w:t>clientes, conclui-se </w:t>
      </w:r>
      <w:r>
        <w:rPr>
          <w:sz w:val="24"/>
        </w:rPr>
        <w:t>que o </w:t>
      </w:r>
      <w:r>
        <w:rPr>
          <w:spacing w:val="-3"/>
          <w:sz w:val="24"/>
        </w:rPr>
        <w:t>aperfeiçoamento </w:t>
      </w:r>
      <w:r>
        <w:rPr>
          <w:sz w:val="24"/>
        </w:rPr>
        <w:t>dos </w:t>
      </w:r>
      <w:r>
        <w:rPr>
          <w:spacing w:val="-3"/>
          <w:sz w:val="24"/>
        </w:rPr>
        <w:t>processos </w:t>
      </w:r>
      <w:r>
        <w:rPr>
          <w:sz w:val="24"/>
        </w:rPr>
        <w:t>de trabalho </w:t>
      </w:r>
      <w:r>
        <w:rPr>
          <w:spacing w:val="-3"/>
          <w:sz w:val="24"/>
        </w:rPr>
        <w:t>constituintes </w:t>
      </w:r>
      <w:r>
        <w:rPr>
          <w:sz w:val="24"/>
        </w:rPr>
        <w:t>da </w:t>
      </w:r>
      <w:r>
        <w:rPr>
          <w:spacing w:val="-2"/>
          <w:sz w:val="24"/>
        </w:rPr>
        <w:t>cadeia </w:t>
      </w:r>
      <w:r>
        <w:rPr>
          <w:sz w:val="24"/>
        </w:rPr>
        <w:t>de </w:t>
      </w:r>
      <w:r>
        <w:rPr>
          <w:spacing w:val="-3"/>
          <w:sz w:val="24"/>
        </w:rPr>
        <w:t>governança </w:t>
      </w:r>
      <w:r>
        <w:rPr>
          <w:sz w:val="24"/>
        </w:rPr>
        <w:t>e de </w:t>
      </w:r>
      <w:r>
        <w:rPr>
          <w:spacing w:val="-3"/>
          <w:sz w:val="24"/>
        </w:rPr>
        <w:t>apoio, </w:t>
      </w:r>
      <w:r>
        <w:rPr>
          <w:sz w:val="24"/>
        </w:rPr>
        <w:t>notadamente </w:t>
      </w:r>
      <w:r>
        <w:rPr>
          <w:spacing w:val="-3"/>
          <w:sz w:val="24"/>
        </w:rPr>
        <w:t>daqueles </w:t>
      </w:r>
      <w:r>
        <w:rPr>
          <w:sz w:val="24"/>
        </w:rPr>
        <w:t>a </w:t>
      </w:r>
      <w:r>
        <w:rPr>
          <w:spacing w:val="-3"/>
          <w:sz w:val="24"/>
        </w:rPr>
        <w:t>serem avaliados </w:t>
      </w:r>
      <w:r>
        <w:rPr>
          <w:sz w:val="24"/>
        </w:rPr>
        <w:t>em 2020, </w:t>
      </w:r>
      <w:r>
        <w:rPr>
          <w:spacing w:val="-3"/>
          <w:sz w:val="24"/>
        </w:rPr>
        <w:t>concorre </w:t>
      </w:r>
      <w:r>
        <w:rPr>
          <w:sz w:val="24"/>
        </w:rPr>
        <w:t>para o </w:t>
      </w:r>
      <w:r>
        <w:rPr>
          <w:spacing w:val="-3"/>
          <w:sz w:val="24"/>
        </w:rPr>
        <w:t>aprimoramento </w:t>
      </w:r>
      <w:r>
        <w:rPr>
          <w:sz w:val="24"/>
        </w:rPr>
        <w:t>dos demais </w:t>
      </w:r>
      <w:r>
        <w:rPr>
          <w:spacing w:val="-3"/>
          <w:sz w:val="24"/>
        </w:rPr>
        <w:t>processos integrantes </w:t>
      </w:r>
      <w:r>
        <w:rPr>
          <w:sz w:val="24"/>
        </w:rPr>
        <w:t>dos </w:t>
      </w:r>
      <w:r>
        <w:rPr>
          <w:spacing w:val="-3"/>
          <w:sz w:val="24"/>
        </w:rPr>
        <w:t>macroprocessos finalísticos </w:t>
      </w:r>
      <w:r>
        <w:rPr>
          <w:sz w:val="24"/>
        </w:rPr>
        <w:t>da </w:t>
      </w:r>
      <w:r>
        <w:rPr>
          <w:spacing w:val="-3"/>
          <w:sz w:val="24"/>
        </w:rPr>
        <w:t>instituição, </w:t>
      </w:r>
      <w:r>
        <w:rPr>
          <w:sz w:val="24"/>
        </w:rPr>
        <w:t>dada a relação de </w:t>
      </w:r>
      <w:r>
        <w:rPr>
          <w:spacing w:val="-3"/>
          <w:sz w:val="24"/>
        </w:rPr>
        <w:t>transversalidade </w:t>
      </w:r>
      <w:r>
        <w:rPr>
          <w:sz w:val="24"/>
        </w:rPr>
        <w:t>e </w:t>
      </w:r>
      <w:r>
        <w:rPr>
          <w:spacing w:val="-3"/>
          <w:sz w:val="24"/>
        </w:rPr>
        <w:t>interdependência evidenciada nas interações </w:t>
      </w:r>
      <w:r>
        <w:rPr>
          <w:sz w:val="24"/>
        </w:rPr>
        <w:t>que se </w:t>
      </w:r>
      <w:r>
        <w:rPr>
          <w:spacing w:val="-3"/>
          <w:sz w:val="24"/>
        </w:rPr>
        <w:t>processam </w:t>
      </w:r>
      <w:r>
        <w:rPr>
          <w:sz w:val="24"/>
        </w:rPr>
        <w:t>entre</w:t>
      </w:r>
      <w:r>
        <w:rPr>
          <w:spacing w:val="-19"/>
          <w:sz w:val="24"/>
        </w:rPr>
        <w:t> </w:t>
      </w:r>
      <w:r>
        <w:rPr>
          <w:sz w:val="24"/>
        </w:rPr>
        <w:t>eles.</w:t>
      </w:r>
    </w:p>
    <w:p>
      <w:pPr>
        <w:pStyle w:val="ListParagraph"/>
        <w:numPr>
          <w:ilvl w:val="1"/>
          <w:numId w:val="3"/>
        </w:numPr>
        <w:tabs>
          <w:tab w:pos="686" w:val="left" w:leader="none"/>
        </w:tabs>
        <w:spacing w:line="240" w:lineRule="auto" w:before="0" w:after="0"/>
        <w:ind w:left="685" w:right="372" w:hanging="567"/>
        <w:jc w:val="both"/>
        <w:rPr>
          <w:sz w:val="24"/>
        </w:rPr>
      </w:pPr>
      <w:r>
        <w:rPr>
          <w:sz w:val="24"/>
        </w:rPr>
        <w:t>Assim,</w:t>
      </w:r>
      <w:r>
        <w:rPr>
          <w:spacing w:val="-6"/>
          <w:sz w:val="24"/>
        </w:rPr>
        <w:t> </w:t>
      </w:r>
      <w:r>
        <w:rPr>
          <w:sz w:val="24"/>
        </w:rPr>
        <w:t>espera-se</w:t>
      </w:r>
      <w:r>
        <w:rPr>
          <w:spacing w:val="-7"/>
          <w:sz w:val="24"/>
        </w:rPr>
        <w:t> </w:t>
      </w:r>
      <w:r>
        <w:rPr>
          <w:sz w:val="24"/>
        </w:rPr>
        <w:t>que</w:t>
      </w:r>
      <w:r>
        <w:rPr>
          <w:spacing w:val="-6"/>
          <w:sz w:val="24"/>
        </w:rPr>
        <w:t> </w:t>
      </w:r>
      <w:r>
        <w:rPr>
          <w:sz w:val="24"/>
        </w:rPr>
        <w:t>os</w:t>
      </w:r>
      <w:r>
        <w:rPr>
          <w:spacing w:val="-6"/>
          <w:sz w:val="24"/>
        </w:rPr>
        <w:t> </w:t>
      </w:r>
      <w:r>
        <w:rPr>
          <w:sz w:val="24"/>
        </w:rPr>
        <w:t>resultados</w:t>
      </w:r>
      <w:r>
        <w:rPr>
          <w:spacing w:val="-5"/>
          <w:sz w:val="24"/>
        </w:rPr>
        <w:t> </w:t>
      </w:r>
      <w:r>
        <w:rPr>
          <w:sz w:val="24"/>
        </w:rPr>
        <w:t>apurados</w:t>
      </w:r>
      <w:r>
        <w:rPr>
          <w:spacing w:val="-6"/>
          <w:sz w:val="24"/>
        </w:rPr>
        <w:t> </w:t>
      </w:r>
      <w:r>
        <w:rPr>
          <w:sz w:val="24"/>
        </w:rPr>
        <w:t>e</w:t>
      </w:r>
      <w:r>
        <w:rPr>
          <w:spacing w:val="-4"/>
          <w:sz w:val="24"/>
        </w:rPr>
        <w:t> </w:t>
      </w:r>
      <w:r>
        <w:rPr>
          <w:sz w:val="24"/>
        </w:rPr>
        <w:t>as</w:t>
      </w:r>
      <w:r>
        <w:rPr>
          <w:spacing w:val="-6"/>
          <w:sz w:val="24"/>
        </w:rPr>
        <w:t> </w:t>
      </w:r>
      <w:r>
        <w:rPr>
          <w:sz w:val="24"/>
        </w:rPr>
        <w:t>oportunidades</w:t>
      </w:r>
      <w:r>
        <w:rPr>
          <w:spacing w:val="-5"/>
          <w:sz w:val="24"/>
        </w:rPr>
        <w:t> </w:t>
      </w:r>
      <w:r>
        <w:rPr>
          <w:sz w:val="24"/>
        </w:rPr>
        <w:t>de</w:t>
      </w:r>
      <w:r>
        <w:rPr>
          <w:spacing w:val="-7"/>
          <w:sz w:val="24"/>
        </w:rPr>
        <w:t> </w:t>
      </w:r>
      <w:r>
        <w:rPr>
          <w:sz w:val="24"/>
        </w:rPr>
        <w:t>melhoria</w:t>
      </w:r>
      <w:r>
        <w:rPr>
          <w:spacing w:val="-4"/>
          <w:sz w:val="24"/>
        </w:rPr>
        <w:t> </w:t>
      </w:r>
      <w:r>
        <w:rPr>
          <w:sz w:val="24"/>
        </w:rPr>
        <w:t>sinalizadas,</w:t>
      </w:r>
      <w:r>
        <w:rPr>
          <w:spacing w:val="-4"/>
          <w:sz w:val="24"/>
        </w:rPr>
        <w:t> </w:t>
      </w:r>
      <w:r>
        <w:rPr>
          <w:sz w:val="24"/>
        </w:rPr>
        <w:t>em sede</w:t>
      </w:r>
      <w:r>
        <w:rPr>
          <w:spacing w:val="-8"/>
          <w:sz w:val="24"/>
        </w:rPr>
        <w:t> </w:t>
      </w:r>
      <w:r>
        <w:rPr>
          <w:sz w:val="24"/>
        </w:rPr>
        <w:t>das</w:t>
      </w:r>
      <w:r>
        <w:rPr>
          <w:spacing w:val="-4"/>
          <w:sz w:val="24"/>
        </w:rPr>
        <w:t> </w:t>
      </w:r>
      <w:r>
        <w:rPr>
          <w:sz w:val="24"/>
        </w:rPr>
        <w:t>ações</w:t>
      </w:r>
      <w:r>
        <w:rPr>
          <w:spacing w:val="-4"/>
          <w:sz w:val="24"/>
        </w:rPr>
        <w:t> </w:t>
      </w:r>
      <w:r>
        <w:rPr>
          <w:sz w:val="24"/>
        </w:rPr>
        <w:t>fiscalizatórias</w:t>
      </w:r>
      <w:r>
        <w:rPr>
          <w:spacing w:val="-6"/>
          <w:sz w:val="24"/>
        </w:rPr>
        <w:t> </w:t>
      </w:r>
      <w:r>
        <w:rPr>
          <w:sz w:val="24"/>
        </w:rPr>
        <w:t>realizadas,</w:t>
      </w:r>
      <w:r>
        <w:rPr>
          <w:spacing w:val="-5"/>
          <w:sz w:val="24"/>
        </w:rPr>
        <w:t> </w:t>
      </w:r>
      <w:r>
        <w:rPr>
          <w:sz w:val="24"/>
        </w:rPr>
        <w:t>auxiliem</w:t>
      </w:r>
      <w:r>
        <w:rPr>
          <w:spacing w:val="-6"/>
          <w:sz w:val="24"/>
        </w:rPr>
        <w:t> </w:t>
      </w:r>
      <w:r>
        <w:rPr>
          <w:sz w:val="24"/>
        </w:rPr>
        <w:t>a</w:t>
      </w:r>
      <w:r>
        <w:rPr>
          <w:spacing w:val="-7"/>
          <w:sz w:val="24"/>
        </w:rPr>
        <w:t> </w:t>
      </w:r>
      <w:r>
        <w:rPr>
          <w:sz w:val="24"/>
        </w:rPr>
        <w:t>gestão</w:t>
      </w:r>
      <w:r>
        <w:rPr>
          <w:spacing w:val="-7"/>
          <w:sz w:val="24"/>
        </w:rPr>
        <w:t> </w:t>
      </w:r>
      <w:r>
        <w:rPr>
          <w:sz w:val="24"/>
        </w:rPr>
        <w:t>deste</w:t>
      </w:r>
      <w:r>
        <w:rPr>
          <w:spacing w:val="-8"/>
          <w:sz w:val="24"/>
        </w:rPr>
        <w:t> </w:t>
      </w:r>
      <w:r>
        <w:rPr>
          <w:sz w:val="24"/>
        </w:rPr>
        <w:t>Regional</w:t>
      </w:r>
      <w:r>
        <w:rPr>
          <w:spacing w:val="-6"/>
          <w:sz w:val="24"/>
        </w:rPr>
        <w:t> </w:t>
      </w:r>
      <w:r>
        <w:rPr>
          <w:sz w:val="24"/>
        </w:rPr>
        <w:t>na</w:t>
      </w:r>
      <w:r>
        <w:rPr>
          <w:spacing w:val="-3"/>
          <w:sz w:val="24"/>
        </w:rPr>
        <w:t> </w:t>
      </w:r>
      <w:r>
        <w:rPr>
          <w:sz w:val="24"/>
        </w:rPr>
        <w:t>identificação</w:t>
      </w:r>
      <w:r>
        <w:rPr>
          <w:spacing w:val="-6"/>
          <w:sz w:val="24"/>
        </w:rPr>
        <w:t> </w:t>
      </w:r>
      <w:r>
        <w:rPr>
          <w:sz w:val="24"/>
        </w:rPr>
        <w:t>e respectivo saneamento de fragilidades e no aperfeiçoamento de processos de trabalho, de modo</w:t>
      </w:r>
      <w:r>
        <w:rPr>
          <w:spacing w:val="-8"/>
          <w:sz w:val="24"/>
        </w:rPr>
        <w:t> </w:t>
      </w:r>
      <w:r>
        <w:rPr>
          <w:sz w:val="24"/>
        </w:rPr>
        <w:t>a</w:t>
      </w:r>
      <w:r>
        <w:rPr>
          <w:spacing w:val="-10"/>
          <w:sz w:val="24"/>
        </w:rPr>
        <w:t> </w:t>
      </w:r>
      <w:r>
        <w:rPr>
          <w:sz w:val="24"/>
        </w:rPr>
        <w:t>assegurar,</w:t>
      </w:r>
      <w:r>
        <w:rPr>
          <w:spacing w:val="-9"/>
          <w:sz w:val="24"/>
        </w:rPr>
        <w:t> </w:t>
      </w:r>
      <w:r>
        <w:rPr>
          <w:sz w:val="24"/>
        </w:rPr>
        <w:t>de</w:t>
      </w:r>
      <w:r>
        <w:rPr>
          <w:spacing w:val="-10"/>
          <w:sz w:val="24"/>
        </w:rPr>
        <w:t> </w:t>
      </w:r>
      <w:r>
        <w:rPr>
          <w:sz w:val="24"/>
        </w:rPr>
        <w:t>forma</w:t>
      </w:r>
      <w:r>
        <w:rPr>
          <w:spacing w:val="-9"/>
          <w:sz w:val="24"/>
        </w:rPr>
        <w:t> </w:t>
      </w:r>
      <w:r>
        <w:rPr>
          <w:sz w:val="24"/>
        </w:rPr>
        <w:t>razoável,</w:t>
      </w:r>
      <w:r>
        <w:rPr>
          <w:spacing w:val="-8"/>
          <w:sz w:val="24"/>
        </w:rPr>
        <w:t> </w:t>
      </w:r>
      <w:r>
        <w:rPr>
          <w:sz w:val="24"/>
        </w:rPr>
        <w:t>o</w:t>
      </w:r>
      <w:r>
        <w:rPr>
          <w:spacing w:val="-6"/>
          <w:sz w:val="24"/>
        </w:rPr>
        <w:t> </w:t>
      </w:r>
      <w:r>
        <w:rPr>
          <w:sz w:val="24"/>
        </w:rPr>
        <w:t>alcance</w:t>
      </w:r>
      <w:r>
        <w:rPr>
          <w:spacing w:val="-10"/>
          <w:sz w:val="24"/>
        </w:rPr>
        <w:t> </w:t>
      </w:r>
      <w:r>
        <w:rPr>
          <w:sz w:val="24"/>
        </w:rPr>
        <w:t>de</w:t>
      </w:r>
      <w:r>
        <w:rPr>
          <w:spacing w:val="-7"/>
          <w:sz w:val="24"/>
        </w:rPr>
        <w:t> </w:t>
      </w:r>
      <w:r>
        <w:rPr>
          <w:sz w:val="24"/>
        </w:rPr>
        <w:t>resultados</w:t>
      </w:r>
      <w:r>
        <w:rPr>
          <w:spacing w:val="-8"/>
          <w:sz w:val="24"/>
        </w:rPr>
        <w:t> </w:t>
      </w:r>
      <w:r>
        <w:rPr>
          <w:sz w:val="24"/>
        </w:rPr>
        <w:t>pretendidos,</w:t>
      </w:r>
      <w:r>
        <w:rPr>
          <w:spacing w:val="-8"/>
          <w:sz w:val="24"/>
        </w:rPr>
        <w:t> </w:t>
      </w:r>
      <w:r>
        <w:rPr>
          <w:sz w:val="24"/>
        </w:rPr>
        <w:t>observados</w:t>
      </w:r>
      <w:r>
        <w:rPr>
          <w:spacing w:val="-8"/>
          <w:sz w:val="24"/>
        </w:rPr>
        <w:t> </w:t>
      </w:r>
      <w:r>
        <w:rPr>
          <w:sz w:val="24"/>
        </w:rPr>
        <w:t>riscos aceitáveis, bem como o primado da eficiência, eficácia, efetividade, economicidade e transparência dos atos de gestão.</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0"/>
        </w:rPr>
      </w:pPr>
      <w:r>
        <w:rPr/>
        <w:pict>
          <v:rect style="position:absolute;margin-left:70.944pt;margin-top:13.870996pt;width:144.020pt;height:.599980pt;mso-position-horizontal-relative:page;mso-position-vertical-relative:paragraph;z-index:-15727616;mso-wrap-distance-left:0;mso-wrap-distance-right:0" filled="true" fillcolor="#000000" stroked="false">
            <v:fill type="solid"/>
            <w10:wrap type="topAndBottom"/>
          </v:rect>
        </w:pict>
      </w:r>
    </w:p>
    <w:p>
      <w:pPr>
        <w:pStyle w:val="ListParagraph"/>
        <w:numPr>
          <w:ilvl w:val="0"/>
          <w:numId w:val="9"/>
        </w:numPr>
        <w:tabs>
          <w:tab w:pos="304" w:val="left" w:leader="none"/>
        </w:tabs>
        <w:spacing w:line="240" w:lineRule="auto" w:before="72" w:after="0"/>
        <w:ind w:left="118" w:right="424" w:firstLine="0"/>
        <w:jc w:val="left"/>
        <w:rPr>
          <w:rFonts w:ascii="Arial" w:hAnsi="Arial"/>
          <w:sz w:val="24"/>
        </w:rPr>
      </w:pPr>
      <w:r>
        <w:rPr>
          <w:sz w:val="20"/>
        </w:rPr>
        <w:t>Estrutura Internacional de Práticas Profissionais de Auditoria Interna (IPPF), 2016. Instituto Global dos</w:t>
      </w:r>
      <w:r>
        <w:rPr>
          <w:spacing w:val="-33"/>
          <w:sz w:val="20"/>
        </w:rPr>
        <w:t> </w:t>
      </w:r>
      <w:r>
        <w:rPr>
          <w:sz w:val="20"/>
        </w:rPr>
        <w:t>Auditores Internos (IIA). Normas de atributo. 1210 – Proficiência. Os auditores internos devem possuir o conhecimento, as habilidades e outras competências necessárias ao desempenho de suas responsabilidades individuais. A atividade de auditoria interna deve possuir, ou obter, coletivamente o conhecimento, as habilidades e outras competências necessárias ao desempenho de suas</w:t>
      </w:r>
      <w:r>
        <w:rPr>
          <w:spacing w:val="-5"/>
          <w:sz w:val="20"/>
        </w:rPr>
        <w:t> </w:t>
      </w:r>
      <w:r>
        <w:rPr>
          <w:sz w:val="20"/>
        </w:rPr>
        <w:t>responsabilidades.</w:t>
      </w:r>
    </w:p>
    <w:p>
      <w:pPr>
        <w:pStyle w:val="BodyText"/>
        <w:rPr>
          <w:sz w:val="20"/>
        </w:rPr>
      </w:pPr>
    </w:p>
    <w:p>
      <w:pPr>
        <w:pStyle w:val="BodyText"/>
        <w:spacing w:before="3"/>
        <w:rPr>
          <w:sz w:val="18"/>
        </w:rPr>
      </w:pPr>
    </w:p>
    <w:p>
      <w:pPr>
        <w:pStyle w:val="BodyText"/>
        <w:spacing w:before="92"/>
        <w:ind w:right="366"/>
        <w:jc w:val="right"/>
        <w:rPr>
          <w:rFonts w:ascii="Arial"/>
        </w:rPr>
      </w:pPr>
      <w:r>
        <w:rPr>
          <w:rFonts w:ascii="Arial"/>
          <w:w w:val="95"/>
        </w:rPr>
        <w:t>12</w:t>
      </w:r>
    </w:p>
    <w:p>
      <w:pPr>
        <w:spacing w:after="0"/>
        <w:jc w:val="right"/>
        <w:rPr>
          <w:rFonts w:ascii="Arial"/>
        </w:rPr>
        <w:sectPr>
          <w:pgSz w:w="11910" w:h="16840"/>
          <w:pgMar w:top="1300" w:bottom="280" w:left="1300" w:right="760"/>
        </w:sectPr>
      </w:pPr>
    </w:p>
    <w:p>
      <w:pPr>
        <w:pStyle w:val="BodyText"/>
        <w:ind w:left="7280"/>
        <w:rPr>
          <w:rFonts w:ascii="Arial"/>
          <w:sz w:val="20"/>
        </w:rPr>
      </w:pPr>
      <w:r>
        <w:rPr>
          <w:rFonts w:ascii="Arial"/>
          <w:sz w:val="20"/>
        </w:rPr>
        <w:drawing>
          <wp:inline distT="0" distB="0" distL="0" distR="0">
            <wp:extent cx="597132" cy="666083"/>
            <wp:effectExtent l="0" t="0" r="0" b="0"/>
            <wp:docPr id="7" name="image1.png"/>
            <wp:cNvGraphicFramePr>
              <a:graphicFrameLocks noChangeAspect="1"/>
            </wp:cNvGraphicFramePr>
            <a:graphic>
              <a:graphicData uri="http://schemas.openxmlformats.org/drawingml/2006/picture">
                <pic:pic>
                  <pic:nvPicPr>
                    <pic:cNvPr id="8" name="image1.png"/>
                    <pic:cNvPicPr/>
                  </pic:nvPicPr>
                  <pic:blipFill>
                    <a:blip r:embed="rId5" cstate="print"/>
                    <a:stretch>
                      <a:fillRect/>
                    </a:stretch>
                  </pic:blipFill>
                  <pic:spPr>
                    <a:xfrm>
                      <a:off x="0" y="0"/>
                      <a:ext cx="597132" cy="666083"/>
                    </a:xfrm>
                    <a:prstGeom prst="rect">
                      <a:avLst/>
                    </a:prstGeom>
                  </pic:spPr>
                </pic:pic>
              </a:graphicData>
            </a:graphic>
          </wp:inline>
        </w:drawing>
      </w:r>
      <w:r>
        <w:rPr>
          <w:rFonts w:ascii="Arial"/>
          <w:sz w:val="20"/>
        </w:rPr>
      </w:r>
    </w:p>
    <w:p>
      <w:pPr>
        <w:pStyle w:val="BodyText"/>
        <w:spacing w:before="85"/>
        <w:ind w:left="4656" w:right="4893"/>
        <w:jc w:val="center"/>
      </w:pPr>
      <w:r>
        <w:rPr/>
        <w:t>TRIBUNAL REGIONAL ELEITORAL DA BAHIA</w:t>
      </w:r>
    </w:p>
    <w:p>
      <w:pPr>
        <w:pStyle w:val="BodyText"/>
        <w:ind w:left="4658" w:right="4893"/>
        <w:jc w:val="center"/>
      </w:pPr>
      <w:r>
        <w:rPr/>
        <w:t>Coordenadoria de Auditoria Interna</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9"/>
        </w:rPr>
      </w:pPr>
    </w:p>
    <w:p>
      <w:pPr>
        <w:pStyle w:val="Heading1"/>
        <w:ind w:right="4535"/>
      </w:pPr>
      <w:bookmarkStart w:name="_bookmark7" w:id="14"/>
      <w:bookmarkEnd w:id="14"/>
      <w:r>
        <w:rPr>
          <w:b w:val="0"/>
        </w:rPr>
      </w:r>
      <w:r>
        <w:rPr/>
        <w:t>APÊNDICES</w:t>
      </w: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spacing w:before="5"/>
        <w:rPr>
          <w:b/>
          <w:sz w:val="20"/>
        </w:rPr>
      </w:pPr>
    </w:p>
    <w:p>
      <w:pPr>
        <w:pStyle w:val="BodyText"/>
        <w:spacing w:before="1"/>
        <w:ind w:left="7048" w:right="7281" w:firstLine="2"/>
        <w:jc w:val="center"/>
      </w:pPr>
      <w:r>
        <w:rPr/>
        <w:t>Agosto/2020 Salvador - BA</w:t>
      </w:r>
    </w:p>
    <w:p>
      <w:pPr>
        <w:pStyle w:val="BodyText"/>
      </w:pPr>
    </w:p>
    <w:p>
      <w:pPr>
        <w:pStyle w:val="BodyText"/>
        <w:ind w:left="4658" w:right="4893"/>
        <w:jc w:val="center"/>
      </w:pPr>
      <w:r>
        <w:rPr/>
        <w:t>Versão 2</w:t>
      </w:r>
    </w:p>
    <w:p>
      <w:pPr>
        <w:spacing w:after="0"/>
        <w:jc w:val="center"/>
        <w:sectPr>
          <w:pgSz w:w="16840" w:h="11910" w:orient="landscape"/>
          <w:pgMar w:top="580" w:bottom="280" w:left="820" w:right="300"/>
        </w:sectPr>
      </w:pPr>
    </w:p>
    <w:p>
      <w:pPr>
        <w:pStyle w:val="BodyText"/>
        <w:ind w:left="7279"/>
        <w:rPr>
          <w:sz w:val="20"/>
        </w:rPr>
      </w:pPr>
      <w:r>
        <w:rPr>
          <w:sz w:val="20"/>
        </w:rPr>
        <w:drawing>
          <wp:inline distT="0" distB="0" distL="0" distR="0">
            <wp:extent cx="597132" cy="666083"/>
            <wp:effectExtent l="0" t="0" r="0" b="0"/>
            <wp:docPr id="9" name="image1.png"/>
            <wp:cNvGraphicFramePr>
              <a:graphicFrameLocks noChangeAspect="1"/>
            </wp:cNvGraphicFramePr>
            <a:graphic>
              <a:graphicData uri="http://schemas.openxmlformats.org/drawingml/2006/picture">
                <pic:pic>
                  <pic:nvPicPr>
                    <pic:cNvPr id="10" name="image1.png"/>
                    <pic:cNvPicPr/>
                  </pic:nvPicPr>
                  <pic:blipFill>
                    <a:blip r:embed="rId5" cstate="print"/>
                    <a:stretch>
                      <a:fillRect/>
                    </a:stretch>
                  </pic:blipFill>
                  <pic:spPr>
                    <a:xfrm>
                      <a:off x="0" y="0"/>
                      <a:ext cx="597132" cy="666083"/>
                    </a:xfrm>
                    <a:prstGeom prst="rect">
                      <a:avLst/>
                    </a:prstGeom>
                  </pic:spPr>
                </pic:pic>
              </a:graphicData>
            </a:graphic>
          </wp:inline>
        </w:drawing>
      </w:r>
      <w:r>
        <w:rPr>
          <w:sz w:val="20"/>
        </w:rPr>
      </w:r>
    </w:p>
    <w:p>
      <w:pPr>
        <w:pStyle w:val="BodyText"/>
        <w:spacing w:before="85"/>
        <w:ind w:left="4656" w:right="4893"/>
        <w:jc w:val="center"/>
      </w:pPr>
      <w:r>
        <w:rPr/>
        <w:t>TRIBUNAL REGIONAL ELEITORAL DA BAHIA</w:t>
      </w:r>
    </w:p>
    <w:p>
      <w:pPr>
        <w:pStyle w:val="BodyText"/>
        <w:ind w:left="4658" w:right="4893"/>
        <w:jc w:val="center"/>
      </w:pPr>
      <w:r>
        <w:rPr/>
        <w:t>Coordenadoria de Auditoria Interna</w:t>
      </w:r>
    </w:p>
    <w:p>
      <w:pPr>
        <w:pStyle w:val="BodyText"/>
        <w:spacing w:before="2"/>
        <w:rPr>
          <w:sz w:val="16"/>
        </w:rPr>
      </w:pPr>
    </w:p>
    <w:p>
      <w:pPr>
        <w:pStyle w:val="Heading1"/>
        <w:ind w:right="4891"/>
      </w:pPr>
      <w:r>
        <w:rPr/>
        <w:t>APÊNDICE I</w:t>
      </w:r>
    </w:p>
    <w:p>
      <w:pPr>
        <w:spacing w:before="0"/>
        <w:ind w:left="4658" w:right="4893" w:firstLine="0"/>
        <w:jc w:val="center"/>
        <w:rPr>
          <w:b/>
          <w:sz w:val="24"/>
        </w:rPr>
      </w:pPr>
      <w:r>
        <w:rPr>
          <w:b/>
          <w:sz w:val="24"/>
        </w:rPr>
        <w:t>PROCESSOS AUDITÁVEIS TRE-BA – EXERCÍCIO 2020</w:t>
      </w:r>
    </w:p>
    <w:p>
      <w:pPr>
        <w:pStyle w:val="BodyText"/>
        <w:spacing w:after="1"/>
        <w:rPr>
          <w:b/>
        </w:rPr>
      </w:pPr>
    </w:p>
    <w:tbl>
      <w:tblPr>
        <w:tblW w:w="0" w:type="auto"/>
        <w:jc w:val="left"/>
        <w:tblInd w:w="1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64"/>
        <w:gridCol w:w="5475"/>
        <w:gridCol w:w="2016"/>
        <w:gridCol w:w="1586"/>
        <w:gridCol w:w="1577"/>
        <w:gridCol w:w="2191"/>
      </w:tblGrid>
      <w:tr>
        <w:trPr>
          <w:trHeight w:val="398" w:hRule="atLeast"/>
        </w:trPr>
        <w:tc>
          <w:tcPr>
            <w:tcW w:w="864" w:type="dxa"/>
          </w:tcPr>
          <w:p>
            <w:pPr>
              <w:pStyle w:val="TableParagraph"/>
              <w:spacing w:before="61"/>
              <w:ind w:left="191"/>
              <w:rPr>
                <w:b/>
                <w:sz w:val="24"/>
              </w:rPr>
            </w:pPr>
            <w:r>
              <w:rPr>
                <w:b/>
                <w:sz w:val="24"/>
              </w:rPr>
              <w:t>REF</w:t>
            </w:r>
          </w:p>
        </w:tc>
        <w:tc>
          <w:tcPr>
            <w:tcW w:w="5475" w:type="dxa"/>
          </w:tcPr>
          <w:p>
            <w:pPr>
              <w:pStyle w:val="TableParagraph"/>
              <w:spacing w:before="61"/>
              <w:ind w:left="1339"/>
              <w:rPr>
                <w:b/>
                <w:sz w:val="24"/>
              </w:rPr>
            </w:pPr>
            <w:r>
              <w:rPr>
                <w:b/>
                <w:sz w:val="24"/>
              </w:rPr>
              <w:t>PROCESSO AUDITÁVEL</w:t>
            </w:r>
          </w:p>
        </w:tc>
        <w:tc>
          <w:tcPr>
            <w:tcW w:w="2016" w:type="dxa"/>
          </w:tcPr>
          <w:p>
            <w:pPr>
              <w:pStyle w:val="TableParagraph"/>
              <w:spacing w:before="61"/>
              <w:ind w:left="314"/>
              <w:rPr>
                <w:b/>
                <w:sz w:val="24"/>
              </w:rPr>
            </w:pPr>
            <w:r>
              <w:rPr>
                <w:b/>
                <w:sz w:val="24"/>
              </w:rPr>
              <w:t>DIRETORIA</w:t>
            </w:r>
          </w:p>
        </w:tc>
        <w:tc>
          <w:tcPr>
            <w:tcW w:w="1586" w:type="dxa"/>
          </w:tcPr>
          <w:p>
            <w:pPr>
              <w:pStyle w:val="TableParagraph"/>
              <w:spacing w:before="61"/>
              <w:ind w:left="258" w:right="251"/>
              <w:jc w:val="center"/>
              <w:rPr>
                <w:b/>
                <w:sz w:val="24"/>
              </w:rPr>
            </w:pPr>
            <w:r>
              <w:rPr>
                <w:b/>
                <w:sz w:val="24"/>
              </w:rPr>
              <w:t>GESTOR</w:t>
            </w:r>
          </w:p>
        </w:tc>
        <w:tc>
          <w:tcPr>
            <w:tcW w:w="1577" w:type="dxa"/>
          </w:tcPr>
          <w:p>
            <w:pPr>
              <w:pStyle w:val="TableParagraph"/>
              <w:spacing w:before="61"/>
              <w:ind w:left="86" w:right="80"/>
              <w:jc w:val="center"/>
              <w:rPr>
                <w:b/>
                <w:sz w:val="24"/>
              </w:rPr>
            </w:pPr>
            <w:r>
              <w:rPr>
                <w:b/>
                <w:sz w:val="24"/>
              </w:rPr>
              <w:t>EXECUTOR</w:t>
            </w:r>
          </w:p>
        </w:tc>
        <w:tc>
          <w:tcPr>
            <w:tcW w:w="2191" w:type="dxa"/>
          </w:tcPr>
          <w:p>
            <w:pPr>
              <w:pStyle w:val="TableParagraph"/>
              <w:spacing w:before="61"/>
              <w:ind w:left="656"/>
              <w:rPr>
                <w:b/>
                <w:sz w:val="24"/>
              </w:rPr>
            </w:pPr>
            <w:r>
              <w:rPr>
                <w:b/>
                <w:sz w:val="24"/>
              </w:rPr>
              <w:t>RISCO*</w:t>
            </w:r>
          </w:p>
        </w:tc>
      </w:tr>
      <w:tr>
        <w:trPr>
          <w:trHeight w:val="398" w:hRule="atLeast"/>
        </w:trPr>
        <w:tc>
          <w:tcPr>
            <w:tcW w:w="864" w:type="dxa"/>
          </w:tcPr>
          <w:p>
            <w:pPr>
              <w:pStyle w:val="TableParagraph"/>
              <w:ind w:right="96"/>
              <w:jc w:val="right"/>
              <w:rPr>
                <w:sz w:val="24"/>
              </w:rPr>
            </w:pPr>
            <w:r>
              <w:rPr>
                <w:sz w:val="24"/>
              </w:rPr>
              <w:t>1</w:t>
            </w:r>
          </w:p>
        </w:tc>
        <w:tc>
          <w:tcPr>
            <w:tcW w:w="5475" w:type="dxa"/>
          </w:tcPr>
          <w:p>
            <w:pPr>
              <w:pStyle w:val="TableParagraph"/>
              <w:ind w:left="136"/>
              <w:rPr>
                <w:sz w:val="24"/>
              </w:rPr>
            </w:pPr>
            <w:r>
              <w:rPr>
                <w:sz w:val="24"/>
              </w:rPr>
              <w:t>Infraestrutura de TIC.</w:t>
            </w:r>
          </w:p>
        </w:tc>
        <w:tc>
          <w:tcPr>
            <w:tcW w:w="2016" w:type="dxa"/>
          </w:tcPr>
          <w:p>
            <w:pPr>
              <w:pStyle w:val="TableParagraph"/>
              <w:ind w:left="557" w:right="755"/>
              <w:jc w:val="center"/>
              <w:rPr>
                <w:sz w:val="24"/>
              </w:rPr>
            </w:pPr>
            <w:r>
              <w:rPr>
                <w:sz w:val="24"/>
              </w:rPr>
              <w:t>STI</w:t>
            </w:r>
          </w:p>
        </w:tc>
        <w:tc>
          <w:tcPr>
            <w:tcW w:w="1586" w:type="dxa"/>
          </w:tcPr>
          <w:p>
            <w:pPr>
              <w:pStyle w:val="TableParagraph"/>
              <w:ind w:left="257" w:right="251"/>
              <w:jc w:val="center"/>
              <w:rPr>
                <w:sz w:val="24"/>
              </w:rPr>
            </w:pPr>
            <w:r>
              <w:rPr>
                <w:sz w:val="24"/>
              </w:rPr>
              <w:t>COSINF</w:t>
            </w:r>
          </w:p>
        </w:tc>
        <w:tc>
          <w:tcPr>
            <w:tcW w:w="1577" w:type="dxa"/>
          </w:tcPr>
          <w:p>
            <w:pPr>
              <w:pStyle w:val="TableParagraph"/>
              <w:ind w:left="84" w:right="80"/>
              <w:jc w:val="center"/>
              <w:rPr>
                <w:sz w:val="24"/>
              </w:rPr>
            </w:pPr>
            <w:r>
              <w:rPr>
                <w:sz w:val="24"/>
              </w:rPr>
              <w:t>SEINFRA</w:t>
            </w:r>
          </w:p>
        </w:tc>
        <w:tc>
          <w:tcPr>
            <w:tcW w:w="2191" w:type="dxa"/>
          </w:tcPr>
          <w:p>
            <w:pPr>
              <w:pStyle w:val="TableParagraph"/>
              <w:ind w:right="97"/>
              <w:jc w:val="right"/>
              <w:rPr>
                <w:sz w:val="24"/>
              </w:rPr>
            </w:pPr>
            <w:r>
              <w:rPr>
                <w:sz w:val="24"/>
              </w:rPr>
              <w:t>16,00</w:t>
            </w:r>
          </w:p>
        </w:tc>
      </w:tr>
      <w:tr>
        <w:trPr>
          <w:trHeight w:val="395" w:hRule="atLeast"/>
        </w:trPr>
        <w:tc>
          <w:tcPr>
            <w:tcW w:w="864" w:type="dxa"/>
          </w:tcPr>
          <w:p>
            <w:pPr>
              <w:pStyle w:val="TableParagraph"/>
              <w:ind w:right="96"/>
              <w:jc w:val="right"/>
              <w:rPr>
                <w:sz w:val="24"/>
              </w:rPr>
            </w:pPr>
            <w:r>
              <w:rPr>
                <w:sz w:val="24"/>
              </w:rPr>
              <w:t>2</w:t>
            </w:r>
          </w:p>
        </w:tc>
        <w:tc>
          <w:tcPr>
            <w:tcW w:w="5475" w:type="dxa"/>
          </w:tcPr>
          <w:p>
            <w:pPr>
              <w:pStyle w:val="TableParagraph"/>
              <w:ind w:left="136"/>
              <w:rPr>
                <w:sz w:val="24"/>
              </w:rPr>
            </w:pPr>
            <w:r>
              <w:rPr>
                <w:sz w:val="24"/>
              </w:rPr>
              <w:t>Licitações e contratações de limpeza e conservação.</w:t>
            </w:r>
          </w:p>
        </w:tc>
        <w:tc>
          <w:tcPr>
            <w:tcW w:w="2016" w:type="dxa"/>
          </w:tcPr>
          <w:p>
            <w:pPr>
              <w:pStyle w:val="TableParagraph"/>
              <w:ind w:left="586" w:right="755"/>
              <w:jc w:val="center"/>
              <w:rPr>
                <w:sz w:val="24"/>
              </w:rPr>
            </w:pPr>
            <w:r>
              <w:rPr>
                <w:sz w:val="24"/>
              </w:rPr>
              <w:t>SGA</w:t>
            </w:r>
          </w:p>
        </w:tc>
        <w:tc>
          <w:tcPr>
            <w:tcW w:w="1586" w:type="dxa"/>
          </w:tcPr>
          <w:p>
            <w:pPr>
              <w:pStyle w:val="TableParagraph"/>
              <w:spacing w:before="35"/>
              <w:ind w:left="257" w:right="251"/>
              <w:jc w:val="center"/>
              <w:rPr>
                <w:sz w:val="24"/>
              </w:rPr>
            </w:pPr>
            <w:r>
              <w:rPr>
                <w:sz w:val="24"/>
              </w:rPr>
              <w:t>COSAD</w:t>
            </w:r>
          </w:p>
        </w:tc>
        <w:tc>
          <w:tcPr>
            <w:tcW w:w="1577" w:type="dxa"/>
          </w:tcPr>
          <w:p>
            <w:pPr>
              <w:pStyle w:val="TableParagraph"/>
              <w:spacing w:before="35"/>
              <w:ind w:left="86" w:right="77"/>
              <w:jc w:val="center"/>
              <w:rPr>
                <w:sz w:val="24"/>
              </w:rPr>
            </w:pPr>
            <w:r>
              <w:rPr>
                <w:sz w:val="24"/>
              </w:rPr>
              <w:t>SEAAC</w:t>
            </w:r>
          </w:p>
        </w:tc>
        <w:tc>
          <w:tcPr>
            <w:tcW w:w="2191" w:type="dxa"/>
          </w:tcPr>
          <w:p>
            <w:pPr>
              <w:pStyle w:val="TableParagraph"/>
              <w:ind w:right="97"/>
              <w:jc w:val="right"/>
              <w:rPr>
                <w:sz w:val="24"/>
              </w:rPr>
            </w:pPr>
            <w:r>
              <w:rPr>
                <w:sz w:val="24"/>
              </w:rPr>
              <w:t>16,00</w:t>
            </w:r>
          </w:p>
        </w:tc>
      </w:tr>
      <w:tr>
        <w:trPr>
          <w:trHeight w:val="397" w:hRule="atLeast"/>
        </w:trPr>
        <w:tc>
          <w:tcPr>
            <w:tcW w:w="864" w:type="dxa"/>
          </w:tcPr>
          <w:p>
            <w:pPr>
              <w:pStyle w:val="TableParagraph"/>
              <w:spacing w:before="61"/>
              <w:ind w:right="96"/>
              <w:jc w:val="right"/>
              <w:rPr>
                <w:sz w:val="24"/>
              </w:rPr>
            </w:pPr>
            <w:r>
              <w:rPr>
                <w:sz w:val="24"/>
              </w:rPr>
              <w:t>3</w:t>
            </w:r>
          </w:p>
        </w:tc>
        <w:tc>
          <w:tcPr>
            <w:tcW w:w="5475" w:type="dxa"/>
          </w:tcPr>
          <w:p>
            <w:pPr>
              <w:pStyle w:val="TableParagraph"/>
              <w:spacing w:before="61"/>
              <w:ind w:left="136"/>
              <w:rPr>
                <w:sz w:val="24"/>
              </w:rPr>
            </w:pPr>
            <w:r>
              <w:rPr>
                <w:sz w:val="24"/>
              </w:rPr>
              <w:t>Planejamento das eleições.</w:t>
            </w:r>
          </w:p>
        </w:tc>
        <w:tc>
          <w:tcPr>
            <w:tcW w:w="2016" w:type="dxa"/>
          </w:tcPr>
          <w:p>
            <w:pPr>
              <w:pStyle w:val="TableParagraph"/>
              <w:spacing w:before="35"/>
              <w:ind w:left="658" w:right="621"/>
              <w:jc w:val="center"/>
              <w:rPr>
                <w:sz w:val="24"/>
              </w:rPr>
            </w:pPr>
            <w:r>
              <w:rPr>
                <w:sz w:val="24"/>
              </w:rPr>
              <w:t>SPL</w:t>
            </w:r>
          </w:p>
        </w:tc>
        <w:tc>
          <w:tcPr>
            <w:tcW w:w="1586" w:type="dxa"/>
          </w:tcPr>
          <w:p>
            <w:pPr>
              <w:pStyle w:val="TableParagraph"/>
              <w:spacing w:before="32"/>
              <w:ind w:left="258" w:right="226"/>
              <w:jc w:val="center"/>
              <w:rPr>
                <w:sz w:val="24"/>
              </w:rPr>
            </w:pPr>
            <w:r>
              <w:rPr>
                <w:sz w:val="24"/>
              </w:rPr>
              <w:t>COELE</w:t>
            </w:r>
          </w:p>
        </w:tc>
        <w:tc>
          <w:tcPr>
            <w:tcW w:w="1577" w:type="dxa"/>
          </w:tcPr>
          <w:p>
            <w:pPr>
              <w:pStyle w:val="TableParagraph"/>
              <w:spacing w:before="32"/>
              <w:ind w:left="86" w:right="45"/>
              <w:jc w:val="center"/>
              <w:rPr>
                <w:sz w:val="24"/>
              </w:rPr>
            </w:pPr>
            <w:r>
              <w:rPr>
                <w:sz w:val="24"/>
              </w:rPr>
              <w:t>SEPLAME</w:t>
            </w:r>
          </w:p>
        </w:tc>
        <w:tc>
          <w:tcPr>
            <w:tcW w:w="2191" w:type="dxa"/>
          </w:tcPr>
          <w:p>
            <w:pPr>
              <w:pStyle w:val="TableParagraph"/>
              <w:spacing w:before="61"/>
              <w:ind w:right="97"/>
              <w:jc w:val="right"/>
              <w:rPr>
                <w:sz w:val="24"/>
              </w:rPr>
            </w:pPr>
            <w:r>
              <w:rPr>
                <w:sz w:val="24"/>
              </w:rPr>
              <w:t>16,00</w:t>
            </w:r>
          </w:p>
        </w:tc>
      </w:tr>
      <w:tr>
        <w:trPr>
          <w:trHeight w:val="395" w:hRule="atLeast"/>
        </w:trPr>
        <w:tc>
          <w:tcPr>
            <w:tcW w:w="864" w:type="dxa"/>
          </w:tcPr>
          <w:p>
            <w:pPr>
              <w:pStyle w:val="TableParagraph"/>
              <w:ind w:right="96"/>
              <w:jc w:val="right"/>
              <w:rPr>
                <w:sz w:val="24"/>
              </w:rPr>
            </w:pPr>
            <w:r>
              <w:rPr>
                <w:sz w:val="24"/>
              </w:rPr>
              <w:t>4</w:t>
            </w:r>
          </w:p>
        </w:tc>
        <w:tc>
          <w:tcPr>
            <w:tcW w:w="5475" w:type="dxa"/>
          </w:tcPr>
          <w:p>
            <w:pPr>
              <w:pStyle w:val="TableParagraph"/>
              <w:ind w:left="136"/>
              <w:rPr>
                <w:sz w:val="24"/>
              </w:rPr>
            </w:pPr>
            <w:r>
              <w:rPr>
                <w:sz w:val="24"/>
              </w:rPr>
              <w:t>Gestão da comunicação organizacional.</w:t>
            </w:r>
          </w:p>
        </w:tc>
        <w:tc>
          <w:tcPr>
            <w:tcW w:w="2016" w:type="dxa"/>
          </w:tcPr>
          <w:p>
            <w:pPr>
              <w:pStyle w:val="TableParagraph"/>
              <w:spacing w:before="32"/>
              <w:ind w:left="547"/>
              <w:rPr>
                <w:sz w:val="24"/>
              </w:rPr>
            </w:pPr>
            <w:r>
              <w:rPr>
                <w:sz w:val="24"/>
              </w:rPr>
              <w:t>GABPRE</w:t>
            </w:r>
          </w:p>
        </w:tc>
        <w:tc>
          <w:tcPr>
            <w:tcW w:w="1586" w:type="dxa"/>
          </w:tcPr>
          <w:p>
            <w:pPr>
              <w:pStyle w:val="TableParagraph"/>
              <w:ind w:left="256" w:right="251"/>
              <w:jc w:val="center"/>
              <w:rPr>
                <w:sz w:val="24"/>
              </w:rPr>
            </w:pPr>
            <w:r>
              <w:rPr>
                <w:sz w:val="24"/>
              </w:rPr>
              <w:t>GABPRE</w:t>
            </w:r>
          </w:p>
        </w:tc>
        <w:tc>
          <w:tcPr>
            <w:tcW w:w="1577" w:type="dxa"/>
          </w:tcPr>
          <w:p>
            <w:pPr>
              <w:pStyle w:val="TableParagraph"/>
              <w:ind w:left="86" w:right="77"/>
              <w:jc w:val="center"/>
              <w:rPr>
                <w:sz w:val="24"/>
              </w:rPr>
            </w:pPr>
            <w:r>
              <w:rPr>
                <w:sz w:val="24"/>
              </w:rPr>
              <w:t>ASCOM</w:t>
            </w:r>
          </w:p>
        </w:tc>
        <w:tc>
          <w:tcPr>
            <w:tcW w:w="2191" w:type="dxa"/>
          </w:tcPr>
          <w:p>
            <w:pPr>
              <w:pStyle w:val="TableParagraph"/>
              <w:ind w:right="97"/>
              <w:jc w:val="right"/>
              <w:rPr>
                <w:sz w:val="24"/>
              </w:rPr>
            </w:pPr>
            <w:r>
              <w:rPr>
                <w:sz w:val="24"/>
              </w:rPr>
              <w:t>15,00</w:t>
            </w:r>
          </w:p>
        </w:tc>
      </w:tr>
      <w:tr>
        <w:trPr>
          <w:trHeight w:val="604" w:hRule="atLeast"/>
        </w:trPr>
        <w:tc>
          <w:tcPr>
            <w:tcW w:w="864" w:type="dxa"/>
          </w:tcPr>
          <w:p>
            <w:pPr>
              <w:pStyle w:val="TableParagraph"/>
              <w:spacing w:before="164"/>
              <w:ind w:right="96"/>
              <w:jc w:val="right"/>
              <w:rPr>
                <w:sz w:val="24"/>
              </w:rPr>
            </w:pPr>
            <w:r>
              <w:rPr>
                <w:sz w:val="24"/>
              </w:rPr>
              <w:t>5</w:t>
            </w:r>
          </w:p>
        </w:tc>
        <w:tc>
          <w:tcPr>
            <w:tcW w:w="5475" w:type="dxa"/>
          </w:tcPr>
          <w:p>
            <w:pPr>
              <w:pStyle w:val="TableParagraph"/>
              <w:spacing w:line="177" w:lineRule="auto" w:before="0"/>
              <w:ind w:left="136"/>
              <w:rPr>
                <w:sz w:val="24"/>
              </w:rPr>
            </w:pPr>
            <w:r>
              <w:rPr>
                <w:sz w:val="24"/>
              </w:rPr>
              <w:t>Gestão de ações institucionais voltadas ao fortalecimento da</w:t>
            </w:r>
          </w:p>
          <w:p>
            <w:pPr>
              <w:pStyle w:val="TableParagraph"/>
              <w:spacing w:line="176" w:lineRule="exact" w:before="0"/>
              <w:ind w:left="136"/>
              <w:rPr>
                <w:sz w:val="24"/>
              </w:rPr>
            </w:pPr>
            <w:r>
              <w:rPr>
                <w:sz w:val="24"/>
              </w:rPr>
              <w:t>cidadania política.</w:t>
            </w:r>
          </w:p>
        </w:tc>
        <w:tc>
          <w:tcPr>
            <w:tcW w:w="2016" w:type="dxa"/>
          </w:tcPr>
          <w:p>
            <w:pPr>
              <w:pStyle w:val="TableParagraph"/>
              <w:spacing w:before="138"/>
              <w:ind w:left="658" w:right="621"/>
              <w:jc w:val="center"/>
              <w:rPr>
                <w:sz w:val="24"/>
              </w:rPr>
            </w:pPr>
            <w:r>
              <w:rPr>
                <w:sz w:val="24"/>
              </w:rPr>
              <w:t>EJE</w:t>
            </w:r>
          </w:p>
        </w:tc>
        <w:tc>
          <w:tcPr>
            <w:tcW w:w="1586" w:type="dxa"/>
          </w:tcPr>
          <w:p>
            <w:pPr>
              <w:pStyle w:val="TableParagraph"/>
              <w:spacing w:before="145"/>
              <w:ind w:left="258" w:right="223"/>
              <w:jc w:val="center"/>
              <w:rPr>
                <w:sz w:val="24"/>
              </w:rPr>
            </w:pPr>
            <w:r>
              <w:rPr>
                <w:sz w:val="24"/>
              </w:rPr>
              <w:t>EJE</w:t>
            </w:r>
          </w:p>
        </w:tc>
        <w:tc>
          <w:tcPr>
            <w:tcW w:w="1577" w:type="dxa"/>
          </w:tcPr>
          <w:p>
            <w:pPr>
              <w:pStyle w:val="TableParagraph"/>
              <w:spacing w:before="138"/>
              <w:ind w:left="86" w:right="50"/>
              <w:jc w:val="center"/>
              <w:rPr>
                <w:sz w:val="24"/>
              </w:rPr>
            </w:pPr>
            <w:r>
              <w:rPr>
                <w:sz w:val="24"/>
              </w:rPr>
              <w:t>SEPRI</w:t>
            </w:r>
          </w:p>
        </w:tc>
        <w:tc>
          <w:tcPr>
            <w:tcW w:w="2191" w:type="dxa"/>
          </w:tcPr>
          <w:p>
            <w:pPr>
              <w:pStyle w:val="TableParagraph"/>
              <w:spacing w:before="164"/>
              <w:ind w:right="97"/>
              <w:jc w:val="right"/>
              <w:rPr>
                <w:sz w:val="24"/>
              </w:rPr>
            </w:pPr>
            <w:r>
              <w:rPr>
                <w:sz w:val="24"/>
              </w:rPr>
              <w:t>15,00</w:t>
            </w:r>
          </w:p>
        </w:tc>
      </w:tr>
      <w:tr>
        <w:trPr>
          <w:trHeight w:val="398" w:hRule="atLeast"/>
        </w:trPr>
        <w:tc>
          <w:tcPr>
            <w:tcW w:w="864" w:type="dxa"/>
          </w:tcPr>
          <w:p>
            <w:pPr>
              <w:pStyle w:val="TableParagraph"/>
              <w:spacing w:before="61"/>
              <w:ind w:right="96"/>
              <w:jc w:val="right"/>
              <w:rPr>
                <w:sz w:val="24"/>
              </w:rPr>
            </w:pPr>
            <w:r>
              <w:rPr>
                <w:sz w:val="24"/>
              </w:rPr>
              <w:t>6</w:t>
            </w:r>
          </w:p>
        </w:tc>
        <w:tc>
          <w:tcPr>
            <w:tcW w:w="5475" w:type="dxa"/>
          </w:tcPr>
          <w:p>
            <w:pPr>
              <w:pStyle w:val="TableParagraph"/>
              <w:spacing w:before="61"/>
              <w:ind w:left="136"/>
              <w:rPr>
                <w:sz w:val="24"/>
              </w:rPr>
            </w:pPr>
            <w:r>
              <w:rPr>
                <w:sz w:val="24"/>
              </w:rPr>
              <w:t>Gestão de correições.</w:t>
            </w:r>
          </w:p>
        </w:tc>
        <w:tc>
          <w:tcPr>
            <w:tcW w:w="2016" w:type="dxa"/>
          </w:tcPr>
          <w:p>
            <w:pPr>
              <w:pStyle w:val="TableParagraph"/>
              <w:spacing w:before="61"/>
              <w:ind w:left="665"/>
              <w:rPr>
                <w:sz w:val="24"/>
              </w:rPr>
            </w:pPr>
            <w:r>
              <w:rPr>
                <w:sz w:val="24"/>
              </w:rPr>
              <w:t>SCR</w:t>
            </w:r>
          </w:p>
        </w:tc>
        <w:tc>
          <w:tcPr>
            <w:tcW w:w="1586" w:type="dxa"/>
          </w:tcPr>
          <w:p>
            <w:pPr>
              <w:pStyle w:val="TableParagraph"/>
              <w:spacing w:before="61"/>
              <w:ind w:left="256" w:right="251"/>
              <w:jc w:val="center"/>
              <w:rPr>
                <w:sz w:val="24"/>
              </w:rPr>
            </w:pPr>
            <w:r>
              <w:rPr>
                <w:sz w:val="24"/>
              </w:rPr>
              <w:t>COAJUC</w:t>
            </w:r>
          </w:p>
        </w:tc>
        <w:tc>
          <w:tcPr>
            <w:tcW w:w="1577" w:type="dxa"/>
          </w:tcPr>
          <w:p>
            <w:pPr>
              <w:pStyle w:val="TableParagraph"/>
              <w:spacing w:before="61"/>
              <w:ind w:left="86" w:right="76"/>
              <w:jc w:val="center"/>
              <w:rPr>
                <w:sz w:val="24"/>
              </w:rPr>
            </w:pPr>
            <w:r>
              <w:rPr>
                <w:sz w:val="24"/>
              </w:rPr>
              <w:t>SECOD</w:t>
            </w:r>
          </w:p>
        </w:tc>
        <w:tc>
          <w:tcPr>
            <w:tcW w:w="2191" w:type="dxa"/>
          </w:tcPr>
          <w:p>
            <w:pPr>
              <w:pStyle w:val="TableParagraph"/>
              <w:spacing w:before="61"/>
              <w:ind w:right="97"/>
              <w:jc w:val="right"/>
              <w:rPr>
                <w:sz w:val="24"/>
              </w:rPr>
            </w:pPr>
            <w:r>
              <w:rPr>
                <w:sz w:val="24"/>
              </w:rPr>
              <w:t>15,00</w:t>
            </w:r>
          </w:p>
        </w:tc>
      </w:tr>
      <w:tr>
        <w:trPr>
          <w:trHeight w:val="395" w:hRule="atLeast"/>
        </w:trPr>
        <w:tc>
          <w:tcPr>
            <w:tcW w:w="864" w:type="dxa"/>
          </w:tcPr>
          <w:p>
            <w:pPr>
              <w:pStyle w:val="TableParagraph"/>
              <w:ind w:right="96"/>
              <w:jc w:val="right"/>
              <w:rPr>
                <w:sz w:val="24"/>
              </w:rPr>
            </w:pPr>
            <w:r>
              <w:rPr>
                <w:sz w:val="24"/>
              </w:rPr>
              <w:t>7</w:t>
            </w:r>
          </w:p>
        </w:tc>
        <w:tc>
          <w:tcPr>
            <w:tcW w:w="5475" w:type="dxa"/>
          </w:tcPr>
          <w:p>
            <w:pPr>
              <w:pStyle w:val="TableParagraph"/>
              <w:ind w:left="136"/>
              <w:rPr>
                <w:sz w:val="24"/>
              </w:rPr>
            </w:pPr>
            <w:r>
              <w:rPr>
                <w:sz w:val="24"/>
              </w:rPr>
              <w:t>Licitações e contratações de manutenção predial</w:t>
            </w:r>
          </w:p>
        </w:tc>
        <w:tc>
          <w:tcPr>
            <w:tcW w:w="2016" w:type="dxa"/>
          </w:tcPr>
          <w:p>
            <w:pPr>
              <w:pStyle w:val="TableParagraph"/>
              <w:ind w:left="658" w:right="683"/>
              <w:jc w:val="center"/>
              <w:rPr>
                <w:sz w:val="24"/>
              </w:rPr>
            </w:pPr>
            <w:r>
              <w:rPr>
                <w:sz w:val="24"/>
              </w:rPr>
              <w:t>SGA</w:t>
            </w:r>
          </w:p>
        </w:tc>
        <w:tc>
          <w:tcPr>
            <w:tcW w:w="1586" w:type="dxa"/>
          </w:tcPr>
          <w:p>
            <w:pPr>
              <w:pStyle w:val="TableParagraph"/>
              <w:ind w:left="258" w:right="251"/>
              <w:jc w:val="center"/>
              <w:rPr>
                <w:sz w:val="24"/>
              </w:rPr>
            </w:pPr>
            <w:r>
              <w:rPr>
                <w:sz w:val="24"/>
              </w:rPr>
              <w:t>COMANP</w:t>
            </w:r>
          </w:p>
        </w:tc>
        <w:tc>
          <w:tcPr>
            <w:tcW w:w="1577" w:type="dxa"/>
          </w:tcPr>
          <w:p>
            <w:pPr>
              <w:pStyle w:val="TableParagraph"/>
              <w:ind w:left="86" w:right="80"/>
              <w:jc w:val="center"/>
              <w:rPr>
                <w:sz w:val="24"/>
              </w:rPr>
            </w:pPr>
            <w:r>
              <w:rPr>
                <w:sz w:val="24"/>
              </w:rPr>
              <w:t>SEMAC</w:t>
            </w:r>
          </w:p>
        </w:tc>
        <w:tc>
          <w:tcPr>
            <w:tcW w:w="2191" w:type="dxa"/>
          </w:tcPr>
          <w:p>
            <w:pPr>
              <w:pStyle w:val="TableParagraph"/>
              <w:ind w:right="97"/>
              <w:jc w:val="right"/>
              <w:rPr>
                <w:sz w:val="24"/>
              </w:rPr>
            </w:pPr>
            <w:r>
              <w:rPr>
                <w:sz w:val="24"/>
              </w:rPr>
              <w:t>15,00</w:t>
            </w:r>
          </w:p>
        </w:tc>
      </w:tr>
      <w:tr>
        <w:trPr>
          <w:trHeight w:val="398" w:hRule="atLeast"/>
        </w:trPr>
        <w:tc>
          <w:tcPr>
            <w:tcW w:w="864" w:type="dxa"/>
          </w:tcPr>
          <w:p>
            <w:pPr>
              <w:pStyle w:val="TableParagraph"/>
              <w:spacing w:before="61"/>
              <w:ind w:right="96"/>
              <w:jc w:val="right"/>
              <w:rPr>
                <w:sz w:val="24"/>
              </w:rPr>
            </w:pPr>
            <w:r>
              <w:rPr>
                <w:sz w:val="24"/>
              </w:rPr>
              <w:t>8</w:t>
            </w:r>
          </w:p>
        </w:tc>
        <w:tc>
          <w:tcPr>
            <w:tcW w:w="5475" w:type="dxa"/>
          </w:tcPr>
          <w:p>
            <w:pPr>
              <w:pStyle w:val="TableParagraph"/>
              <w:spacing w:before="61"/>
              <w:ind w:left="136"/>
              <w:rPr>
                <w:sz w:val="24"/>
              </w:rPr>
            </w:pPr>
            <w:r>
              <w:rPr>
                <w:sz w:val="24"/>
              </w:rPr>
              <w:t>Segurança da informação</w:t>
            </w:r>
          </w:p>
        </w:tc>
        <w:tc>
          <w:tcPr>
            <w:tcW w:w="2016" w:type="dxa"/>
          </w:tcPr>
          <w:p>
            <w:pPr>
              <w:pStyle w:val="TableParagraph"/>
              <w:spacing w:before="61"/>
              <w:ind w:left="557" w:right="755"/>
              <w:jc w:val="center"/>
              <w:rPr>
                <w:sz w:val="24"/>
              </w:rPr>
            </w:pPr>
            <w:r>
              <w:rPr>
                <w:sz w:val="24"/>
              </w:rPr>
              <w:t>STI</w:t>
            </w:r>
          </w:p>
        </w:tc>
        <w:tc>
          <w:tcPr>
            <w:tcW w:w="1586" w:type="dxa"/>
          </w:tcPr>
          <w:p>
            <w:pPr>
              <w:pStyle w:val="TableParagraph"/>
              <w:spacing w:before="61"/>
              <w:ind w:left="257" w:right="251"/>
              <w:jc w:val="center"/>
              <w:rPr>
                <w:sz w:val="24"/>
              </w:rPr>
            </w:pPr>
            <w:r>
              <w:rPr>
                <w:sz w:val="24"/>
              </w:rPr>
              <w:t>COSINF</w:t>
            </w:r>
          </w:p>
        </w:tc>
        <w:tc>
          <w:tcPr>
            <w:tcW w:w="1577" w:type="dxa"/>
          </w:tcPr>
          <w:p>
            <w:pPr>
              <w:pStyle w:val="TableParagraph"/>
              <w:spacing w:before="61"/>
              <w:ind w:left="84" w:right="80"/>
              <w:jc w:val="center"/>
              <w:rPr>
                <w:sz w:val="24"/>
              </w:rPr>
            </w:pPr>
            <w:r>
              <w:rPr>
                <w:sz w:val="24"/>
              </w:rPr>
              <w:t>SEINFRA</w:t>
            </w:r>
          </w:p>
        </w:tc>
        <w:tc>
          <w:tcPr>
            <w:tcW w:w="2191" w:type="dxa"/>
          </w:tcPr>
          <w:p>
            <w:pPr>
              <w:pStyle w:val="TableParagraph"/>
              <w:spacing w:before="61"/>
              <w:ind w:right="97"/>
              <w:jc w:val="right"/>
              <w:rPr>
                <w:sz w:val="24"/>
              </w:rPr>
            </w:pPr>
            <w:r>
              <w:rPr>
                <w:sz w:val="24"/>
              </w:rPr>
              <w:t>15,00</w:t>
            </w:r>
          </w:p>
        </w:tc>
      </w:tr>
      <w:tr>
        <w:trPr>
          <w:trHeight w:val="551" w:hRule="atLeast"/>
        </w:trPr>
        <w:tc>
          <w:tcPr>
            <w:tcW w:w="864" w:type="dxa"/>
          </w:tcPr>
          <w:p>
            <w:pPr>
              <w:pStyle w:val="TableParagraph"/>
              <w:spacing w:before="138"/>
              <w:ind w:right="96"/>
              <w:jc w:val="right"/>
              <w:rPr>
                <w:sz w:val="24"/>
              </w:rPr>
            </w:pPr>
            <w:r>
              <w:rPr>
                <w:sz w:val="24"/>
              </w:rPr>
              <w:t>9</w:t>
            </w:r>
          </w:p>
        </w:tc>
        <w:tc>
          <w:tcPr>
            <w:tcW w:w="5475" w:type="dxa"/>
          </w:tcPr>
          <w:p>
            <w:pPr>
              <w:pStyle w:val="TableParagraph"/>
              <w:spacing w:line="276" w:lineRule="exact" w:before="2"/>
              <w:ind w:left="136" w:right="397"/>
              <w:rPr>
                <w:sz w:val="24"/>
              </w:rPr>
            </w:pPr>
            <w:r>
              <w:rPr>
                <w:sz w:val="24"/>
              </w:rPr>
              <w:t>Gestão da avaliação e desenvolvimento da força de trabalho.</w:t>
            </w:r>
          </w:p>
        </w:tc>
        <w:tc>
          <w:tcPr>
            <w:tcW w:w="2016" w:type="dxa"/>
          </w:tcPr>
          <w:p>
            <w:pPr>
              <w:pStyle w:val="TableParagraph"/>
              <w:spacing w:before="138"/>
              <w:ind w:left="580" w:right="755"/>
              <w:jc w:val="center"/>
              <w:rPr>
                <w:sz w:val="24"/>
              </w:rPr>
            </w:pPr>
            <w:r>
              <w:rPr>
                <w:sz w:val="24"/>
              </w:rPr>
              <w:t>SGP</w:t>
            </w:r>
          </w:p>
        </w:tc>
        <w:tc>
          <w:tcPr>
            <w:tcW w:w="1586" w:type="dxa"/>
          </w:tcPr>
          <w:p>
            <w:pPr>
              <w:pStyle w:val="TableParagraph"/>
              <w:spacing w:before="138"/>
              <w:ind w:left="257" w:right="251"/>
              <w:jc w:val="center"/>
              <w:rPr>
                <w:sz w:val="24"/>
              </w:rPr>
            </w:pPr>
            <w:r>
              <w:rPr>
                <w:sz w:val="24"/>
              </w:rPr>
              <w:t>COEDE</w:t>
            </w:r>
          </w:p>
        </w:tc>
        <w:tc>
          <w:tcPr>
            <w:tcW w:w="1577" w:type="dxa"/>
          </w:tcPr>
          <w:p>
            <w:pPr>
              <w:pStyle w:val="TableParagraph"/>
              <w:spacing w:before="138"/>
              <w:ind w:left="86" w:right="76"/>
              <w:jc w:val="center"/>
              <w:rPr>
                <w:sz w:val="24"/>
              </w:rPr>
            </w:pPr>
            <w:r>
              <w:rPr>
                <w:sz w:val="24"/>
              </w:rPr>
              <w:t>SEREDE</w:t>
            </w:r>
          </w:p>
        </w:tc>
        <w:tc>
          <w:tcPr>
            <w:tcW w:w="2191" w:type="dxa"/>
          </w:tcPr>
          <w:p>
            <w:pPr>
              <w:pStyle w:val="TableParagraph"/>
              <w:spacing w:before="138"/>
              <w:ind w:right="97"/>
              <w:jc w:val="right"/>
              <w:rPr>
                <w:sz w:val="24"/>
              </w:rPr>
            </w:pPr>
            <w:r>
              <w:rPr>
                <w:sz w:val="24"/>
              </w:rPr>
              <w:t>14,00</w:t>
            </w:r>
          </w:p>
        </w:tc>
      </w:tr>
      <w:tr>
        <w:trPr>
          <w:trHeight w:val="396" w:hRule="atLeast"/>
        </w:trPr>
        <w:tc>
          <w:tcPr>
            <w:tcW w:w="864" w:type="dxa"/>
          </w:tcPr>
          <w:p>
            <w:pPr>
              <w:pStyle w:val="TableParagraph"/>
              <w:spacing w:before="56"/>
              <w:ind w:right="96"/>
              <w:jc w:val="right"/>
              <w:rPr>
                <w:sz w:val="24"/>
              </w:rPr>
            </w:pPr>
            <w:r>
              <w:rPr>
                <w:sz w:val="24"/>
              </w:rPr>
              <w:t>10</w:t>
            </w:r>
          </w:p>
        </w:tc>
        <w:tc>
          <w:tcPr>
            <w:tcW w:w="5475" w:type="dxa"/>
          </w:tcPr>
          <w:p>
            <w:pPr>
              <w:pStyle w:val="TableParagraph"/>
              <w:spacing w:before="56"/>
              <w:ind w:left="136"/>
              <w:rPr>
                <w:sz w:val="24"/>
              </w:rPr>
            </w:pPr>
            <w:r>
              <w:rPr>
                <w:sz w:val="24"/>
              </w:rPr>
              <w:t>Gestão da integridade institucional.</w:t>
            </w:r>
          </w:p>
        </w:tc>
        <w:tc>
          <w:tcPr>
            <w:tcW w:w="2016" w:type="dxa"/>
          </w:tcPr>
          <w:p>
            <w:pPr>
              <w:pStyle w:val="TableParagraph"/>
              <w:spacing w:before="30"/>
              <w:ind w:left="658" w:right="623"/>
              <w:jc w:val="center"/>
              <w:rPr>
                <w:sz w:val="24"/>
              </w:rPr>
            </w:pPr>
            <w:r>
              <w:rPr>
                <w:sz w:val="24"/>
              </w:rPr>
              <w:t>SEP</w:t>
            </w:r>
          </w:p>
        </w:tc>
        <w:tc>
          <w:tcPr>
            <w:tcW w:w="1586" w:type="dxa"/>
          </w:tcPr>
          <w:p>
            <w:pPr>
              <w:pStyle w:val="TableParagraph"/>
              <w:spacing w:before="56"/>
              <w:ind w:left="258" w:right="249"/>
              <w:jc w:val="center"/>
              <w:rPr>
                <w:sz w:val="24"/>
              </w:rPr>
            </w:pPr>
            <w:r>
              <w:rPr>
                <w:sz w:val="24"/>
              </w:rPr>
              <w:t>SEP</w:t>
            </w:r>
          </w:p>
        </w:tc>
        <w:tc>
          <w:tcPr>
            <w:tcW w:w="1577" w:type="dxa"/>
          </w:tcPr>
          <w:p>
            <w:pPr>
              <w:pStyle w:val="TableParagraph"/>
              <w:spacing w:before="56"/>
              <w:ind w:left="86" w:right="78"/>
              <w:jc w:val="center"/>
              <w:rPr>
                <w:sz w:val="24"/>
              </w:rPr>
            </w:pPr>
            <w:r>
              <w:rPr>
                <w:sz w:val="24"/>
              </w:rPr>
              <w:t>ASCEP</w:t>
            </w:r>
          </w:p>
        </w:tc>
        <w:tc>
          <w:tcPr>
            <w:tcW w:w="2191" w:type="dxa"/>
          </w:tcPr>
          <w:p>
            <w:pPr>
              <w:pStyle w:val="TableParagraph"/>
              <w:spacing w:before="56"/>
              <w:ind w:right="97"/>
              <w:jc w:val="right"/>
              <w:rPr>
                <w:sz w:val="24"/>
              </w:rPr>
            </w:pPr>
            <w:r>
              <w:rPr>
                <w:sz w:val="24"/>
              </w:rPr>
              <w:t>14,00</w:t>
            </w:r>
          </w:p>
        </w:tc>
      </w:tr>
      <w:tr>
        <w:trPr>
          <w:trHeight w:val="395" w:hRule="atLeast"/>
        </w:trPr>
        <w:tc>
          <w:tcPr>
            <w:tcW w:w="864" w:type="dxa"/>
          </w:tcPr>
          <w:p>
            <w:pPr>
              <w:pStyle w:val="TableParagraph"/>
              <w:ind w:right="96"/>
              <w:jc w:val="right"/>
              <w:rPr>
                <w:sz w:val="24"/>
              </w:rPr>
            </w:pPr>
            <w:r>
              <w:rPr>
                <w:sz w:val="24"/>
              </w:rPr>
              <w:t>11</w:t>
            </w:r>
          </w:p>
        </w:tc>
        <w:tc>
          <w:tcPr>
            <w:tcW w:w="5475" w:type="dxa"/>
          </w:tcPr>
          <w:p>
            <w:pPr>
              <w:pStyle w:val="TableParagraph"/>
              <w:ind w:left="136"/>
              <w:rPr>
                <w:sz w:val="24"/>
              </w:rPr>
            </w:pPr>
            <w:r>
              <w:rPr>
                <w:sz w:val="24"/>
              </w:rPr>
              <w:t>Gestão de comissionamento.</w:t>
            </w:r>
          </w:p>
        </w:tc>
        <w:tc>
          <w:tcPr>
            <w:tcW w:w="2016" w:type="dxa"/>
          </w:tcPr>
          <w:p>
            <w:pPr>
              <w:pStyle w:val="TableParagraph"/>
              <w:ind w:left="561" w:right="755"/>
              <w:jc w:val="center"/>
              <w:rPr>
                <w:sz w:val="24"/>
              </w:rPr>
            </w:pPr>
            <w:r>
              <w:rPr>
                <w:sz w:val="24"/>
              </w:rPr>
              <w:t>SGP</w:t>
            </w:r>
          </w:p>
        </w:tc>
        <w:tc>
          <w:tcPr>
            <w:tcW w:w="1586" w:type="dxa"/>
          </w:tcPr>
          <w:p>
            <w:pPr>
              <w:pStyle w:val="TableParagraph"/>
              <w:ind w:left="257" w:right="251"/>
              <w:jc w:val="center"/>
              <w:rPr>
                <w:sz w:val="24"/>
              </w:rPr>
            </w:pPr>
            <w:r>
              <w:rPr>
                <w:sz w:val="24"/>
              </w:rPr>
              <w:t>COPES</w:t>
            </w:r>
          </w:p>
        </w:tc>
        <w:tc>
          <w:tcPr>
            <w:tcW w:w="1577" w:type="dxa"/>
          </w:tcPr>
          <w:p>
            <w:pPr>
              <w:pStyle w:val="TableParagraph"/>
              <w:ind w:left="86" w:right="78"/>
              <w:jc w:val="center"/>
              <w:rPr>
                <w:sz w:val="24"/>
              </w:rPr>
            </w:pPr>
            <w:r>
              <w:rPr>
                <w:sz w:val="24"/>
              </w:rPr>
              <w:t>SECOF</w:t>
            </w:r>
          </w:p>
        </w:tc>
        <w:tc>
          <w:tcPr>
            <w:tcW w:w="2191" w:type="dxa"/>
          </w:tcPr>
          <w:p>
            <w:pPr>
              <w:pStyle w:val="TableParagraph"/>
              <w:ind w:right="97"/>
              <w:jc w:val="right"/>
              <w:rPr>
                <w:sz w:val="24"/>
              </w:rPr>
            </w:pPr>
            <w:r>
              <w:rPr>
                <w:sz w:val="24"/>
              </w:rPr>
              <w:t>14,00</w:t>
            </w:r>
          </w:p>
        </w:tc>
      </w:tr>
      <w:tr>
        <w:trPr>
          <w:trHeight w:val="398" w:hRule="atLeast"/>
        </w:trPr>
        <w:tc>
          <w:tcPr>
            <w:tcW w:w="864" w:type="dxa"/>
          </w:tcPr>
          <w:p>
            <w:pPr>
              <w:pStyle w:val="TableParagraph"/>
              <w:spacing w:before="62"/>
              <w:ind w:right="96"/>
              <w:jc w:val="right"/>
              <w:rPr>
                <w:sz w:val="24"/>
              </w:rPr>
            </w:pPr>
            <w:r>
              <w:rPr>
                <w:sz w:val="24"/>
              </w:rPr>
              <w:t>12</w:t>
            </w:r>
          </w:p>
        </w:tc>
        <w:tc>
          <w:tcPr>
            <w:tcW w:w="5475" w:type="dxa"/>
          </w:tcPr>
          <w:p>
            <w:pPr>
              <w:pStyle w:val="TableParagraph"/>
              <w:spacing w:before="62"/>
              <w:ind w:left="136"/>
              <w:rPr>
                <w:sz w:val="24"/>
              </w:rPr>
            </w:pPr>
            <w:r>
              <w:rPr>
                <w:sz w:val="24"/>
              </w:rPr>
              <w:t>Gestão de outras despesas de manutenção de imóveis.</w:t>
            </w:r>
          </w:p>
        </w:tc>
        <w:tc>
          <w:tcPr>
            <w:tcW w:w="2016" w:type="dxa"/>
          </w:tcPr>
          <w:p>
            <w:pPr>
              <w:pStyle w:val="TableParagraph"/>
              <w:spacing w:before="62"/>
              <w:ind w:left="586" w:right="755"/>
              <w:jc w:val="center"/>
              <w:rPr>
                <w:sz w:val="24"/>
              </w:rPr>
            </w:pPr>
            <w:r>
              <w:rPr>
                <w:sz w:val="24"/>
              </w:rPr>
              <w:t>SGA</w:t>
            </w:r>
          </w:p>
        </w:tc>
        <w:tc>
          <w:tcPr>
            <w:tcW w:w="1586" w:type="dxa"/>
          </w:tcPr>
          <w:p>
            <w:pPr>
              <w:pStyle w:val="TableParagraph"/>
              <w:spacing w:before="62"/>
              <w:ind w:left="257" w:right="251"/>
              <w:jc w:val="center"/>
              <w:rPr>
                <w:sz w:val="24"/>
              </w:rPr>
            </w:pPr>
            <w:r>
              <w:rPr>
                <w:sz w:val="24"/>
              </w:rPr>
              <w:t>COSAD</w:t>
            </w:r>
          </w:p>
        </w:tc>
        <w:tc>
          <w:tcPr>
            <w:tcW w:w="1577" w:type="dxa"/>
          </w:tcPr>
          <w:p>
            <w:pPr>
              <w:pStyle w:val="TableParagraph"/>
              <w:spacing w:before="62"/>
              <w:ind w:left="86" w:right="77"/>
              <w:jc w:val="center"/>
              <w:rPr>
                <w:sz w:val="24"/>
              </w:rPr>
            </w:pPr>
            <w:r>
              <w:rPr>
                <w:sz w:val="24"/>
              </w:rPr>
              <w:t>SEAAC</w:t>
            </w:r>
          </w:p>
        </w:tc>
        <w:tc>
          <w:tcPr>
            <w:tcW w:w="2191" w:type="dxa"/>
          </w:tcPr>
          <w:p>
            <w:pPr>
              <w:pStyle w:val="TableParagraph"/>
              <w:spacing w:before="62"/>
              <w:ind w:right="97"/>
              <w:jc w:val="right"/>
              <w:rPr>
                <w:sz w:val="24"/>
              </w:rPr>
            </w:pPr>
            <w:r>
              <w:rPr>
                <w:sz w:val="24"/>
              </w:rPr>
              <w:t>14,00</w:t>
            </w:r>
          </w:p>
        </w:tc>
      </w:tr>
      <w:tr>
        <w:trPr>
          <w:trHeight w:val="395" w:hRule="atLeast"/>
        </w:trPr>
        <w:tc>
          <w:tcPr>
            <w:tcW w:w="864" w:type="dxa"/>
          </w:tcPr>
          <w:p>
            <w:pPr>
              <w:pStyle w:val="TableParagraph"/>
              <w:ind w:right="96"/>
              <w:jc w:val="right"/>
              <w:rPr>
                <w:sz w:val="24"/>
              </w:rPr>
            </w:pPr>
            <w:r>
              <w:rPr>
                <w:sz w:val="24"/>
              </w:rPr>
              <w:t>13</w:t>
            </w:r>
          </w:p>
        </w:tc>
        <w:tc>
          <w:tcPr>
            <w:tcW w:w="5475" w:type="dxa"/>
          </w:tcPr>
          <w:p>
            <w:pPr>
              <w:pStyle w:val="TableParagraph"/>
              <w:ind w:left="136"/>
              <w:rPr>
                <w:sz w:val="24"/>
              </w:rPr>
            </w:pPr>
            <w:r>
              <w:rPr>
                <w:sz w:val="24"/>
              </w:rPr>
              <w:t>Licitações e contratações de obras.</w:t>
            </w:r>
          </w:p>
        </w:tc>
        <w:tc>
          <w:tcPr>
            <w:tcW w:w="2016" w:type="dxa"/>
          </w:tcPr>
          <w:p>
            <w:pPr>
              <w:pStyle w:val="TableParagraph"/>
              <w:ind w:left="658" w:right="683"/>
              <w:jc w:val="center"/>
              <w:rPr>
                <w:sz w:val="24"/>
              </w:rPr>
            </w:pPr>
            <w:r>
              <w:rPr>
                <w:sz w:val="24"/>
              </w:rPr>
              <w:t>SGA</w:t>
            </w:r>
          </w:p>
        </w:tc>
        <w:tc>
          <w:tcPr>
            <w:tcW w:w="1586" w:type="dxa"/>
          </w:tcPr>
          <w:p>
            <w:pPr>
              <w:pStyle w:val="TableParagraph"/>
              <w:ind w:left="258" w:right="251"/>
              <w:jc w:val="center"/>
              <w:rPr>
                <w:sz w:val="24"/>
              </w:rPr>
            </w:pPr>
            <w:r>
              <w:rPr>
                <w:sz w:val="24"/>
              </w:rPr>
              <w:t>COMANP</w:t>
            </w:r>
          </w:p>
        </w:tc>
        <w:tc>
          <w:tcPr>
            <w:tcW w:w="1577" w:type="dxa"/>
          </w:tcPr>
          <w:p>
            <w:pPr>
              <w:pStyle w:val="TableParagraph"/>
              <w:ind w:left="86" w:right="75"/>
              <w:jc w:val="center"/>
              <w:rPr>
                <w:sz w:val="24"/>
              </w:rPr>
            </w:pPr>
            <w:r>
              <w:rPr>
                <w:sz w:val="24"/>
              </w:rPr>
              <w:t>SEPROB</w:t>
            </w:r>
          </w:p>
        </w:tc>
        <w:tc>
          <w:tcPr>
            <w:tcW w:w="2191" w:type="dxa"/>
          </w:tcPr>
          <w:p>
            <w:pPr>
              <w:pStyle w:val="TableParagraph"/>
              <w:ind w:right="97"/>
              <w:jc w:val="right"/>
              <w:rPr>
                <w:sz w:val="24"/>
              </w:rPr>
            </w:pPr>
            <w:r>
              <w:rPr>
                <w:sz w:val="24"/>
              </w:rPr>
              <w:t>14,00</w:t>
            </w:r>
          </w:p>
        </w:tc>
      </w:tr>
      <w:tr>
        <w:trPr>
          <w:trHeight w:val="398" w:hRule="atLeast"/>
        </w:trPr>
        <w:tc>
          <w:tcPr>
            <w:tcW w:w="864" w:type="dxa"/>
          </w:tcPr>
          <w:p>
            <w:pPr>
              <w:pStyle w:val="TableParagraph"/>
              <w:spacing w:before="61"/>
              <w:ind w:right="96"/>
              <w:jc w:val="right"/>
              <w:rPr>
                <w:sz w:val="24"/>
              </w:rPr>
            </w:pPr>
            <w:r>
              <w:rPr>
                <w:sz w:val="24"/>
              </w:rPr>
              <w:t>14</w:t>
            </w:r>
          </w:p>
        </w:tc>
        <w:tc>
          <w:tcPr>
            <w:tcW w:w="5475" w:type="dxa"/>
          </w:tcPr>
          <w:p>
            <w:pPr>
              <w:pStyle w:val="TableParagraph"/>
              <w:spacing w:before="61"/>
              <w:ind w:left="136"/>
              <w:rPr>
                <w:sz w:val="24"/>
              </w:rPr>
            </w:pPr>
            <w:r>
              <w:rPr>
                <w:sz w:val="24"/>
              </w:rPr>
              <w:t>Licitações e contratações de segurança institucional.</w:t>
            </w:r>
          </w:p>
        </w:tc>
        <w:tc>
          <w:tcPr>
            <w:tcW w:w="2016" w:type="dxa"/>
          </w:tcPr>
          <w:p>
            <w:pPr>
              <w:pStyle w:val="TableParagraph"/>
              <w:spacing w:before="35"/>
              <w:ind w:left="653"/>
              <w:rPr>
                <w:sz w:val="24"/>
              </w:rPr>
            </w:pPr>
            <w:r>
              <w:rPr>
                <w:sz w:val="24"/>
              </w:rPr>
              <w:t>ASSET</w:t>
            </w:r>
          </w:p>
        </w:tc>
        <w:tc>
          <w:tcPr>
            <w:tcW w:w="1586" w:type="dxa"/>
          </w:tcPr>
          <w:p>
            <w:pPr>
              <w:pStyle w:val="TableParagraph"/>
              <w:spacing w:before="61"/>
              <w:ind w:left="258" w:right="250"/>
              <w:jc w:val="center"/>
              <w:rPr>
                <w:sz w:val="24"/>
              </w:rPr>
            </w:pPr>
            <w:r>
              <w:rPr>
                <w:sz w:val="24"/>
              </w:rPr>
              <w:t>ASSET</w:t>
            </w:r>
          </w:p>
        </w:tc>
        <w:tc>
          <w:tcPr>
            <w:tcW w:w="1577" w:type="dxa"/>
          </w:tcPr>
          <w:p>
            <w:pPr>
              <w:pStyle w:val="TableParagraph"/>
              <w:spacing w:before="61"/>
              <w:ind w:left="86" w:right="78"/>
              <w:jc w:val="center"/>
              <w:rPr>
                <w:sz w:val="24"/>
              </w:rPr>
            </w:pPr>
            <w:r>
              <w:rPr>
                <w:sz w:val="24"/>
              </w:rPr>
              <w:t>ASEGU</w:t>
            </w:r>
          </w:p>
        </w:tc>
        <w:tc>
          <w:tcPr>
            <w:tcW w:w="2191" w:type="dxa"/>
          </w:tcPr>
          <w:p>
            <w:pPr>
              <w:pStyle w:val="TableParagraph"/>
              <w:spacing w:before="61"/>
              <w:ind w:right="97"/>
              <w:jc w:val="right"/>
              <w:rPr>
                <w:sz w:val="24"/>
              </w:rPr>
            </w:pPr>
            <w:r>
              <w:rPr>
                <w:sz w:val="24"/>
              </w:rPr>
              <w:t>14,00</w:t>
            </w:r>
          </w:p>
        </w:tc>
      </w:tr>
      <w:tr>
        <w:trPr>
          <w:trHeight w:val="397" w:hRule="atLeast"/>
        </w:trPr>
        <w:tc>
          <w:tcPr>
            <w:tcW w:w="864" w:type="dxa"/>
          </w:tcPr>
          <w:p>
            <w:pPr>
              <w:pStyle w:val="TableParagraph"/>
              <w:ind w:right="96"/>
              <w:jc w:val="right"/>
              <w:rPr>
                <w:sz w:val="24"/>
              </w:rPr>
            </w:pPr>
            <w:r>
              <w:rPr>
                <w:sz w:val="24"/>
              </w:rPr>
              <w:t>15</w:t>
            </w:r>
          </w:p>
        </w:tc>
        <w:tc>
          <w:tcPr>
            <w:tcW w:w="5475" w:type="dxa"/>
          </w:tcPr>
          <w:p>
            <w:pPr>
              <w:pStyle w:val="TableParagraph"/>
              <w:ind w:left="136"/>
              <w:rPr>
                <w:sz w:val="24"/>
              </w:rPr>
            </w:pPr>
            <w:r>
              <w:rPr>
                <w:sz w:val="24"/>
              </w:rPr>
              <w:t>Gestão da Acessibilidade</w:t>
            </w:r>
          </w:p>
        </w:tc>
        <w:tc>
          <w:tcPr>
            <w:tcW w:w="2016" w:type="dxa"/>
          </w:tcPr>
          <w:p>
            <w:pPr>
              <w:pStyle w:val="TableParagraph"/>
              <w:ind w:left="586" w:right="755"/>
              <w:jc w:val="center"/>
              <w:rPr>
                <w:sz w:val="24"/>
              </w:rPr>
            </w:pPr>
            <w:r>
              <w:rPr>
                <w:sz w:val="24"/>
              </w:rPr>
              <w:t>SGA</w:t>
            </w:r>
          </w:p>
        </w:tc>
        <w:tc>
          <w:tcPr>
            <w:tcW w:w="1586" w:type="dxa"/>
          </w:tcPr>
          <w:p>
            <w:pPr>
              <w:pStyle w:val="TableParagraph"/>
              <w:spacing w:before="35"/>
              <w:ind w:left="258" w:right="251"/>
              <w:jc w:val="center"/>
              <w:rPr>
                <w:sz w:val="24"/>
              </w:rPr>
            </w:pPr>
            <w:r>
              <w:rPr>
                <w:sz w:val="24"/>
              </w:rPr>
              <w:t>COMANP</w:t>
            </w:r>
          </w:p>
        </w:tc>
        <w:tc>
          <w:tcPr>
            <w:tcW w:w="1577" w:type="dxa"/>
          </w:tcPr>
          <w:p>
            <w:pPr>
              <w:pStyle w:val="TableParagraph"/>
              <w:spacing w:before="35"/>
              <w:ind w:left="86" w:right="75"/>
              <w:jc w:val="center"/>
              <w:rPr>
                <w:sz w:val="24"/>
              </w:rPr>
            </w:pPr>
            <w:r>
              <w:rPr>
                <w:sz w:val="24"/>
              </w:rPr>
              <w:t>SEPROB</w:t>
            </w:r>
          </w:p>
        </w:tc>
        <w:tc>
          <w:tcPr>
            <w:tcW w:w="2191" w:type="dxa"/>
          </w:tcPr>
          <w:p>
            <w:pPr>
              <w:pStyle w:val="TableParagraph"/>
              <w:ind w:right="97"/>
              <w:jc w:val="right"/>
              <w:rPr>
                <w:sz w:val="24"/>
              </w:rPr>
            </w:pPr>
            <w:r>
              <w:rPr>
                <w:sz w:val="24"/>
              </w:rPr>
              <w:t>13,00</w:t>
            </w:r>
          </w:p>
        </w:tc>
      </w:tr>
      <w:tr>
        <w:trPr>
          <w:trHeight w:val="395" w:hRule="atLeast"/>
        </w:trPr>
        <w:tc>
          <w:tcPr>
            <w:tcW w:w="864" w:type="dxa"/>
          </w:tcPr>
          <w:p>
            <w:pPr>
              <w:pStyle w:val="TableParagraph"/>
              <w:ind w:right="96"/>
              <w:jc w:val="right"/>
              <w:rPr>
                <w:sz w:val="24"/>
              </w:rPr>
            </w:pPr>
            <w:r>
              <w:rPr>
                <w:sz w:val="24"/>
              </w:rPr>
              <w:t>16</w:t>
            </w:r>
          </w:p>
        </w:tc>
        <w:tc>
          <w:tcPr>
            <w:tcW w:w="5475" w:type="dxa"/>
          </w:tcPr>
          <w:p>
            <w:pPr>
              <w:pStyle w:val="TableParagraph"/>
              <w:ind w:left="136"/>
              <w:rPr>
                <w:sz w:val="24"/>
              </w:rPr>
            </w:pPr>
            <w:r>
              <w:rPr>
                <w:sz w:val="24"/>
              </w:rPr>
              <w:t>Gestão de afastamentos voluntários.</w:t>
            </w:r>
          </w:p>
        </w:tc>
        <w:tc>
          <w:tcPr>
            <w:tcW w:w="2016" w:type="dxa"/>
          </w:tcPr>
          <w:p>
            <w:pPr>
              <w:pStyle w:val="TableParagraph"/>
              <w:ind w:left="561" w:right="755"/>
              <w:jc w:val="center"/>
              <w:rPr>
                <w:sz w:val="24"/>
              </w:rPr>
            </w:pPr>
            <w:r>
              <w:rPr>
                <w:sz w:val="24"/>
              </w:rPr>
              <w:t>SGP</w:t>
            </w:r>
          </w:p>
        </w:tc>
        <w:tc>
          <w:tcPr>
            <w:tcW w:w="1586" w:type="dxa"/>
          </w:tcPr>
          <w:p>
            <w:pPr>
              <w:pStyle w:val="TableParagraph"/>
              <w:ind w:left="257" w:right="251"/>
              <w:jc w:val="center"/>
              <w:rPr>
                <w:sz w:val="24"/>
              </w:rPr>
            </w:pPr>
            <w:r>
              <w:rPr>
                <w:sz w:val="24"/>
              </w:rPr>
              <w:t>COPES</w:t>
            </w:r>
          </w:p>
        </w:tc>
        <w:tc>
          <w:tcPr>
            <w:tcW w:w="1577" w:type="dxa"/>
          </w:tcPr>
          <w:p>
            <w:pPr>
              <w:pStyle w:val="TableParagraph"/>
              <w:ind w:left="86" w:right="78"/>
              <w:jc w:val="center"/>
              <w:rPr>
                <w:sz w:val="24"/>
              </w:rPr>
            </w:pPr>
            <w:r>
              <w:rPr>
                <w:sz w:val="24"/>
              </w:rPr>
              <w:t>SECOF</w:t>
            </w:r>
          </w:p>
        </w:tc>
        <w:tc>
          <w:tcPr>
            <w:tcW w:w="2191" w:type="dxa"/>
          </w:tcPr>
          <w:p>
            <w:pPr>
              <w:pStyle w:val="TableParagraph"/>
              <w:ind w:right="97"/>
              <w:jc w:val="right"/>
              <w:rPr>
                <w:sz w:val="24"/>
              </w:rPr>
            </w:pPr>
            <w:r>
              <w:rPr>
                <w:sz w:val="24"/>
              </w:rPr>
              <w:t>13,00</w:t>
            </w:r>
          </w:p>
        </w:tc>
      </w:tr>
    </w:tbl>
    <w:p>
      <w:pPr>
        <w:spacing w:after="0"/>
        <w:jc w:val="right"/>
        <w:rPr>
          <w:sz w:val="24"/>
        </w:rPr>
        <w:sectPr>
          <w:pgSz w:w="16840" w:h="11910" w:orient="landscape"/>
          <w:pgMar w:top="580" w:bottom="280" w:left="820" w:right="300"/>
        </w:sectPr>
      </w:pPr>
    </w:p>
    <w:p>
      <w:pPr>
        <w:pStyle w:val="BodyText"/>
        <w:ind w:left="7379"/>
        <w:rPr>
          <w:sz w:val="20"/>
        </w:rPr>
      </w:pPr>
      <w:r>
        <w:rPr>
          <w:sz w:val="20"/>
        </w:rPr>
        <w:drawing>
          <wp:inline distT="0" distB="0" distL="0" distR="0">
            <wp:extent cx="673172" cy="589788"/>
            <wp:effectExtent l="0" t="0" r="0" b="0"/>
            <wp:docPr id="11" name="image2.jpeg"/>
            <wp:cNvGraphicFramePr>
              <a:graphicFrameLocks noChangeAspect="1"/>
            </wp:cNvGraphicFramePr>
            <a:graphic>
              <a:graphicData uri="http://schemas.openxmlformats.org/drawingml/2006/picture">
                <pic:pic>
                  <pic:nvPicPr>
                    <pic:cNvPr id="12" name="image2.jpeg"/>
                    <pic:cNvPicPr/>
                  </pic:nvPicPr>
                  <pic:blipFill>
                    <a:blip r:embed="rId6" cstate="print"/>
                    <a:stretch>
                      <a:fillRect/>
                    </a:stretch>
                  </pic:blipFill>
                  <pic:spPr>
                    <a:xfrm>
                      <a:off x="0" y="0"/>
                      <a:ext cx="673172" cy="589788"/>
                    </a:xfrm>
                    <a:prstGeom prst="rect">
                      <a:avLst/>
                    </a:prstGeom>
                  </pic:spPr>
                </pic:pic>
              </a:graphicData>
            </a:graphic>
          </wp:inline>
        </w:drawing>
      </w:r>
      <w:r>
        <w:rPr>
          <w:sz w:val="20"/>
        </w:rPr>
      </w:r>
    </w:p>
    <w:p>
      <w:pPr>
        <w:pStyle w:val="BodyText"/>
        <w:spacing w:before="3"/>
        <w:rPr>
          <w:b/>
          <w:sz w:val="19"/>
        </w:rPr>
      </w:pPr>
    </w:p>
    <w:p>
      <w:pPr>
        <w:spacing w:before="90"/>
        <w:ind w:left="4658" w:right="4892" w:firstLine="0"/>
        <w:jc w:val="center"/>
        <w:rPr>
          <w:b/>
          <w:sz w:val="24"/>
        </w:rPr>
      </w:pPr>
      <w:r>
        <w:rPr>
          <w:b/>
          <w:sz w:val="24"/>
        </w:rPr>
        <w:t>TRIBUNAL REGIONAL ELEITORAL DA BAHIA</w:t>
      </w:r>
    </w:p>
    <w:p>
      <w:pPr>
        <w:pStyle w:val="BodyText"/>
        <w:ind w:left="4658" w:right="4893"/>
        <w:jc w:val="center"/>
      </w:pPr>
      <w:r>
        <w:rPr/>
        <w:t>Coordenadoria de Auditoria Interna</w:t>
      </w:r>
    </w:p>
    <w:p>
      <w:pPr>
        <w:pStyle w:val="BodyText"/>
        <w:rPr>
          <w:sz w:val="20"/>
        </w:rPr>
      </w:pPr>
    </w:p>
    <w:p>
      <w:pPr>
        <w:pStyle w:val="BodyText"/>
        <w:spacing w:after="1"/>
        <w:rPr>
          <w:sz w:val="28"/>
        </w:rPr>
      </w:pPr>
    </w:p>
    <w:tbl>
      <w:tblPr>
        <w:tblW w:w="0" w:type="auto"/>
        <w:jc w:val="left"/>
        <w:tblInd w:w="1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64"/>
        <w:gridCol w:w="5475"/>
        <w:gridCol w:w="2016"/>
        <w:gridCol w:w="1586"/>
        <w:gridCol w:w="1577"/>
        <w:gridCol w:w="2191"/>
      </w:tblGrid>
      <w:tr>
        <w:trPr>
          <w:trHeight w:val="395" w:hRule="atLeast"/>
        </w:trPr>
        <w:tc>
          <w:tcPr>
            <w:tcW w:w="864" w:type="dxa"/>
          </w:tcPr>
          <w:p>
            <w:pPr>
              <w:pStyle w:val="TableParagraph"/>
              <w:ind w:left="191"/>
              <w:rPr>
                <w:b/>
                <w:sz w:val="24"/>
              </w:rPr>
            </w:pPr>
            <w:r>
              <w:rPr>
                <w:b/>
                <w:sz w:val="24"/>
              </w:rPr>
              <w:t>REF</w:t>
            </w:r>
          </w:p>
        </w:tc>
        <w:tc>
          <w:tcPr>
            <w:tcW w:w="5475" w:type="dxa"/>
          </w:tcPr>
          <w:p>
            <w:pPr>
              <w:pStyle w:val="TableParagraph"/>
              <w:ind w:left="1339"/>
              <w:rPr>
                <w:b/>
                <w:sz w:val="24"/>
              </w:rPr>
            </w:pPr>
            <w:r>
              <w:rPr>
                <w:b/>
                <w:sz w:val="24"/>
              </w:rPr>
              <w:t>PROCESSO AUDITÁVEL</w:t>
            </w:r>
          </w:p>
        </w:tc>
        <w:tc>
          <w:tcPr>
            <w:tcW w:w="2016" w:type="dxa"/>
          </w:tcPr>
          <w:p>
            <w:pPr>
              <w:pStyle w:val="TableParagraph"/>
              <w:ind w:left="314"/>
              <w:rPr>
                <w:b/>
                <w:sz w:val="24"/>
              </w:rPr>
            </w:pPr>
            <w:r>
              <w:rPr>
                <w:b/>
                <w:sz w:val="24"/>
              </w:rPr>
              <w:t>DIRETORIA</w:t>
            </w:r>
          </w:p>
        </w:tc>
        <w:tc>
          <w:tcPr>
            <w:tcW w:w="1586" w:type="dxa"/>
          </w:tcPr>
          <w:p>
            <w:pPr>
              <w:pStyle w:val="TableParagraph"/>
              <w:ind w:left="258" w:right="251"/>
              <w:jc w:val="center"/>
              <w:rPr>
                <w:b/>
                <w:sz w:val="24"/>
              </w:rPr>
            </w:pPr>
            <w:r>
              <w:rPr>
                <w:b/>
                <w:sz w:val="24"/>
              </w:rPr>
              <w:t>GESTOR</w:t>
            </w:r>
          </w:p>
        </w:tc>
        <w:tc>
          <w:tcPr>
            <w:tcW w:w="1577" w:type="dxa"/>
          </w:tcPr>
          <w:p>
            <w:pPr>
              <w:pStyle w:val="TableParagraph"/>
              <w:ind w:left="86" w:right="80"/>
              <w:jc w:val="center"/>
              <w:rPr>
                <w:b/>
                <w:sz w:val="24"/>
              </w:rPr>
            </w:pPr>
            <w:r>
              <w:rPr>
                <w:b/>
                <w:sz w:val="24"/>
              </w:rPr>
              <w:t>EXECUTOR</w:t>
            </w:r>
          </w:p>
        </w:tc>
        <w:tc>
          <w:tcPr>
            <w:tcW w:w="2191" w:type="dxa"/>
          </w:tcPr>
          <w:p>
            <w:pPr>
              <w:pStyle w:val="TableParagraph"/>
              <w:ind w:left="656"/>
              <w:rPr>
                <w:b/>
                <w:sz w:val="24"/>
              </w:rPr>
            </w:pPr>
            <w:r>
              <w:rPr>
                <w:b/>
                <w:sz w:val="24"/>
              </w:rPr>
              <w:t>RISCO*</w:t>
            </w:r>
          </w:p>
        </w:tc>
      </w:tr>
      <w:tr>
        <w:trPr>
          <w:trHeight w:val="398" w:hRule="atLeast"/>
        </w:trPr>
        <w:tc>
          <w:tcPr>
            <w:tcW w:w="864" w:type="dxa"/>
          </w:tcPr>
          <w:p>
            <w:pPr>
              <w:pStyle w:val="TableParagraph"/>
              <w:spacing w:before="61"/>
              <w:ind w:right="96"/>
              <w:jc w:val="right"/>
              <w:rPr>
                <w:sz w:val="24"/>
              </w:rPr>
            </w:pPr>
            <w:r>
              <w:rPr>
                <w:sz w:val="24"/>
              </w:rPr>
              <w:t>17</w:t>
            </w:r>
          </w:p>
        </w:tc>
        <w:tc>
          <w:tcPr>
            <w:tcW w:w="5475" w:type="dxa"/>
          </w:tcPr>
          <w:p>
            <w:pPr>
              <w:pStyle w:val="TableParagraph"/>
              <w:spacing w:before="61"/>
              <w:ind w:left="136"/>
              <w:rPr>
                <w:sz w:val="24"/>
              </w:rPr>
            </w:pPr>
            <w:r>
              <w:rPr>
                <w:sz w:val="24"/>
              </w:rPr>
              <w:t>Software.</w:t>
            </w:r>
          </w:p>
        </w:tc>
        <w:tc>
          <w:tcPr>
            <w:tcW w:w="2016" w:type="dxa"/>
          </w:tcPr>
          <w:p>
            <w:pPr>
              <w:pStyle w:val="TableParagraph"/>
              <w:spacing w:before="61"/>
              <w:ind w:left="557" w:right="755"/>
              <w:jc w:val="center"/>
              <w:rPr>
                <w:sz w:val="24"/>
              </w:rPr>
            </w:pPr>
            <w:r>
              <w:rPr>
                <w:sz w:val="24"/>
              </w:rPr>
              <w:t>STI</w:t>
            </w:r>
          </w:p>
        </w:tc>
        <w:tc>
          <w:tcPr>
            <w:tcW w:w="1586" w:type="dxa"/>
          </w:tcPr>
          <w:p>
            <w:pPr>
              <w:pStyle w:val="TableParagraph"/>
              <w:spacing w:before="61"/>
              <w:ind w:left="257" w:right="251"/>
              <w:jc w:val="center"/>
              <w:rPr>
                <w:sz w:val="24"/>
              </w:rPr>
            </w:pPr>
            <w:r>
              <w:rPr>
                <w:sz w:val="24"/>
              </w:rPr>
              <w:t>COSINF</w:t>
            </w:r>
          </w:p>
        </w:tc>
        <w:tc>
          <w:tcPr>
            <w:tcW w:w="1577" w:type="dxa"/>
          </w:tcPr>
          <w:p>
            <w:pPr>
              <w:pStyle w:val="TableParagraph"/>
              <w:spacing w:before="61"/>
              <w:ind w:left="86" w:right="76"/>
              <w:jc w:val="center"/>
              <w:rPr>
                <w:sz w:val="24"/>
              </w:rPr>
            </w:pPr>
            <w:r>
              <w:rPr>
                <w:sz w:val="24"/>
              </w:rPr>
              <w:t>SEDESC</w:t>
            </w:r>
          </w:p>
        </w:tc>
        <w:tc>
          <w:tcPr>
            <w:tcW w:w="2191" w:type="dxa"/>
          </w:tcPr>
          <w:p>
            <w:pPr>
              <w:pStyle w:val="TableParagraph"/>
              <w:spacing w:before="61"/>
              <w:ind w:right="97"/>
              <w:jc w:val="right"/>
              <w:rPr>
                <w:sz w:val="24"/>
              </w:rPr>
            </w:pPr>
            <w:r>
              <w:rPr>
                <w:sz w:val="24"/>
              </w:rPr>
              <w:t>13,00</w:t>
            </w:r>
          </w:p>
        </w:tc>
      </w:tr>
      <w:tr>
        <w:trPr>
          <w:trHeight w:val="398" w:hRule="atLeast"/>
        </w:trPr>
        <w:tc>
          <w:tcPr>
            <w:tcW w:w="864" w:type="dxa"/>
          </w:tcPr>
          <w:p>
            <w:pPr>
              <w:pStyle w:val="TableParagraph"/>
              <w:ind w:right="96"/>
              <w:jc w:val="right"/>
              <w:rPr>
                <w:sz w:val="24"/>
              </w:rPr>
            </w:pPr>
            <w:r>
              <w:rPr>
                <w:sz w:val="24"/>
              </w:rPr>
              <w:t>18</w:t>
            </w:r>
          </w:p>
        </w:tc>
        <w:tc>
          <w:tcPr>
            <w:tcW w:w="5475" w:type="dxa"/>
          </w:tcPr>
          <w:p>
            <w:pPr>
              <w:pStyle w:val="TableParagraph"/>
              <w:ind w:left="136"/>
              <w:rPr>
                <w:sz w:val="24"/>
              </w:rPr>
            </w:pPr>
            <w:r>
              <w:rPr>
                <w:sz w:val="24"/>
              </w:rPr>
              <w:t>Gestão da folha de pagamento de ativos.</w:t>
            </w:r>
          </w:p>
        </w:tc>
        <w:tc>
          <w:tcPr>
            <w:tcW w:w="2016" w:type="dxa"/>
          </w:tcPr>
          <w:p>
            <w:pPr>
              <w:pStyle w:val="TableParagraph"/>
              <w:ind w:left="561" w:right="755"/>
              <w:jc w:val="center"/>
              <w:rPr>
                <w:sz w:val="24"/>
              </w:rPr>
            </w:pPr>
            <w:r>
              <w:rPr>
                <w:sz w:val="24"/>
              </w:rPr>
              <w:t>SGP</w:t>
            </w:r>
          </w:p>
        </w:tc>
        <w:tc>
          <w:tcPr>
            <w:tcW w:w="1586" w:type="dxa"/>
          </w:tcPr>
          <w:p>
            <w:pPr>
              <w:pStyle w:val="TableParagraph"/>
              <w:ind w:left="257" w:right="251"/>
              <w:jc w:val="center"/>
              <w:rPr>
                <w:sz w:val="24"/>
              </w:rPr>
            </w:pPr>
            <w:r>
              <w:rPr>
                <w:sz w:val="24"/>
              </w:rPr>
              <w:t>COPES</w:t>
            </w:r>
          </w:p>
        </w:tc>
        <w:tc>
          <w:tcPr>
            <w:tcW w:w="1577" w:type="dxa"/>
          </w:tcPr>
          <w:p>
            <w:pPr>
              <w:pStyle w:val="TableParagraph"/>
              <w:ind w:left="86" w:right="79"/>
              <w:jc w:val="center"/>
              <w:rPr>
                <w:sz w:val="24"/>
              </w:rPr>
            </w:pPr>
            <w:r>
              <w:rPr>
                <w:sz w:val="24"/>
              </w:rPr>
              <w:t>SEPATI</w:t>
            </w:r>
          </w:p>
        </w:tc>
        <w:tc>
          <w:tcPr>
            <w:tcW w:w="2191" w:type="dxa"/>
          </w:tcPr>
          <w:p>
            <w:pPr>
              <w:pStyle w:val="TableParagraph"/>
              <w:ind w:right="97"/>
              <w:jc w:val="right"/>
              <w:rPr>
                <w:sz w:val="24"/>
              </w:rPr>
            </w:pPr>
            <w:r>
              <w:rPr>
                <w:sz w:val="24"/>
              </w:rPr>
              <w:t>12,00</w:t>
            </w:r>
          </w:p>
        </w:tc>
      </w:tr>
      <w:tr>
        <w:trPr>
          <w:trHeight w:val="395" w:hRule="atLeast"/>
        </w:trPr>
        <w:tc>
          <w:tcPr>
            <w:tcW w:w="864" w:type="dxa"/>
          </w:tcPr>
          <w:p>
            <w:pPr>
              <w:pStyle w:val="TableParagraph"/>
              <w:ind w:right="96"/>
              <w:jc w:val="right"/>
              <w:rPr>
                <w:sz w:val="24"/>
              </w:rPr>
            </w:pPr>
            <w:r>
              <w:rPr>
                <w:sz w:val="24"/>
              </w:rPr>
              <w:t>19</w:t>
            </w:r>
          </w:p>
        </w:tc>
        <w:tc>
          <w:tcPr>
            <w:tcW w:w="5475" w:type="dxa"/>
          </w:tcPr>
          <w:p>
            <w:pPr>
              <w:pStyle w:val="TableParagraph"/>
              <w:ind w:left="136"/>
              <w:rPr>
                <w:sz w:val="24"/>
              </w:rPr>
            </w:pPr>
            <w:r>
              <w:rPr>
                <w:sz w:val="24"/>
              </w:rPr>
              <w:t>Gestão da folha de pagamento de magistrados</w:t>
            </w:r>
          </w:p>
        </w:tc>
        <w:tc>
          <w:tcPr>
            <w:tcW w:w="2016" w:type="dxa"/>
          </w:tcPr>
          <w:p>
            <w:pPr>
              <w:pStyle w:val="TableParagraph"/>
              <w:ind w:left="561" w:right="755"/>
              <w:jc w:val="center"/>
              <w:rPr>
                <w:sz w:val="24"/>
              </w:rPr>
            </w:pPr>
            <w:r>
              <w:rPr>
                <w:sz w:val="24"/>
              </w:rPr>
              <w:t>SGP</w:t>
            </w:r>
          </w:p>
        </w:tc>
        <w:tc>
          <w:tcPr>
            <w:tcW w:w="1586" w:type="dxa"/>
          </w:tcPr>
          <w:p>
            <w:pPr>
              <w:pStyle w:val="TableParagraph"/>
              <w:ind w:left="257" w:right="251"/>
              <w:jc w:val="center"/>
              <w:rPr>
                <w:sz w:val="24"/>
              </w:rPr>
            </w:pPr>
            <w:r>
              <w:rPr>
                <w:sz w:val="24"/>
              </w:rPr>
              <w:t>COPES</w:t>
            </w:r>
          </w:p>
        </w:tc>
        <w:tc>
          <w:tcPr>
            <w:tcW w:w="1577" w:type="dxa"/>
          </w:tcPr>
          <w:p>
            <w:pPr>
              <w:pStyle w:val="TableParagraph"/>
              <w:ind w:left="86" w:right="77"/>
              <w:jc w:val="center"/>
              <w:rPr>
                <w:sz w:val="24"/>
              </w:rPr>
            </w:pPr>
            <w:r>
              <w:rPr>
                <w:sz w:val="24"/>
              </w:rPr>
              <w:t>SEPAGE</w:t>
            </w:r>
          </w:p>
        </w:tc>
        <w:tc>
          <w:tcPr>
            <w:tcW w:w="2191" w:type="dxa"/>
          </w:tcPr>
          <w:p>
            <w:pPr>
              <w:pStyle w:val="TableParagraph"/>
              <w:ind w:right="97"/>
              <w:jc w:val="right"/>
              <w:rPr>
                <w:sz w:val="24"/>
              </w:rPr>
            </w:pPr>
            <w:r>
              <w:rPr>
                <w:sz w:val="24"/>
              </w:rPr>
              <w:t>12,00</w:t>
            </w:r>
          </w:p>
        </w:tc>
      </w:tr>
      <w:tr>
        <w:trPr>
          <w:trHeight w:val="397" w:hRule="atLeast"/>
        </w:trPr>
        <w:tc>
          <w:tcPr>
            <w:tcW w:w="864" w:type="dxa"/>
          </w:tcPr>
          <w:p>
            <w:pPr>
              <w:pStyle w:val="TableParagraph"/>
              <w:spacing w:before="61"/>
              <w:ind w:right="96"/>
              <w:jc w:val="right"/>
              <w:rPr>
                <w:sz w:val="24"/>
              </w:rPr>
            </w:pPr>
            <w:r>
              <w:rPr>
                <w:sz w:val="24"/>
              </w:rPr>
              <w:t>20</w:t>
            </w:r>
          </w:p>
        </w:tc>
        <w:tc>
          <w:tcPr>
            <w:tcW w:w="5475" w:type="dxa"/>
          </w:tcPr>
          <w:p>
            <w:pPr>
              <w:pStyle w:val="TableParagraph"/>
              <w:spacing w:before="61"/>
              <w:ind w:left="136"/>
              <w:rPr>
                <w:sz w:val="24"/>
              </w:rPr>
            </w:pPr>
            <w:r>
              <w:rPr>
                <w:sz w:val="24"/>
              </w:rPr>
              <w:t>Gestão de aposentadoria</w:t>
            </w:r>
          </w:p>
        </w:tc>
        <w:tc>
          <w:tcPr>
            <w:tcW w:w="2016" w:type="dxa"/>
          </w:tcPr>
          <w:p>
            <w:pPr>
              <w:pStyle w:val="TableParagraph"/>
              <w:spacing w:before="61"/>
              <w:ind w:left="585" w:right="755"/>
              <w:jc w:val="center"/>
              <w:rPr>
                <w:sz w:val="24"/>
              </w:rPr>
            </w:pPr>
            <w:r>
              <w:rPr>
                <w:sz w:val="24"/>
              </w:rPr>
              <w:t>SGP</w:t>
            </w:r>
          </w:p>
        </w:tc>
        <w:tc>
          <w:tcPr>
            <w:tcW w:w="1586" w:type="dxa"/>
          </w:tcPr>
          <w:p>
            <w:pPr>
              <w:pStyle w:val="TableParagraph"/>
              <w:spacing w:before="61"/>
              <w:ind w:left="258" w:right="251"/>
              <w:jc w:val="center"/>
              <w:rPr>
                <w:sz w:val="24"/>
              </w:rPr>
            </w:pPr>
            <w:r>
              <w:rPr>
                <w:sz w:val="24"/>
              </w:rPr>
              <w:t>COTEC</w:t>
            </w:r>
          </w:p>
        </w:tc>
        <w:tc>
          <w:tcPr>
            <w:tcW w:w="1577" w:type="dxa"/>
          </w:tcPr>
          <w:p>
            <w:pPr>
              <w:pStyle w:val="TableParagraph"/>
              <w:spacing w:before="61"/>
              <w:ind w:left="86" w:right="79"/>
              <w:jc w:val="center"/>
              <w:rPr>
                <w:sz w:val="24"/>
              </w:rPr>
            </w:pPr>
            <w:r>
              <w:rPr>
                <w:sz w:val="24"/>
              </w:rPr>
              <w:t>SEAPREV</w:t>
            </w:r>
          </w:p>
        </w:tc>
        <w:tc>
          <w:tcPr>
            <w:tcW w:w="2191" w:type="dxa"/>
          </w:tcPr>
          <w:p>
            <w:pPr>
              <w:pStyle w:val="TableParagraph"/>
              <w:spacing w:before="61"/>
              <w:ind w:right="97"/>
              <w:jc w:val="right"/>
              <w:rPr>
                <w:sz w:val="24"/>
              </w:rPr>
            </w:pPr>
            <w:r>
              <w:rPr>
                <w:sz w:val="24"/>
              </w:rPr>
              <w:t>12,00</w:t>
            </w:r>
          </w:p>
        </w:tc>
      </w:tr>
      <w:tr>
        <w:trPr>
          <w:trHeight w:val="395" w:hRule="atLeast"/>
        </w:trPr>
        <w:tc>
          <w:tcPr>
            <w:tcW w:w="864" w:type="dxa"/>
          </w:tcPr>
          <w:p>
            <w:pPr>
              <w:pStyle w:val="TableParagraph"/>
              <w:ind w:right="96"/>
              <w:jc w:val="right"/>
              <w:rPr>
                <w:sz w:val="24"/>
              </w:rPr>
            </w:pPr>
            <w:r>
              <w:rPr>
                <w:sz w:val="24"/>
              </w:rPr>
              <w:t>21</w:t>
            </w:r>
          </w:p>
        </w:tc>
        <w:tc>
          <w:tcPr>
            <w:tcW w:w="5475" w:type="dxa"/>
          </w:tcPr>
          <w:p>
            <w:pPr>
              <w:pStyle w:val="TableParagraph"/>
              <w:ind w:left="136"/>
              <w:rPr>
                <w:sz w:val="24"/>
              </w:rPr>
            </w:pPr>
            <w:r>
              <w:rPr>
                <w:sz w:val="24"/>
              </w:rPr>
              <w:t>Gestão de benefícios, auxílios e indenizações.</w:t>
            </w:r>
          </w:p>
        </w:tc>
        <w:tc>
          <w:tcPr>
            <w:tcW w:w="2016" w:type="dxa"/>
          </w:tcPr>
          <w:p>
            <w:pPr>
              <w:pStyle w:val="TableParagraph"/>
              <w:ind w:left="580" w:right="755"/>
              <w:jc w:val="center"/>
              <w:rPr>
                <w:sz w:val="24"/>
              </w:rPr>
            </w:pPr>
            <w:r>
              <w:rPr>
                <w:sz w:val="24"/>
              </w:rPr>
              <w:t>SGP</w:t>
            </w:r>
          </w:p>
        </w:tc>
        <w:tc>
          <w:tcPr>
            <w:tcW w:w="1586" w:type="dxa"/>
          </w:tcPr>
          <w:p>
            <w:pPr>
              <w:pStyle w:val="TableParagraph"/>
              <w:ind w:left="257" w:right="251"/>
              <w:jc w:val="center"/>
              <w:rPr>
                <w:sz w:val="24"/>
              </w:rPr>
            </w:pPr>
            <w:r>
              <w:rPr>
                <w:sz w:val="24"/>
              </w:rPr>
              <w:t>COEDE</w:t>
            </w:r>
          </w:p>
        </w:tc>
        <w:tc>
          <w:tcPr>
            <w:tcW w:w="1577" w:type="dxa"/>
          </w:tcPr>
          <w:p>
            <w:pPr>
              <w:pStyle w:val="TableParagraph"/>
              <w:ind w:left="86" w:right="76"/>
              <w:jc w:val="center"/>
              <w:rPr>
                <w:sz w:val="24"/>
              </w:rPr>
            </w:pPr>
            <w:r>
              <w:rPr>
                <w:sz w:val="24"/>
              </w:rPr>
              <w:t>ASBEN</w:t>
            </w:r>
          </w:p>
        </w:tc>
        <w:tc>
          <w:tcPr>
            <w:tcW w:w="2191" w:type="dxa"/>
          </w:tcPr>
          <w:p>
            <w:pPr>
              <w:pStyle w:val="TableParagraph"/>
              <w:ind w:right="97"/>
              <w:jc w:val="right"/>
              <w:rPr>
                <w:sz w:val="24"/>
              </w:rPr>
            </w:pPr>
            <w:r>
              <w:rPr>
                <w:sz w:val="24"/>
              </w:rPr>
              <w:t>12,00</w:t>
            </w:r>
          </w:p>
        </w:tc>
      </w:tr>
      <w:tr>
        <w:trPr>
          <w:trHeight w:val="397" w:hRule="atLeast"/>
        </w:trPr>
        <w:tc>
          <w:tcPr>
            <w:tcW w:w="864" w:type="dxa"/>
          </w:tcPr>
          <w:p>
            <w:pPr>
              <w:pStyle w:val="TableParagraph"/>
              <w:spacing w:before="61"/>
              <w:ind w:right="96"/>
              <w:jc w:val="right"/>
              <w:rPr>
                <w:sz w:val="24"/>
              </w:rPr>
            </w:pPr>
            <w:r>
              <w:rPr>
                <w:sz w:val="24"/>
              </w:rPr>
              <w:t>22</w:t>
            </w:r>
          </w:p>
        </w:tc>
        <w:tc>
          <w:tcPr>
            <w:tcW w:w="5475" w:type="dxa"/>
          </w:tcPr>
          <w:p>
            <w:pPr>
              <w:pStyle w:val="TableParagraph"/>
              <w:spacing w:before="61"/>
              <w:ind w:left="136"/>
              <w:rPr>
                <w:sz w:val="24"/>
              </w:rPr>
            </w:pPr>
            <w:r>
              <w:rPr>
                <w:sz w:val="24"/>
              </w:rPr>
              <w:t>Gestão de serviço extraordinário</w:t>
            </w:r>
          </w:p>
        </w:tc>
        <w:tc>
          <w:tcPr>
            <w:tcW w:w="2016" w:type="dxa"/>
          </w:tcPr>
          <w:p>
            <w:pPr>
              <w:pStyle w:val="TableParagraph"/>
              <w:spacing w:before="61"/>
              <w:ind w:left="561" w:right="755"/>
              <w:jc w:val="center"/>
              <w:rPr>
                <w:sz w:val="24"/>
              </w:rPr>
            </w:pPr>
            <w:r>
              <w:rPr>
                <w:sz w:val="24"/>
              </w:rPr>
              <w:t>SGP</w:t>
            </w:r>
          </w:p>
        </w:tc>
        <w:tc>
          <w:tcPr>
            <w:tcW w:w="1586" w:type="dxa"/>
          </w:tcPr>
          <w:p>
            <w:pPr>
              <w:pStyle w:val="TableParagraph"/>
              <w:spacing w:before="61"/>
              <w:ind w:left="257" w:right="251"/>
              <w:jc w:val="center"/>
              <w:rPr>
                <w:sz w:val="24"/>
              </w:rPr>
            </w:pPr>
            <w:r>
              <w:rPr>
                <w:sz w:val="24"/>
              </w:rPr>
              <w:t>COPES</w:t>
            </w:r>
          </w:p>
        </w:tc>
        <w:tc>
          <w:tcPr>
            <w:tcW w:w="1577" w:type="dxa"/>
          </w:tcPr>
          <w:p>
            <w:pPr>
              <w:pStyle w:val="TableParagraph"/>
              <w:spacing w:before="61"/>
              <w:ind w:left="86" w:right="79"/>
              <w:jc w:val="center"/>
              <w:rPr>
                <w:sz w:val="24"/>
              </w:rPr>
            </w:pPr>
            <w:r>
              <w:rPr>
                <w:sz w:val="24"/>
              </w:rPr>
              <w:t>SEPATI</w:t>
            </w:r>
          </w:p>
        </w:tc>
        <w:tc>
          <w:tcPr>
            <w:tcW w:w="2191" w:type="dxa"/>
          </w:tcPr>
          <w:p>
            <w:pPr>
              <w:pStyle w:val="TableParagraph"/>
              <w:spacing w:before="61"/>
              <w:ind w:right="97"/>
              <w:jc w:val="right"/>
              <w:rPr>
                <w:sz w:val="24"/>
              </w:rPr>
            </w:pPr>
            <w:r>
              <w:rPr>
                <w:sz w:val="24"/>
              </w:rPr>
              <w:t>12,00</w:t>
            </w:r>
          </w:p>
        </w:tc>
      </w:tr>
      <w:tr>
        <w:trPr>
          <w:trHeight w:val="398" w:hRule="atLeast"/>
        </w:trPr>
        <w:tc>
          <w:tcPr>
            <w:tcW w:w="864" w:type="dxa"/>
          </w:tcPr>
          <w:p>
            <w:pPr>
              <w:pStyle w:val="TableParagraph"/>
              <w:ind w:right="96"/>
              <w:jc w:val="right"/>
              <w:rPr>
                <w:sz w:val="24"/>
              </w:rPr>
            </w:pPr>
            <w:r>
              <w:rPr>
                <w:sz w:val="24"/>
              </w:rPr>
              <w:t>23</w:t>
            </w:r>
          </w:p>
        </w:tc>
        <w:tc>
          <w:tcPr>
            <w:tcW w:w="5475" w:type="dxa"/>
          </w:tcPr>
          <w:p>
            <w:pPr>
              <w:pStyle w:val="TableParagraph"/>
              <w:ind w:left="136"/>
              <w:rPr>
                <w:sz w:val="24"/>
              </w:rPr>
            </w:pPr>
            <w:r>
              <w:rPr>
                <w:sz w:val="24"/>
              </w:rPr>
              <w:t>Gestão do conhecimento.</w:t>
            </w:r>
          </w:p>
        </w:tc>
        <w:tc>
          <w:tcPr>
            <w:tcW w:w="2016" w:type="dxa"/>
          </w:tcPr>
          <w:p>
            <w:pPr>
              <w:pStyle w:val="TableParagraph"/>
              <w:ind w:left="580" w:right="755"/>
              <w:jc w:val="center"/>
              <w:rPr>
                <w:sz w:val="24"/>
              </w:rPr>
            </w:pPr>
            <w:r>
              <w:rPr>
                <w:sz w:val="24"/>
              </w:rPr>
              <w:t>SGP</w:t>
            </w:r>
          </w:p>
        </w:tc>
        <w:tc>
          <w:tcPr>
            <w:tcW w:w="1586" w:type="dxa"/>
          </w:tcPr>
          <w:p>
            <w:pPr>
              <w:pStyle w:val="TableParagraph"/>
              <w:ind w:left="257" w:right="251"/>
              <w:jc w:val="center"/>
              <w:rPr>
                <w:sz w:val="24"/>
              </w:rPr>
            </w:pPr>
            <w:r>
              <w:rPr>
                <w:sz w:val="24"/>
              </w:rPr>
              <w:t>COEDE</w:t>
            </w:r>
          </w:p>
        </w:tc>
        <w:tc>
          <w:tcPr>
            <w:tcW w:w="1577" w:type="dxa"/>
          </w:tcPr>
          <w:p>
            <w:pPr>
              <w:pStyle w:val="TableParagraph"/>
              <w:ind w:left="84" w:right="80"/>
              <w:jc w:val="center"/>
              <w:rPr>
                <w:sz w:val="24"/>
              </w:rPr>
            </w:pPr>
            <w:r>
              <w:rPr>
                <w:sz w:val="24"/>
              </w:rPr>
              <w:t>EFAS</w:t>
            </w:r>
          </w:p>
        </w:tc>
        <w:tc>
          <w:tcPr>
            <w:tcW w:w="2191" w:type="dxa"/>
          </w:tcPr>
          <w:p>
            <w:pPr>
              <w:pStyle w:val="TableParagraph"/>
              <w:ind w:right="97"/>
              <w:jc w:val="right"/>
              <w:rPr>
                <w:sz w:val="24"/>
              </w:rPr>
            </w:pPr>
            <w:r>
              <w:rPr>
                <w:sz w:val="24"/>
              </w:rPr>
              <w:t>12,00</w:t>
            </w:r>
          </w:p>
        </w:tc>
      </w:tr>
      <w:tr>
        <w:trPr>
          <w:trHeight w:val="396" w:hRule="atLeast"/>
        </w:trPr>
        <w:tc>
          <w:tcPr>
            <w:tcW w:w="864" w:type="dxa"/>
          </w:tcPr>
          <w:p>
            <w:pPr>
              <w:pStyle w:val="TableParagraph"/>
              <w:ind w:right="96"/>
              <w:jc w:val="right"/>
              <w:rPr>
                <w:sz w:val="24"/>
              </w:rPr>
            </w:pPr>
            <w:r>
              <w:rPr>
                <w:sz w:val="24"/>
              </w:rPr>
              <w:t>24</w:t>
            </w:r>
          </w:p>
        </w:tc>
        <w:tc>
          <w:tcPr>
            <w:tcW w:w="5475" w:type="dxa"/>
          </w:tcPr>
          <w:p>
            <w:pPr>
              <w:pStyle w:val="TableParagraph"/>
              <w:ind w:left="136"/>
              <w:rPr>
                <w:sz w:val="24"/>
              </w:rPr>
            </w:pPr>
            <w:r>
              <w:rPr>
                <w:sz w:val="24"/>
              </w:rPr>
              <w:t>Gestão previdenciária.</w:t>
            </w:r>
          </w:p>
        </w:tc>
        <w:tc>
          <w:tcPr>
            <w:tcW w:w="2016" w:type="dxa"/>
          </w:tcPr>
          <w:p>
            <w:pPr>
              <w:pStyle w:val="TableParagraph"/>
              <w:ind w:left="561" w:right="755"/>
              <w:jc w:val="center"/>
              <w:rPr>
                <w:sz w:val="24"/>
              </w:rPr>
            </w:pPr>
            <w:r>
              <w:rPr>
                <w:sz w:val="24"/>
              </w:rPr>
              <w:t>SGP</w:t>
            </w:r>
          </w:p>
        </w:tc>
        <w:tc>
          <w:tcPr>
            <w:tcW w:w="1586" w:type="dxa"/>
          </w:tcPr>
          <w:p>
            <w:pPr>
              <w:pStyle w:val="TableParagraph"/>
              <w:ind w:left="257" w:right="251"/>
              <w:jc w:val="center"/>
              <w:rPr>
                <w:sz w:val="24"/>
              </w:rPr>
            </w:pPr>
            <w:r>
              <w:rPr>
                <w:sz w:val="24"/>
              </w:rPr>
              <w:t>COPES</w:t>
            </w:r>
          </w:p>
        </w:tc>
        <w:tc>
          <w:tcPr>
            <w:tcW w:w="1577" w:type="dxa"/>
          </w:tcPr>
          <w:p>
            <w:pPr>
              <w:pStyle w:val="TableParagraph"/>
              <w:ind w:left="86" w:right="79"/>
              <w:jc w:val="center"/>
              <w:rPr>
                <w:sz w:val="24"/>
              </w:rPr>
            </w:pPr>
            <w:r>
              <w:rPr>
                <w:sz w:val="24"/>
              </w:rPr>
              <w:t>SEPATI</w:t>
            </w:r>
          </w:p>
        </w:tc>
        <w:tc>
          <w:tcPr>
            <w:tcW w:w="2191" w:type="dxa"/>
          </w:tcPr>
          <w:p>
            <w:pPr>
              <w:pStyle w:val="TableParagraph"/>
              <w:ind w:right="97"/>
              <w:jc w:val="right"/>
              <w:rPr>
                <w:sz w:val="24"/>
              </w:rPr>
            </w:pPr>
            <w:r>
              <w:rPr>
                <w:sz w:val="24"/>
              </w:rPr>
              <w:t>12,00</w:t>
            </w:r>
          </w:p>
        </w:tc>
      </w:tr>
      <w:tr>
        <w:trPr>
          <w:trHeight w:val="397" w:hRule="atLeast"/>
        </w:trPr>
        <w:tc>
          <w:tcPr>
            <w:tcW w:w="864" w:type="dxa"/>
          </w:tcPr>
          <w:p>
            <w:pPr>
              <w:pStyle w:val="TableParagraph"/>
              <w:spacing w:before="61"/>
              <w:ind w:right="96"/>
              <w:jc w:val="right"/>
              <w:rPr>
                <w:sz w:val="24"/>
              </w:rPr>
            </w:pPr>
            <w:r>
              <w:rPr>
                <w:sz w:val="24"/>
              </w:rPr>
              <w:t>25</w:t>
            </w:r>
          </w:p>
        </w:tc>
        <w:tc>
          <w:tcPr>
            <w:tcW w:w="5475" w:type="dxa"/>
          </w:tcPr>
          <w:p>
            <w:pPr>
              <w:pStyle w:val="TableParagraph"/>
              <w:spacing w:before="61"/>
              <w:ind w:left="136"/>
              <w:rPr>
                <w:sz w:val="24"/>
              </w:rPr>
            </w:pPr>
            <w:r>
              <w:rPr>
                <w:sz w:val="24"/>
              </w:rPr>
              <w:t>Licitações e contratações de serviços de TIC.</w:t>
            </w:r>
          </w:p>
        </w:tc>
        <w:tc>
          <w:tcPr>
            <w:tcW w:w="2016" w:type="dxa"/>
          </w:tcPr>
          <w:p>
            <w:pPr>
              <w:pStyle w:val="TableParagraph"/>
              <w:spacing w:before="61"/>
              <w:ind w:left="514" w:right="755"/>
              <w:jc w:val="center"/>
              <w:rPr>
                <w:sz w:val="24"/>
              </w:rPr>
            </w:pPr>
            <w:r>
              <w:rPr>
                <w:sz w:val="24"/>
              </w:rPr>
              <w:t>STI</w:t>
            </w:r>
          </w:p>
        </w:tc>
        <w:tc>
          <w:tcPr>
            <w:tcW w:w="1586" w:type="dxa"/>
          </w:tcPr>
          <w:p>
            <w:pPr>
              <w:pStyle w:val="TableParagraph"/>
              <w:spacing w:before="61"/>
              <w:ind w:left="258" w:right="249"/>
              <w:jc w:val="center"/>
              <w:rPr>
                <w:sz w:val="24"/>
              </w:rPr>
            </w:pPr>
            <w:r>
              <w:rPr>
                <w:sz w:val="24"/>
              </w:rPr>
              <w:t>COSUP</w:t>
            </w:r>
          </w:p>
        </w:tc>
        <w:tc>
          <w:tcPr>
            <w:tcW w:w="1577" w:type="dxa"/>
          </w:tcPr>
          <w:p>
            <w:pPr>
              <w:pStyle w:val="TableParagraph"/>
              <w:spacing w:before="61"/>
              <w:ind w:left="86" w:right="79"/>
              <w:jc w:val="center"/>
              <w:rPr>
                <w:sz w:val="24"/>
              </w:rPr>
            </w:pPr>
            <w:r>
              <w:rPr>
                <w:sz w:val="24"/>
              </w:rPr>
              <w:t>SESAU</w:t>
            </w:r>
          </w:p>
        </w:tc>
        <w:tc>
          <w:tcPr>
            <w:tcW w:w="2191" w:type="dxa"/>
          </w:tcPr>
          <w:p>
            <w:pPr>
              <w:pStyle w:val="TableParagraph"/>
              <w:spacing w:before="61"/>
              <w:ind w:right="97"/>
              <w:jc w:val="right"/>
              <w:rPr>
                <w:sz w:val="24"/>
              </w:rPr>
            </w:pPr>
            <w:r>
              <w:rPr>
                <w:sz w:val="24"/>
              </w:rPr>
              <w:t>12,00</w:t>
            </w:r>
          </w:p>
        </w:tc>
      </w:tr>
      <w:tr>
        <w:trPr>
          <w:trHeight w:val="395" w:hRule="atLeast"/>
        </w:trPr>
        <w:tc>
          <w:tcPr>
            <w:tcW w:w="864" w:type="dxa"/>
          </w:tcPr>
          <w:p>
            <w:pPr>
              <w:pStyle w:val="TableParagraph"/>
              <w:ind w:right="96"/>
              <w:jc w:val="right"/>
              <w:rPr>
                <w:sz w:val="24"/>
              </w:rPr>
            </w:pPr>
            <w:r>
              <w:rPr>
                <w:sz w:val="24"/>
              </w:rPr>
              <w:t>26</w:t>
            </w:r>
          </w:p>
        </w:tc>
        <w:tc>
          <w:tcPr>
            <w:tcW w:w="5475" w:type="dxa"/>
          </w:tcPr>
          <w:p>
            <w:pPr>
              <w:pStyle w:val="TableParagraph"/>
              <w:ind w:left="136"/>
              <w:rPr>
                <w:sz w:val="24"/>
              </w:rPr>
            </w:pPr>
            <w:r>
              <w:rPr>
                <w:sz w:val="24"/>
              </w:rPr>
              <w:t>Sistema de Governança e Gestão organizacional.</w:t>
            </w:r>
          </w:p>
        </w:tc>
        <w:tc>
          <w:tcPr>
            <w:tcW w:w="2016" w:type="dxa"/>
          </w:tcPr>
          <w:p>
            <w:pPr>
              <w:pStyle w:val="TableParagraph"/>
              <w:spacing w:before="35"/>
              <w:ind w:left="658" w:right="621"/>
              <w:jc w:val="center"/>
              <w:rPr>
                <w:sz w:val="24"/>
              </w:rPr>
            </w:pPr>
            <w:r>
              <w:rPr>
                <w:sz w:val="24"/>
              </w:rPr>
              <w:t>SPL</w:t>
            </w:r>
          </w:p>
        </w:tc>
        <w:tc>
          <w:tcPr>
            <w:tcW w:w="1586" w:type="dxa"/>
          </w:tcPr>
          <w:p>
            <w:pPr>
              <w:pStyle w:val="TableParagraph"/>
              <w:ind w:left="258" w:right="250"/>
              <w:jc w:val="center"/>
              <w:rPr>
                <w:sz w:val="24"/>
              </w:rPr>
            </w:pPr>
            <w:r>
              <w:rPr>
                <w:sz w:val="24"/>
              </w:rPr>
              <w:t>COPEG</w:t>
            </w:r>
          </w:p>
        </w:tc>
        <w:tc>
          <w:tcPr>
            <w:tcW w:w="1577" w:type="dxa"/>
          </w:tcPr>
          <w:p>
            <w:pPr>
              <w:pStyle w:val="TableParagraph"/>
              <w:ind w:left="86" w:right="79"/>
              <w:jc w:val="center"/>
              <w:rPr>
                <w:sz w:val="24"/>
              </w:rPr>
            </w:pPr>
            <w:r>
              <w:rPr>
                <w:sz w:val="24"/>
              </w:rPr>
              <w:t>SEGEPRO</w:t>
            </w:r>
          </w:p>
        </w:tc>
        <w:tc>
          <w:tcPr>
            <w:tcW w:w="2191" w:type="dxa"/>
          </w:tcPr>
          <w:p>
            <w:pPr>
              <w:pStyle w:val="TableParagraph"/>
              <w:ind w:right="97"/>
              <w:jc w:val="right"/>
              <w:rPr>
                <w:sz w:val="24"/>
              </w:rPr>
            </w:pPr>
            <w:r>
              <w:rPr>
                <w:sz w:val="24"/>
              </w:rPr>
              <w:t>12,00</w:t>
            </w:r>
          </w:p>
        </w:tc>
      </w:tr>
      <w:tr>
        <w:trPr>
          <w:trHeight w:val="398" w:hRule="atLeast"/>
        </w:trPr>
        <w:tc>
          <w:tcPr>
            <w:tcW w:w="864" w:type="dxa"/>
          </w:tcPr>
          <w:p>
            <w:pPr>
              <w:pStyle w:val="TableParagraph"/>
              <w:spacing w:before="61"/>
              <w:ind w:right="96"/>
              <w:jc w:val="right"/>
              <w:rPr>
                <w:sz w:val="24"/>
              </w:rPr>
            </w:pPr>
            <w:r>
              <w:rPr>
                <w:sz w:val="24"/>
              </w:rPr>
              <w:t>27</w:t>
            </w:r>
          </w:p>
        </w:tc>
        <w:tc>
          <w:tcPr>
            <w:tcW w:w="5475" w:type="dxa"/>
          </w:tcPr>
          <w:p>
            <w:pPr>
              <w:pStyle w:val="TableParagraph"/>
              <w:spacing w:before="61"/>
              <w:ind w:left="136"/>
              <w:rPr>
                <w:sz w:val="24"/>
              </w:rPr>
            </w:pPr>
            <w:r>
              <w:rPr>
                <w:sz w:val="24"/>
              </w:rPr>
              <w:t>Acordos, convênios e demais ajustes.</w:t>
            </w:r>
          </w:p>
        </w:tc>
        <w:tc>
          <w:tcPr>
            <w:tcW w:w="2016" w:type="dxa"/>
          </w:tcPr>
          <w:p>
            <w:pPr>
              <w:pStyle w:val="TableParagraph"/>
              <w:spacing w:before="61"/>
              <w:ind w:left="615" w:right="755"/>
              <w:jc w:val="center"/>
              <w:rPr>
                <w:sz w:val="24"/>
              </w:rPr>
            </w:pPr>
            <w:r>
              <w:rPr>
                <w:sz w:val="24"/>
              </w:rPr>
              <w:t>SGA</w:t>
            </w:r>
          </w:p>
        </w:tc>
        <w:tc>
          <w:tcPr>
            <w:tcW w:w="1586" w:type="dxa"/>
          </w:tcPr>
          <w:p>
            <w:pPr>
              <w:pStyle w:val="TableParagraph"/>
              <w:spacing w:before="61"/>
              <w:ind w:left="258" w:right="251"/>
              <w:jc w:val="center"/>
              <w:rPr>
                <w:sz w:val="24"/>
              </w:rPr>
            </w:pPr>
            <w:r>
              <w:rPr>
                <w:sz w:val="24"/>
              </w:rPr>
              <w:t>COMAP</w:t>
            </w:r>
          </w:p>
        </w:tc>
        <w:tc>
          <w:tcPr>
            <w:tcW w:w="1577" w:type="dxa"/>
          </w:tcPr>
          <w:p>
            <w:pPr>
              <w:pStyle w:val="TableParagraph"/>
              <w:spacing w:before="61"/>
              <w:ind w:left="86" w:right="79"/>
              <w:jc w:val="center"/>
              <w:rPr>
                <w:sz w:val="24"/>
              </w:rPr>
            </w:pPr>
            <w:r>
              <w:rPr>
                <w:sz w:val="24"/>
              </w:rPr>
              <w:t>SECONT</w:t>
            </w:r>
          </w:p>
        </w:tc>
        <w:tc>
          <w:tcPr>
            <w:tcW w:w="2191" w:type="dxa"/>
          </w:tcPr>
          <w:p>
            <w:pPr>
              <w:pStyle w:val="TableParagraph"/>
              <w:spacing w:before="61"/>
              <w:ind w:right="97"/>
              <w:jc w:val="right"/>
              <w:rPr>
                <w:sz w:val="24"/>
              </w:rPr>
            </w:pPr>
            <w:r>
              <w:rPr>
                <w:sz w:val="24"/>
              </w:rPr>
              <w:t>11,00</w:t>
            </w:r>
          </w:p>
        </w:tc>
      </w:tr>
      <w:tr>
        <w:trPr>
          <w:trHeight w:val="395" w:hRule="atLeast"/>
        </w:trPr>
        <w:tc>
          <w:tcPr>
            <w:tcW w:w="864" w:type="dxa"/>
          </w:tcPr>
          <w:p>
            <w:pPr>
              <w:pStyle w:val="TableParagraph"/>
              <w:ind w:right="96"/>
              <w:jc w:val="right"/>
              <w:rPr>
                <w:sz w:val="24"/>
              </w:rPr>
            </w:pPr>
            <w:r>
              <w:rPr>
                <w:sz w:val="24"/>
              </w:rPr>
              <w:t>28</w:t>
            </w:r>
          </w:p>
        </w:tc>
        <w:tc>
          <w:tcPr>
            <w:tcW w:w="5475" w:type="dxa"/>
          </w:tcPr>
          <w:p>
            <w:pPr>
              <w:pStyle w:val="TableParagraph"/>
              <w:ind w:left="136"/>
              <w:rPr>
                <w:sz w:val="24"/>
              </w:rPr>
            </w:pPr>
            <w:r>
              <w:rPr>
                <w:sz w:val="24"/>
              </w:rPr>
              <w:t>Gestão de concessões.</w:t>
            </w:r>
          </w:p>
        </w:tc>
        <w:tc>
          <w:tcPr>
            <w:tcW w:w="2016" w:type="dxa"/>
          </w:tcPr>
          <w:p>
            <w:pPr>
              <w:pStyle w:val="TableParagraph"/>
              <w:ind w:left="585" w:right="755"/>
              <w:jc w:val="center"/>
              <w:rPr>
                <w:sz w:val="24"/>
              </w:rPr>
            </w:pPr>
            <w:r>
              <w:rPr>
                <w:sz w:val="24"/>
              </w:rPr>
              <w:t>SGP</w:t>
            </w:r>
          </w:p>
        </w:tc>
        <w:tc>
          <w:tcPr>
            <w:tcW w:w="1586" w:type="dxa"/>
          </w:tcPr>
          <w:p>
            <w:pPr>
              <w:pStyle w:val="TableParagraph"/>
              <w:ind w:left="258" w:right="251"/>
              <w:jc w:val="center"/>
              <w:rPr>
                <w:sz w:val="24"/>
              </w:rPr>
            </w:pPr>
            <w:r>
              <w:rPr>
                <w:sz w:val="24"/>
              </w:rPr>
              <w:t>COTEC</w:t>
            </w:r>
          </w:p>
        </w:tc>
        <w:tc>
          <w:tcPr>
            <w:tcW w:w="1577" w:type="dxa"/>
          </w:tcPr>
          <w:p>
            <w:pPr>
              <w:pStyle w:val="TableParagraph"/>
              <w:ind w:left="84" w:right="80"/>
              <w:jc w:val="center"/>
              <w:rPr>
                <w:sz w:val="24"/>
              </w:rPr>
            </w:pPr>
            <w:r>
              <w:rPr>
                <w:sz w:val="24"/>
              </w:rPr>
              <w:t>SEDIR</w:t>
            </w:r>
          </w:p>
        </w:tc>
        <w:tc>
          <w:tcPr>
            <w:tcW w:w="2191" w:type="dxa"/>
          </w:tcPr>
          <w:p>
            <w:pPr>
              <w:pStyle w:val="TableParagraph"/>
              <w:ind w:right="97"/>
              <w:jc w:val="right"/>
              <w:rPr>
                <w:sz w:val="24"/>
              </w:rPr>
            </w:pPr>
            <w:r>
              <w:rPr>
                <w:sz w:val="24"/>
              </w:rPr>
              <w:t>11,00</w:t>
            </w:r>
          </w:p>
        </w:tc>
      </w:tr>
      <w:tr>
        <w:trPr>
          <w:trHeight w:val="397" w:hRule="atLeast"/>
        </w:trPr>
        <w:tc>
          <w:tcPr>
            <w:tcW w:w="864" w:type="dxa"/>
          </w:tcPr>
          <w:p>
            <w:pPr>
              <w:pStyle w:val="TableParagraph"/>
              <w:spacing w:before="61"/>
              <w:ind w:right="96"/>
              <w:jc w:val="right"/>
              <w:rPr>
                <w:sz w:val="24"/>
              </w:rPr>
            </w:pPr>
            <w:r>
              <w:rPr>
                <w:sz w:val="24"/>
              </w:rPr>
              <w:t>29</w:t>
            </w:r>
          </w:p>
        </w:tc>
        <w:tc>
          <w:tcPr>
            <w:tcW w:w="5475" w:type="dxa"/>
          </w:tcPr>
          <w:p>
            <w:pPr>
              <w:pStyle w:val="TableParagraph"/>
              <w:spacing w:before="61"/>
              <w:ind w:left="136"/>
              <w:rPr>
                <w:sz w:val="24"/>
              </w:rPr>
            </w:pPr>
            <w:r>
              <w:rPr>
                <w:sz w:val="24"/>
              </w:rPr>
              <w:t>Gestão de qualidade de vida no trabalho.</w:t>
            </w:r>
          </w:p>
        </w:tc>
        <w:tc>
          <w:tcPr>
            <w:tcW w:w="2016" w:type="dxa"/>
          </w:tcPr>
          <w:p>
            <w:pPr>
              <w:pStyle w:val="TableParagraph"/>
              <w:spacing w:before="61"/>
              <w:ind w:left="580" w:right="755"/>
              <w:jc w:val="center"/>
              <w:rPr>
                <w:sz w:val="24"/>
              </w:rPr>
            </w:pPr>
            <w:r>
              <w:rPr>
                <w:sz w:val="24"/>
              </w:rPr>
              <w:t>SGP</w:t>
            </w:r>
          </w:p>
        </w:tc>
        <w:tc>
          <w:tcPr>
            <w:tcW w:w="1586" w:type="dxa"/>
          </w:tcPr>
          <w:p>
            <w:pPr>
              <w:pStyle w:val="TableParagraph"/>
              <w:spacing w:before="61"/>
              <w:ind w:left="257" w:right="251"/>
              <w:jc w:val="center"/>
              <w:rPr>
                <w:sz w:val="24"/>
              </w:rPr>
            </w:pPr>
            <w:r>
              <w:rPr>
                <w:sz w:val="24"/>
              </w:rPr>
              <w:t>COEDE</w:t>
            </w:r>
          </w:p>
        </w:tc>
        <w:tc>
          <w:tcPr>
            <w:tcW w:w="1577" w:type="dxa"/>
          </w:tcPr>
          <w:p>
            <w:pPr>
              <w:pStyle w:val="TableParagraph"/>
              <w:spacing w:before="61"/>
              <w:ind w:left="86" w:right="78"/>
              <w:jc w:val="center"/>
              <w:rPr>
                <w:sz w:val="24"/>
              </w:rPr>
            </w:pPr>
            <w:r>
              <w:rPr>
                <w:sz w:val="24"/>
              </w:rPr>
              <w:t>SEDES</w:t>
            </w:r>
          </w:p>
        </w:tc>
        <w:tc>
          <w:tcPr>
            <w:tcW w:w="2191" w:type="dxa"/>
          </w:tcPr>
          <w:p>
            <w:pPr>
              <w:pStyle w:val="TableParagraph"/>
              <w:spacing w:before="61"/>
              <w:ind w:right="97"/>
              <w:jc w:val="right"/>
              <w:rPr>
                <w:sz w:val="24"/>
              </w:rPr>
            </w:pPr>
            <w:r>
              <w:rPr>
                <w:sz w:val="24"/>
              </w:rPr>
              <w:t>11,00</w:t>
            </w:r>
          </w:p>
        </w:tc>
      </w:tr>
      <w:tr>
        <w:trPr>
          <w:trHeight w:val="398" w:hRule="atLeast"/>
        </w:trPr>
        <w:tc>
          <w:tcPr>
            <w:tcW w:w="864" w:type="dxa"/>
          </w:tcPr>
          <w:p>
            <w:pPr>
              <w:pStyle w:val="TableParagraph"/>
              <w:ind w:right="96"/>
              <w:jc w:val="right"/>
              <w:rPr>
                <w:sz w:val="24"/>
              </w:rPr>
            </w:pPr>
            <w:r>
              <w:rPr>
                <w:sz w:val="24"/>
              </w:rPr>
              <w:t>30</w:t>
            </w:r>
          </w:p>
        </w:tc>
        <w:tc>
          <w:tcPr>
            <w:tcW w:w="5475" w:type="dxa"/>
          </w:tcPr>
          <w:p>
            <w:pPr>
              <w:pStyle w:val="TableParagraph"/>
              <w:ind w:left="136"/>
              <w:rPr>
                <w:sz w:val="24"/>
              </w:rPr>
            </w:pPr>
            <w:r>
              <w:rPr>
                <w:sz w:val="24"/>
              </w:rPr>
              <w:t>Gestão do pagamento de gratificações natalinas</w:t>
            </w:r>
          </w:p>
        </w:tc>
        <w:tc>
          <w:tcPr>
            <w:tcW w:w="2016" w:type="dxa"/>
          </w:tcPr>
          <w:p>
            <w:pPr>
              <w:pStyle w:val="TableParagraph"/>
              <w:ind w:left="561" w:right="755"/>
              <w:jc w:val="center"/>
              <w:rPr>
                <w:sz w:val="24"/>
              </w:rPr>
            </w:pPr>
            <w:r>
              <w:rPr>
                <w:sz w:val="24"/>
              </w:rPr>
              <w:t>SGP</w:t>
            </w:r>
          </w:p>
        </w:tc>
        <w:tc>
          <w:tcPr>
            <w:tcW w:w="1586" w:type="dxa"/>
          </w:tcPr>
          <w:p>
            <w:pPr>
              <w:pStyle w:val="TableParagraph"/>
              <w:ind w:left="257" w:right="251"/>
              <w:jc w:val="center"/>
              <w:rPr>
                <w:sz w:val="24"/>
              </w:rPr>
            </w:pPr>
            <w:r>
              <w:rPr>
                <w:sz w:val="24"/>
              </w:rPr>
              <w:t>COPES</w:t>
            </w:r>
          </w:p>
        </w:tc>
        <w:tc>
          <w:tcPr>
            <w:tcW w:w="1577" w:type="dxa"/>
          </w:tcPr>
          <w:p>
            <w:pPr>
              <w:pStyle w:val="TableParagraph"/>
              <w:ind w:left="86" w:right="79"/>
              <w:jc w:val="center"/>
              <w:rPr>
                <w:sz w:val="24"/>
              </w:rPr>
            </w:pPr>
            <w:r>
              <w:rPr>
                <w:sz w:val="24"/>
              </w:rPr>
              <w:t>SEPATI</w:t>
            </w:r>
          </w:p>
        </w:tc>
        <w:tc>
          <w:tcPr>
            <w:tcW w:w="2191" w:type="dxa"/>
          </w:tcPr>
          <w:p>
            <w:pPr>
              <w:pStyle w:val="TableParagraph"/>
              <w:ind w:right="97"/>
              <w:jc w:val="right"/>
              <w:rPr>
                <w:sz w:val="24"/>
              </w:rPr>
            </w:pPr>
            <w:r>
              <w:rPr>
                <w:sz w:val="24"/>
              </w:rPr>
              <w:t>11,00</w:t>
            </w:r>
          </w:p>
        </w:tc>
      </w:tr>
      <w:tr>
        <w:trPr>
          <w:trHeight w:val="395" w:hRule="atLeast"/>
        </w:trPr>
        <w:tc>
          <w:tcPr>
            <w:tcW w:w="864" w:type="dxa"/>
          </w:tcPr>
          <w:p>
            <w:pPr>
              <w:pStyle w:val="TableParagraph"/>
              <w:ind w:right="96"/>
              <w:jc w:val="right"/>
              <w:rPr>
                <w:sz w:val="24"/>
              </w:rPr>
            </w:pPr>
            <w:r>
              <w:rPr>
                <w:sz w:val="24"/>
              </w:rPr>
              <w:t>31</w:t>
            </w:r>
          </w:p>
        </w:tc>
        <w:tc>
          <w:tcPr>
            <w:tcW w:w="5475" w:type="dxa"/>
          </w:tcPr>
          <w:p>
            <w:pPr>
              <w:pStyle w:val="TableParagraph"/>
              <w:ind w:left="136"/>
              <w:rPr>
                <w:sz w:val="24"/>
              </w:rPr>
            </w:pPr>
            <w:r>
              <w:rPr>
                <w:sz w:val="24"/>
              </w:rPr>
              <w:t>Licitações e contratações de transportes</w:t>
            </w:r>
          </w:p>
        </w:tc>
        <w:tc>
          <w:tcPr>
            <w:tcW w:w="2016" w:type="dxa"/>
          </w:tcPr>
          <w:p>
            <w:pPr>
              <w:pStyle w:val="TableParagraph"/>
              <w:spacing w:before="32"/>
              <w:ind w:left="653"/>
              <w:rPr>
                <w:sz w:val="24"/>
              </w:rPr>
            </w:pPr>
            <w:r>
              <w:rPr>
                <w:sz w:val="24"/>
              </w:rPr>
              <w:t>ASSET</w:t>
            </w:r>
          </w:p>
        </w:tc>
        <w:tc>
          <w:tcPr>
            <w:tcW w:w="1586" w:type="dxa"/>
          </w:tcPr>
          <w:p>
            <w:pPr>
              <w:pStyle w:val="TableParagraph"/>
              <w:ind w:left="258" w:right="250"/>
              <w:jc w:val="center"/>
              <w:rPr>
                <w:sz w:val="24"/>
              </w:rPr>
            </w:pPr>
            <w:r>
              <w:rPr>
                <w:sz w:val="24"/>
              </w:rPr>
              <w:t>ASSET</w:t>
            </w:r>
          </w:p>
        </w:tc>
        <w:tc>
          <w:tcPr>
            <w:tcW w:w="1577" w:type="dxa"/>
          </w:tcPr>
          <w:p>
            <w:pPr>
              <w:pStyle w:val="TableParagraph"/>
              <w:ind w:left="86" w:right="76"/>
              <w:jc w:val="center"/>
              <w:rPr>
                <w:sz w:val="24"/>
              </w:rPr>
            </w:pPr>
            <w:r>
              <w:rPr>
                <w:sz w:val="24"/>
              </w:rPr>
              <w:t>ATRAN</w:t>
            </w:r>
          </w:p>
        </w:tc>
        <w:tc>
          <w:tcPr>
            <w:tcW w:w="2191" w:type="dxa"/>
          </w:tcPr>
          <w:p>
            <w:pPr>
              <w:pStyle w:val="TableParagraph"/>
              <w:ind w:right="97"/>
              <w:jc w:val="right"/>
              <w:rPr>
                <w:sz w:val="24"/>
              </w:rPr>
            </w:pPr>
            <w:r>
              <w:rPr>
                <w:sz w:val="24"/>
              </w:rPr>
              <w:t>11,00</w:t>
            </w:r>
          </w:p>
        </w:tc>
      </w:tr>
      <w:tr>
        <w:trPr>
          <w:trHeight w:val="398" w:hRule="atLeast"/>
        </w:trPr>
        <w:tc>
          <w:tcPr>
            <w:tcW w:w="864" w:type="dxa"/>
          </w:tcPr>
          <w:p>
            <w:pPr>
              <w:pStyle w:val="TableParagraph"/>
              <w:spacing w:before="61"/>
              <w:ind w:right="96"/>
              <w:jc w:val="right"/>
              <w:rPr>
                <w:sz w:val="24"/>
              </w:rPr>
            </w:pPr>
            <w:r>
              <w:rPr>
                <w:sz w:val="24"/>
              </w:rPr>
              <w:t>32</w:t>
            </w:r>
          </w:p>
        </w:tc>
        <w:tc>
          <w:tcPr>
            <w:tcW w:w="5475" w:type="dxa"/>
          </w:tcPr>
          <w:p>
            <w:pPr>
              <w:pStyle w:val="TableParagraph"/>
              <w:spacing w:before="61"/>
              <w:ind w:left="136"/>
              <w:rPr>
                <w:sz w:val="24"/>
              </w:rPr>
            </w:pPr>
            <w:r>
              <w:rPr>
                <w:sz w:val="24"/>
              </w:rPr>
              <w:t>Sistema de Governança e Gestão de TIC.</w:t>
            </w:r>
          </w:p>
        </w:tc>
        <w:tc>
          <w:tcPr>
            <w:tcW w:w="2016" w:type="dxa"/>
          </w:tcPr>
          <w:p>
            <w:pPr>
              <w:pStyle w:val="TableParagraph"/>
              <w:spacing w:before="35"/>
              <w:ind w:left="658" w:right="624"/>
              <w:jc w:val="center"/>
              <w:rPr>
                <w:sz w:val="24"/>
              </w:rPr>
            </w:pPr>
            <w:r>
              <w:rPr>
                <w:sz w:val="24"/>
              </w:rPr>
              <w:t>DG</w:t>
            </w:r>
          </w:p>
        </w:tc>
        <w:tc>
          <w:tcPr>
            <w:tcW w:w="1586" w:type="dxa"/>
          </w:tcPr>
          <w:p>
            <w:pPr>
              <w:pStyle w:val="TableParagraph"/>
              <w:spacing w:before="61"/>
              <w:ind w:left="258" w:right="250"/>
              <w:jc w:val="center"/>
              <w:rPr>
                <w:sz w:val="24"/>
              </w:rPr>
            </w:pPr>
            <w:r>
              <w:rPr>
                <w:sz w:val="24"/>
              </w:rPr>
              <w:t>DG</w:t>
            </w:r>
          </w:p>
        </w:tc>
        <w:tc>
          <w:tcPr>
            <w:tcW w:w="1577" w:type="dxa"/>
          </w:tcPr>
          <w:p>
            <w:pPr>
              <w:pStyle w:val="TableParagraph"/>
              <w:spacing w:before="61"/>
              <w:ind w:left="86" w:right="76"/>
              <w:jc w:val="center"/>
              <w:rPr>
                <w:sz w:val="24"/>
              </w:rPr>
            </w:pPr>
            <w:r>
              <w:rPr>
                <w:sz w:val="24"/>
              </w:rPr>
              <w:t>STI</w:t>
            </w:r>
          </w:p>
        </w:tc>
        <w:tc>
          <w:tcPr>
            <w:tcW w:w="2191" w:type="dxa"/>
          </w:tcPr>
          <w:p>
            <w:pPr>
              <w:pStyle w:val="TableParagraph"/>
              <w:spacing w:before="61"/>
              <w:ind w:right="97"/>
              <w:jc w:val="right"/>
              <w:rPr>
                <w:sz w:val="24"/>
              </w:rPr>
            </w:pPr>
            <w:r>
              <w:rPr>
                <w:sz w:val="24"/>
              </w:rPr>
              <w:t>11,00</w:t>
            </w:r>
          </w:p>
        </w:tc>
      </w:tr>
      <w:tr>
        <w:trPr>
          <w:trHeight w:val="395" w:hRule="atLeast"/>
        </w:trPr>
        <w:tc>
          <w:tcPr>
            <w:tcW w:w="864" w:type="dxa"/>
          </w:tcPr>
          <w:p>
            <w:pPr>
              <w:pStyle w:val="TableParagraph"/>
              <w:ind w:right="96"/>
              <w:jc w:val="right"/>
              <w:rPr>
                <w:sz w:val="24"/>
              </w:rPr>
            </w:pPr>
            <w:r>
              <w:rPr>
                <w:sz w:val="24"/>
              </w:rPr>
              <w:t>33</w:t>
            </w:r>
          </w:p>
        </w:tc>
        <w:tc>
          <w:tcPr>
            <w:tcW w:w="5475" w:type="dxa"/>
          </w:tcPr>
          <w:p>
            <w:pPr>
              <w:pStyle w:val="TableParagraph"/>
              <w:ind w:left="136"/>
              <w:rPr>
                <w:sz w:val="24"/>
              </w:rPr>
            </w:pPr>
            <w:r>
              <w:rPr>
                <w:sz w:val="24"/>
              </w:rPr>
              <w:t>Gestão da Estratégia organizacional.</w:t>
            </w:r>
          </w:p>
        </w:tc>
        <w:tc>
          <w:tcPr>
            <w:tcW w:w="2016" w:type="dxa"/>
          </w:tcPr>
          <w:p>
            <w:pPr>
              <w:pStyle w:val="TableParagraph"/>
              <w:spacing w:before="35"/>
              <w:ind w:left="658" w:right="621"/>
              <w:jc w:val="center"/>
              <w:rPr>
                <w:sz w:val="24"/>
              </w:rPr>
            </w:pPr>
            <w:r>
              <w:rPr>
                <w:sz w:val="24"/>
              </w:rPr>
              <w:t>SPL</w:t>
            </w:r>
          </w:p>
        </w:tc>
        <w:tc>
          <w:tcPr>
            <w:tcW w:w="1586" w:type="dxa"/>
          </w:tcPr>
          <w:p>
            <w:pPr>
              <w:pStyle w:val="TableParagraph"/>
              <w:ind w:left="258" w:right="250"/>
              <w:jc w:val="center"/>
              <w:rPr>
                <w:sz w:val="24"/>
              </w:rPr>
            </w:pPr>
            <w:r>
              <w:rPr>
                <w:sz w:val="24"/>
              </w:rPr>
              <w:t>COPEG</w:t>
            </w:r>
          </w:p>
        </w:tc>
        <w:tc>
          <w:tcPr>
            <w:tcW w:w="1577" w:type="dxa"/>
          </w:tcPr>
          <w:p>
            <w:pPr>
              <w:pStyle w:val="TableParagraph"/>
              <w:ind w:left="86" w:right="79"/>
              <w:jc w:val="center"/>
              <w:rPr>
                <w:sz w:val="24"/>
              </w:rPr>
            </w:pPr>
            <w:r>
              <w:rPr>
                <w:sz w:val="24"/>
              </w:rPr>
              <w:t>SEPLANE</w:t>
            </w:r>
          </w:p>
        </w:tc>
        <w:tc>
          <w:tcPr>
            <w:tcW w:w="2191" w:type="dxa"/>
          </w:tcPr>
          <w:p>
            <w:pPr>
              <w:pStyle w:val="TableParagraph"/>
              <w:ind w:right="97"/>
              <w:jc w:val="right"/>
              <w:rPr>
                <w:sz w:val="24"/>
              </w:rPr>
            </w:pPr>
            <w:r>
              <w:rPr>
                <w:sz w:val="24"/>
              </w:rPr>
              <w:t>10,00</w:t>
            </w:r>
          </w:p>
        </w:tc>
      </w:tr>
      <w:tr>
        <w:trPr>
          <w:trHeight w:val="398" w:hRule="atLeast"/>
        </w:trPr>
        <w:tc>
          <w:tcPr>
            <w:tcW w:w="864" w:type="dxa"/>
          </w:tcPr>
          <w:p>
            <w:pPr>
              <w:pStyle w:val="TableParagraph"/>
              <w:spacing w:before="61"/>
              <w:ind w:right="96"/>
              <w:jc w:val="right"/>
              <w:rPr>
                <w:sz w:val="24"/>
              </w:rPr>
            </w:pPr>
            <w:r>
              <w:rPr>
                <w:sz w:val="24"/>
              </w:rPr>
              <w:t>34</w:t>
            </w:r>
          </w:p>
        </w:tc>
        <w:tc>
          <w:tcPr>
            <w:tcW w:w="5475" w:type="dxa"/>
          </w:tcPr>
          <w:p>
            <w:pPr>
              <w:pStyle w:val="TableParagraph"/>
              <w:spacing w:before="61"/>
              <w:ind w:left="136"/>
              <w:rPr>
                <w:sz w:val="24"/>
              </w:rPr>
            </w:pPr>
            <w:r>
              <w:rPr>
                <w:sz w:val="24"/>
              </w:rPr>
              <w:t>Gestão de diárias e deslocamentos.</w:t>
            </w:r>
          </w:p>
        </w:tc>
        <w:tc>
          <w:tcPr>
            <w:tcW w:w="2016" w:type="dxa"/>
          </w:tcPr>
          <w:p>
            <w:pPr>
              <w:pStyle w:val="TableParagraph"/>
              <w:spacing w:before="61"/>
              <w:ind w:left="561" w:right="755"/>
              <w:jc w:val="center"/>
              <w:rPr>
                <w:sz w:val="24"/>
              </w:rPr>
            </w:pPr>
            <w:r>
              <w:rPr>
                <w:sz w:val="24"/>
              </w:rPr>
              <w:t>SGP</w:t>
            </w:r>
          </w:p>
        </w:tc>
        <w:tc>
          <w:tcPr>
            <w:tcW w:w="1586" w:type="dxa"/>
          </w:tcPr>
          <w:p>
            <w:pPr>
              <w:pStyle w:val="TableParagraph"/>
              <w:spacing w:before="61"/>
              <w:ind w:left="257" w:right="251"/>
              <w:jc w:val="center"/>
              <w:rPr>
                <w:sz w:val="24"/>
              </w:rPr>
            </w:pPr>
            <w:r>
              <w:rPr>
                <w:sz w:val="24"/>
              </w:rPr>
              <w:t>COPES</w:t>
            </w:r>
          </w:p>
        </w:tc>
        <w:tc>
          <w:tcPr>
            <w:tcW w:w="1577" w:type="dxa"/>
          </w:tcPr>
          <w:p>
            <w:pPr>
              <w:pStyle w:val="TableParagraph"/>
              <w:spacing w:before="61"/>
              <w:ind w:left="86" w:right="79"/>
              <w:jc w:val="center"/>
              <w:rPr>
                <w:sz w:val="24"/>
              </w:rPr>
            </w:pPr>
            <w:r>
              <w:rPr>
                <w:sz w:val="24"/>
              </w:rPr>
              <w:t>SEPATI</w:t>
            </w:r>
          </w:p>
        </w:tc>
        <w:tc>
          <w:tcPr>
            <w:tcW w:w="2191" w:type="dxa"/>
          </w:tcPr>
          <w:p>
            <w:pPr>
              <w:pStyle w:val="TableParagraph"/>
              <w:spacing w:before="61"/>
              <w:ind w:right="97"/>
              <w:jc w:val="right"/>
              <w:rPr>
                <w:sz w:val="24"/>
              </w:rPr>
            </w:pPr>
            <w:r>
              <w:rPr>
                <w:sz w:val="24"/>
              </w:rPr>
              <w:t>10,00</w:t>
            </w:r>
          </w:p>
        </w:tc>
      </w:tr>
    </w:tbl>
    <w:p>
      <w:pPr>
        <w:spacing w:after="0"/>
        <w:jc w:val="right"/>
        <w:rPr>
          <w:sz w:val="24"/>
        </w:rPr>
        <w:sectPr>
          <w:pgSz w:w="16840" w:h="11910" w:orient="landscape"/>
          <w:pgMar w:top="560" w:bottom="280" w:left="820" w:right="300"/>
        </w:sectPr>
      </w:pPr>
    </w:p>
    <w:p>
      <w:pPr>
        <w:pStyle w:val="BodyText"/>
        <w:ind w:left="7379"/>
        <w:rPr>
          <w:sz w:val="20"/>
        </w:rPr>
      </w:pPr>
      <w:r>
        <w:rPr>
          <w:sz w:val="20"/>
        </w:rPr>
        <w:drawing>
          <wp:inline distT="0" distB="0" distL="0" distR="0">
            <wp:extent cx="673172" cy="589788"/>
            <wp:effectExtent l="0" t="0" r="0" b="0"/>
            <wp:docPr id="13" name="image2.jpeg"/>
            <wp:cNvGraphicFramePr>
              <a:graphicFrameLocks noChangeAspect="1"/>
            </wp:cNvGraphicFramePr>
            <a:graphic>
              <a:graphicData uri="http://schemas.openxmlformats.org/drawingml/2006/picture">
                <pic:pic>
                  <pic:nvPicPr>
                    <pic:cNvPr id="14" name="image2.jpeg"/>
                    <pic:cNvPicPr/>
                  </pic:nvPicPr>
                  <pic:blipFill>
                    <a:blip r:embed="rId6" cstate="print"/>
                    <a:stretch>
                      <a:fillRect/>
                    </a:stretch>
                  </pic:blipFill>
                  <pic:spPr>
                    <a:xfrm>
                      <a:off x="0" y="0"/>
                      <a:ext cx="673172" cy="589788"/>
                    </a:xfrm>
                    <a:prstGeom prst="rect">
                      <a:avLst/>
                    </a:prstGeom>
                  </pic:spPr>
                </pic:pic>
              </a:graphicData>
            </a:graphic>
          </wp:inline>
        </w:drawing>
      </w:r>
      <w:r>
        <w:rPr>
          <w:sz w:val="20"/>
        </w:rPr>
      </w:r>
    </w:p>
    <w:p>
      <w:pPr>
        <w:pStyle w:val="BodyText"/>
        <w:spacing w:before="3"/>
        <w:rPr>
          <w:sz w:val="19"/>
        </w:rPr>
      </w:pPr>
    </w:p>
    <w:p>
      <w:pPr>
        <w:spacing w:before="90"/>
        <w:ind w:left="4658" w:right="4892" w:firstLine="0"/>
        <w:jc w:val="center"/>
        <w:rPr>
          <w:b/>
          <w:sz w:val="24"/>
        </w:rPr>
      </w:pPr>
      <w:r>
        <w:rPr>
          <w:b/>
          <w:sz w:val="24"/>
        </w:rPr>
        <w:t>TRIBUNAL REGIONAL ELEITORAL DA BAHIA</w:t>
      </w:r>
    </w:p>
    <w:p>
      <w:pPr>
        <w:pStyle w:val="BodyText"/>
        <w:ind w:left="4658" w:right="4893"/>
        <w:jc w:val="center"/>
      </w:pPr>
      <w:r>
        <w:rPr/>
        <w:t>Coordenadoria de Auditoria Interna</w:t>
      </w:r>
    </w:p>
    <w:p>
      <w:pPr>
        <w:pStyle w:val="BodyText"/>
        <w:rPr>
          <w:sz w:val="20"/>
        </w:rPr>
      </w:pPr>
    </w:p>
    <w:p>
      <w:pPr>
        <w:pStyle w:val="BodyText"/>
        <w:spacing w:after="1"/>
        <w:rPr>
          <w:sz w:val="28"/>
        </w:rPr>
      </w:pPr>
    </w:p>
    <w:tbl>
      <w:tblPr>
        <w:tblW w:w="0" w:type="auto"/>
        <w:jc w:val="left"/>
        <w:tblInd w:w="15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64"/>
        <w:gridCol w:w="5475"/>
        <w:gridCol w:w="2016"/>
        <w:gridCol w:w="1586"/>
        <w:gridCol w:w="1577"/>
        <w:gridCol w:w="2191"/>
      </w:tblGrid>
      <w:tr>
        <w:trPr>
          <w:trHeight w:val="395" w:hRule="atLeast"/>
        </w:trPr>
        <w:tc>
          <w:tcPr>
            <w:tcW w:w="864" w:type="dxa"/>
          </w:tcPr>
          <w:p>
            <w:pPr>
              <w:pStyle w:val="TableParagraph"/>
              <w:ind w:left="191"/>
              <w:rPr>
                <w:b/>
                <w:sz w:val="24"/>
              </w:rPr>
            </w:pPr>
            <w:r>
              <w:rPr>
                <w:b/>
                <w:sz w:val="24"/>
              </w:rPr>
              <w:t>REF</w:t>
            </w:r>
          </w:p>
        </w:tc>
        <w:tc>
          <w:tcPr>
            <w:tcW w:w="5475" w:type="dxa"/>
          </w:tcPr>
          <w:p>
            <w:pPr>
              <w:pStyle w:val="TableParagraph"/>
              <w:ind w:left="1339"/>
              <w:rPr>
                <w:b/>
                <w:sz w:val="24"/>
              </w:rPr>
            </w:pPr>
            <w:r>
              <w:rPr>
                <w:b/>
                <w:sz w:val="24"/>
              </w:rPr>
              <w:t>PROCESSO AUDITÁVEL</w:t>
            </w:r>
          </w:p>
        </w:tc>
        <w:tc>
          <w:tcPr>
            <w:tcW w:w="2016" w:type="dxa"/>
          </w:tcPr>
          <w:p>
            <w:pPr>
              <w:pStyle w:val="TableParagraph"/>
              <w:ind w:left="314"/>
              <w:rPr>
                <w:b/>
                <w:sz w:val="24"/>
              </w:rPr>
            </w:pPr>
            <w:r>
              <w:rPr>
                <w:b/>
                <w:sz w:val="24"/>
              </w:rPr>
              <w:t>DIRETORIA</w:t>
            </w:r>
          </w:p>
        </w:tc>
        <w:tc>
          <w:tcPr>
            <w:tcW w:w="1586" w:type="dxa"/>
          </w:tcPr>
          <w:p>
            <w:pPr>
              <w:pStyle w:val="TableParagraph"/>
              <w:ind w:left="258" w:right="251"/>
              <w:jc w:val="center"/>
              <w:rPr>
                <w:b/>
                <w:sz w:val="24"/>
              </w:rPr>
            </w:pPr>
            <w:r>
              <w:rPr>
                <w:b/>
                <w:sz w:val="24"/>
              </w:rPr>
              <w:t>GESTOR</w:t>
            </w:r>
          </w:p>
        </w:tc>
        <w:tc>
          <w:tcPr>
            <w:tcW w:w="1577" w:type="dxa"/>
          </w:tcPr>
          <w:p>
            <w:pPr>
              <w:pStyle w:val="TableParagraph"/>
              <w:ind w:left="86" w:right="80"/>
              <w:jc w:val="center"/>
              <w:rPr>
                <w:b/>
                <w:sz w:val="24"/>
              </w:rPr>
            </w:pPr>
            <w:r>
              <w:rPr>
                <w:b/>
                <w:sz w:val="24"/>
              </w:rPr>
              <w:t>EXECUTOR</w:t>
            </w:r>
          </w:p>
        </w:tc>
        <w:tc>
          <w:tcPr>
            <w:tcW w:w="2191" w:type="dxa"/>
          </w:tcPr>
          <w:p>
            <w:pPr>
              <w:pStyle w:val="TableParagraph"/>
              <w:ind w:left="656"/>
              <w:rPr>
                <w:b/>
                <w:sz w:val="24"/>
              </w:rPr>
            </w:pPr>
            <w:r>
              <w:rPr>
                <w:b/>
                <w:sz w:val="24"/>
              </w:rPr>
              <w:t>RISCO*</w:t>
            </w:r>
          </w:p>
        </w:tc>
      </w:tr>
      <w:tr>
        <w:trPr>
          <w:trHeight w:val="398" w:hRule="atLeast"/>
        </w:trPr>
        <w:tc>
          <w:tcPr>
            <w:tcW w:w="864" w:type="dxa"/>
          </w:tcPr>
          <w:p>
            <w:pPr>
              <w:pStyle w:val="TableParagraph"/>
              <w:spacing w:before="61"/>
              <w:ind w:right="96"/>
              <w:jc w:val="right"/>
              <w:rPr>
                <w:sz w:val="24"/>
              </w:rPr>
            </w:pPr>
            <w:r>
              <w:rPr>
                <w:sz w:val="24"/>
              </w:rPr>
              <w:t>35</w:t>
            </w:r>
          </w:p>
        </w:tc>
        <w:tc>
          <w:tcPr>
            <w:tcW w:w="5475" w:type="dxa"/>
          </w:tcPr>
          <w:p>
            <w:pPr>
              <w:pStyle w:val="TableParagraph"/>
              <w:spacing w:before="61"/>
              <w:ind w:left="136"/>
              <w:rPr>
                <w:sz w:val="24"/>
              </w:rPr>
            </w:pPr>
            <w:r>
              <w:rPr>
                <w:sz w:val="24"/>
              </w:rPr>
              <w:t>Gestão de pensionistas civis.</w:t>
            </w:r>
          </w:p>
        </w:tc>
        <w:tc>
          <w:tcPr>
            <w:tcW w:w="2016" w:type="dxa"/>
          </w:tcPr>
          <w:p>
            <w:pPr>
              <w:pStyle w:val="TableParagraph"/>
              <w:spacing w:before="61"/>
              <w:ind w:left="561" w:right="755"/>
              <w:jc w:val="center"/>
              <w:rPr>
                <w:sz w:val="24"/>
              </w:rPr>
            </w:pPr>
            <w:r>
              <w:rPr>
                <w:sz w:val="24"/>
              </w:rPr>
              <w:t>SGP</w:t>
            </w:r>
          </w:p>
        </w:tc>
        <w:tc>
          <w:tcPr>
            <w:tcW w:w="1586" w:type="dxa"/>
          </w:tcPr>
          <w:p>
            <w:pPr>
              <w:pStyle w:val="TableParagraph"/>
              <w:spacing w:before="61"/>
              <w:ind w:left="257" w:right="251"/>
              <w:jc w:val="center"/>
              <w:rPr>
                <w:sz w:val="24"/>
              </w:rPr>
            </w:pPr>
            <w:r>
              <w:rPr>
                <w:sz w:val="24"/>
              </w:rPr>
              <w:t>COPES</w:t>
            </w:r>
          </w:p>
        </w:tc>
        <w:tc>
          <w:tcPr>
            <w:tcW w:w="1577" w:type="dxa"/>
          </w:tcPr>
          <w:p>
            <w:pPr>
              <w:pStyle w:val="TableParagraph"/>
              <w:spacing w:before="61"/>
              <w:ind w:left="86" w:right="77"/>
              <w:jc w:val="center"/>
              <w:rPr>
                <w:sz w:val="24"/>
              </w:rPr>
            </w:pPr>
            <w:r>
              <w:rPr>
                <w:sz w:val="24"/>
              </w:rPr>
              <w:t>SEPAGE</w:t>
            </w:r>
          </w:p>
        </w:tc>
        <w:tc>
          <w:tcPr>
            <w:tcW w:w="2191" w:type="dxa"/>
          </w:tcPr>
          <w:p>
            <w:pPr>
              <w:pStyle w:val="TableParagraph"/>
              <w:spacing w:before="61"/>
              <w:ind w:right="97"/>
              <w:jc w:val="right"/>
              <w:rPr>
                <w:sz w:val="24"/>
              </w:rPr>
            </w:pPr>
            <w:r>
              <w:rPr>
                <w:sz w:val="24"/>
              </w:rPr>
              <w:t>10,00</w:t>
            </w:r>
          </w:p>
        </w:tc>
      </w:tr>
      <w:tr>
        <w:trPr>
          <w:trHeight w:val="398" w:hRule="atLeast"/>
        </w:trPr>
        <w:tc>
          <w:tcPr>
            <w:tcW w:w="864" w:type="dxa"/>
          </w:tcPr>
          <w:p>
            <w:pPr>
              <w:pStyle w:val="TableParagraph"/>
              <w:ind w:right="96"/>
              <w:jc w:val="right"/>
              <w:rPr>
                <w:sz w:val="24"/>
              </w:rPr>
            </w:pPr>
            <w:r>
              <w:rPr>
                <w:sz w:val="24"/>
              </w:rPr>
              <w:t>36</w:t>
            </w:r>
          </w:p>
        </w:tc>
        <w:tc>
          <w:tcPr>
            <w:tcW w:w="5475" w:type="dxa"/>
          </w:tcPr>
          <w:p>
            <w:pPr>
              <w:pStyle w:val="TableParagraph"/>
              <w:ind w:left="136"/>
              <w:rPr>
                <w:sz w:val="24"/>
              </w:rPr>
            </w:pPr>
            <w:r>
              <w:rPr>
                <w:sz w:val="24"/>
              </w:rPr>
              <w:t>Gestão do Inventário e Patrimônio.</w:t>
            </w:r>
          </w:p>
        </w:tc>
        <w:tc>
          <w:tcPr>
            <w:tcW w:w="2016" w:type="dxa"/>
          </w:tcPr>
          <w:p>
            <w:pPr>
              <w:pStyle w:val="TableParagraph"/>
              <w:ind w:left="615" w:right="755"/>
              <w:jc w:val="center"/>
              <w:rPr>
                <w:sz w:val="24"/>
              </w:rPr>
            </w:pPr>
            <w:r>
              <w:rPr>
                <w:sz w:val="24"/>
              </w:rPr>
              <w:t>SGA</w:t>
            </w:r>
          </w:p>
        </w:tc>
        <w:tc>
          <w:tcPr>
            <w:tcW w:w="1586" w:type="dxa"/>
          </w:tcPr>
          <w:p>
            <w:pPr>
              <w:pStyle w:val="TableParagraph"/>
              <w:ind w:left="258" w:right="251"/>
              <w:jc w:val="center"/>
              <w:rPr>
                <w:sz w:val="24"/>
              </w:rPr>
            </w:pPr>
            <w:r>
              <w:rPr>
                <w:sz w:val="24"/>
              </w:rPr>
              <w:t>COMAP</w:t>
            </w:r>
          </w:p>
        </w:tc>
        <w:tc>
          <w:tcPr>
            <w:tcW w:w="1577" w:type="dxa"/>
          </w:tcPr>
          <w:p>
            <w:pPr>
              <w:pStyle w:val="TableParagraph"/>
              <w:ind w:left="86" w:right="78"/>
              <w:jc w:val="center"/>
              <w:rPr>
                <w:sz w:val="24"/>
              </w:rPr>
            </w:pPr>
            <w:r>
              <w:rPr>
                <w:sz w:val="24"/>
              </w:rPr>
              <w:t>SEGEP</w:t>
            </w:r>
          </w:p>
        </w:tc>
        <w:tc>
          <w:tcPr>
            <w:tcW w:w="2191" w:type="dxa"/>
          </w:tcPr>
          <w:p>
            <w:pPr>
              <w:pStyle w:val="TableParagraph"/>
              <w:ind w:right="97"/>
              <w:jc w:val="right"/>
              <w:rPr>
                <w:sz w:val="24"/>
              </w:rPr>
            </w:pPr>
            <w:r>
              <w:rPr>
                <w:sz w:val="24"/>
              </w:rPr>
              <w:t>10,00</w:t>
            </w:r>
          </w:p>
        </w:tc>
      </w:tr>
      <w:tr>
        <w:trPr>
          <w:trHeight w:val="551" w:hRule="atLeast"/>
        </w:trPr>
        <w:tc>
          <w:tcPr>
            <w:tcW w:w="864" w:type="dxa"/>
          </w:tcPr>
          <w:p>
            <w:pPr>
              <w:pStyle w:val="TableParagraph"/>
              <w:spacing w:before="135"/>
              <w:ind w:right="96"/>
              <w:jc w:val="right"/>
              <w:rPr>
                <w:sz w:val="24"/>
              </w:rPr>
            </w:pPr>
            <w:r>
              <w:rPr>
                <w:sz w:val="24"/>
              </w:rPr>
              <w:t>37</w:t>
            </w:r>
          </w:p>
        </w:tc>
        <w:tc>
          <w:tcPr>
            <w:tcW w:w="5475" w:type="dxa"/>
          </w:tcPr>
          <w:p>
            <w:pPr>
              <w:pStyle w:val="TableParagraph"/>
              <w:spacing w:line="276" w:lineRule="exact" w:before="2"/>
              <w:ind w:left="136" w:right="90"/>
              <w:rPr>
                <w:sz w:val="24"/>
              </w:rPr>
            </w:pPr>
            <w:r>
              <w:rPr>
                <w:sz w:val="24"/>
              </w:rPr>
              <w:t>Gestão do dimensionamento e distribuição da força de trabalho.</w:t>
            </w:r>
          </w:p>
        </w:tc>
        <w:tc>
          <w:tcPr>
            <w:tcW w:w="2016" w:type="dxa"/>
          </w:tcPr>
          <w:p>
            <w:pPr>
              <w:pStyle w:val="TableParagraph"/>
              <w:spacing w:before="135"/>
              <w:ind w:left="580" w:right="755"/>
              <w:jc w:val="center"/>
              <w:rPr>
                <w:sz w:val="24"/>
              </w:rPr>
            </w:pPr>
            <w:r>
              <w:rPr>
                <w:sz w:val="24"/>
              </w:rPr>
              <w:t>SGP</w:t>
            </w:r>
          </w:p>
        </w:tc>
        <w:tc>
          <w:tcPr>
            <w:tcW w:w="1586" w:type="dxa"/>
          </w:tcPr>
          <w:p>
            <w:pPr>
              <w:pStyle w:val="TableParagraph"/>
              <w:spacing w:before="135"/>
              <w:ind w:left="257" w:right="251"/>
              <w:jc w:val="center"/>
              <w:rPr>
                <w:sz w:val="24"/>
              </w:rPr>
            </w:pPr>
            <w:r>
              <w:rPr>
                <w:sz w:val="24"/>
              </w:rPr>
              <w:t>COEDE</w:t>
            </w:r>
          </w:p>
        </w:tc>
        <w:tc>
          <w:tcPr>
            <w:tcW w:w="1577" w:type="dxa"/>
          </w:tcPr>
          <w:p>
            <w:pPr>
              <w:pStyle w:val="TableParagraph"/>
              <w:spacing w:before="135"/>
              <w:ind w:left="86" w:right="78"/>
              <w:jc w:val="center"/>
              <w:rPr>
                <w:sz w:val="24"/>
              </w:rPr>
            </w:pPr>
            <w:r>
              <w:rPr>
                <w:sz w:val="24"/>
              </w:rPr>
              <w:t>SEDES</w:t>
            </w:r>
          </w:p>
        </w:tc>
        <w:tc>
          <w:tcPr>
            <w:tcW w:w="2191" w:type="dxa"/>
          </w:tcPr>
          <w:p>
            <w:pPr>
              <w:pStyle w:val="TableParagraph"/>
              <w:spacing w:before="135"/>
              <w:ind w:right="97"/>
              <w:jc w:val="right"/>
              <w:rPr>
                <w:sz w:val="24"/>
              </w:rPr>
            </w:pPr>
            <w:r>
              <w:rPr>
                <w:sz w:val="24"/>
              </w:rPr>
              <w:t>10,00</w:t>
            </w:r>
          </w:p>
        </w:tc>
      </w:tr>
      <w:tr>
        <w:trPr>
          <w:trHeight w:val="393" w:hRule="atLeast"/>
        </w:trPr>
        <w:tc>
          <w:tcPr>
            <w:tcW w:w="864" w:type="dxa"/>
          </w:tcPr>
          <w:p>
            <w:pPr>
              <w:pStyle w:val="TableParagraph"/>
              <w:spacing w:before="56"/>
              <w:ind w:right="96"/>
              <w:jc w:val="right"/>
              <w:rPr>
                <w:sz w:val="24"/>
              </w:rPr>
            </w:pPr>
            <w:r>
              <w:rPr>
                <w:sz w:val="24"/>
              </w:rPr>
              <w:t>38</w:t>
            </w:r>
          </w:p>
        </w:tc>
        <w:tc>
          <w:tcPr>
            <w:tcW w:w="5475" w:type="dxa"/>
          </w:tcPr>
          <w:p>
            <w:pPr>
              <w:pStyle w:val="TableParagraph"/>
              <w:spacing w:before="56"/>
              <w:ind w:left="136"/>
              <w:rPr>
                <w:sz w:val="24"/>
              </w:rPr>
            </w:pPr>
            <w:r>
              <w:rPr>
                <w:sz w:val="24"/>
              </w:rPr>
              <w:t>Gestão do tempo de serviço.</w:t>
            </w:r>
          </w:p>
        </w:tc>
        <w:tc>
          <w:tcPr>
            <w:tcW w:w="2016" w:type="dxa"/>
          </w:tcPr>
          <w:p>
            <w:pPr>
              <w:pStyle w:val="TableParagraph"/>
              <w:spacing w:before="56"/>
              <w:ind w:left="585" w:right="755"/>
              <w:jc w:val="center"/>
              <w:rPr>
                <w:sz w:val="24"/>
              </w:rPr>
            </w:pPr>
            <w:r>
              <w:rPr>
                <w:sz w:val="24"/>
              </w:rPr>
              <w:t>SGP</w:t>
            </w:r>
          </w:p>
        </w:tc>
        <w:tc>
          <w:tcPr>
            <w:tcW w:w="1586" w:type="dxa"/>
          </w:tcPr>
          <w:p>
            <w:pPr>
              <w:pStyle w:val="TableParagraph"/>
              <w:spacing w:before="56"/>
              <w:ind w:left="258" w:right="251"/>
              <w:jc w:val="center"/>
              <w:rPr>
                <w:sz w:val="24"/>
              </w:rPr>
            </w:pPr>
            <w:r>
              <w:rPr>
                <w:sz w:val="24"/>
              </w:rPr>
              <w:t>COTEC</w:t>
            </w:r>
          </w:p>
        </w:tc>
        <w:tc>
          <w:tcPr>
            <w:tcW w:w="1577" w:type="dxa"/>
          </w:tcPr>
          <w:p>
            <w:pPr>
              <w:pStyle w:val="TableParagraph"/>
              <w:spacing w:before="56"/>
              <w:ind w:left="86" w:right="79"/>
              <w:jc w:val="center"/>
              <w:rPr>
                <w:sz w:val="24"/>
              </w:rPr>
            </w:pPr>
            <w:r>
              <w:rPr>
                <w:sz w:val="24"/>
              </w:rPr>
              <w:t>SEAPREV</w:t>
            </w:r>
          </w:p>
        </w:tc>
        <w:tc>
          <w:tcPr>
            <w:tcW w:w="2191" w:type="dxa"/>
          </w:tcPr>
          <w:p>
            <w:pPr>
              <w:pStyle w:val="TableParagraph"/>
              <w:spacing w:before="56"/>
              <w:ind w:right="97"/>
              <w:jc w:val="right"/>
              <w:rPr>
                <w:sz w:val="24"/>
              </w:rPr>
            </w:pPr>
            <w:r>
              <w:rPr>
                <w:sz w:val="24"/>
              </w:rPr>
              <w:t>10,00</w:t>
            </w:r>
          </w:p>
        </w:tc>
      </w:tr>
      <w:tr>
        <w:trPr>
          <w:trHeight w:val="397" w:hRule="atLeast"/>
        </w:trPr>
        <w:tc>
          <w:tcPr>
            <w:tcW w:w="864" w:type="dxa"/>
          </w:tcPr>
          <w:p>
            <w:pPr>
              <w:pStyle w:val="TableParagraph"/>
              <w:spacing w:before="61"/>
              <w:ind w:right="96"/>
              <w:jc w:val="right"/>
              <w:rPr>
                <w:sz w:val="24"/>
              </w:rPr>
            </w:pPr>
            <w:r>
              <w:rPr>
                <w:sz w:val="24"/>
              </w:rPr>
              <w:t>39</w:t>
            </w:r>
          </w:p>
        </w:tc>
        <w:tc>
          <w:tcPr>
            <w:tcW w:w="5475" w:type="dxa"/>
          </w:tcPr>
          <w:p>
            <w:pPr>
              <w:pStyle w:val="TableParagraph"/>
              <w:spacing w:before="61"/>
              <w:ind w:left="136"/>
              <w:rPr>
                <w:sz w:val="24"/>
              </w:rPr>
            </w:pPr>
            <w:r>
              <w:rPr>
                <w:sz w:val="24"/>
              </w:rPr>
              <w:t>Gestão orçamentária, financeira e contábil.</w:t>
            </w:r>
          </w:p>
        </w:tc>
        <w:tc>
          <w:tcPr>
            <w:tcW w:w="2016" w:type="dxa"/>
          </w:tcPr>
          <w:p>
            <w:pPr>
              <w:pStyle w:val="TableParagraph"/>
              <w:spacing w:before="61"/>
              <w:ind w:left="665"/>
              <w:rPr>
                <w:sz w:val="24"/>
              </w:rPr>
            </w:pPr>
            <w:r>
              <w:rPr>
                <w:sz w:val="24"/>
              </w:rPr>
              <w:t>SOF</w:t>
            </w:r>
          </w:p>
        </w:tc>
        <w:tc>
          <w:tcPr>
            <w:tcW w:w="1586" w:type="dxa"/>
          </w:tcPr>
          <w:p>
            <w:pPr>
              <w:pStyle w:val="TableParagraph"/>
              <w:spacing w:before="61"/>
              <w:ind w:left="253" w:right="251"/>
              <w:jc w:val="center"/>
              <w:rPr>
                <w:sz w:val="24"/>
              </w:rPr>
            </w:pPr>
            <w:r>
              <w:rPr>
                <w:sz w:val="24"/>
              </w:rPr>
              <w:t>COFIC</w:t>
            </w:r>
          </w:p>
        </w:tc>
        <w:tc>
          <w:tcPr>
            <w:tcW w:w="1577" w:type="dxa"/>
          </w:tcPr>
          <w:p>
            <w:pPr>
              <w:pStyle w:val="TableParagraph"/>
              <w:spacing w:before="61"/>
              <w:ind w:left="86" w:right="79"/>
              <w:jc w:val="center"/>
              <w:rPr>
                <w:sz w:val="24"/>
              </w:rPr>
            </w:pPr>
            <w:r>
              <w:rPr>
                <w:sz w:val="24"/>
              </w:rPr>
              <w:t>SECONGE</w:t>
            </w:r>
          </w:p>
        </w:tc>
        <w:tc>
          <w:tcPr>
            <w:tcW w:w="2191" w:type="dxa"/>
          </w:tcPr>
          <w:p>
            <w:pPr>
              <w:pStyle w:val="TableParagraph"/>
              <w:spacing w:before="61"/>
              <w:ind w:right="97"/>
              <w:jc w:val="right"/>
              <w:rPr>
                <w:sz w:val="24"/>
              </w:rPr>
            </w:pPr>
            <w:r>
              <w:rPr>
                <w:sz w:val="24"/>
              </w:rPr>
              <w:t>10,00</w:t>
            </w:r>
          </w:p>
        </w:tc>
      </w:tr>
      <w:tr>
        <w:trPr>
          <w:trHeight w:val="397" w:hRule="atLeast"/>
        </w:trPr>
        <w:tc>
          <w:tcPr>
            <w:tcW w:w="864" w:type="dxa"/>
          </w:tcPr>
          <w:p>
            <w:pPr>
              <w:pStyle w:val="TableParagraph"/>
              <w:ind w:right="96"/>
              <w:jc w:val="right"/>
              <w:rPr>
                <w:sz w:val="24"/>
              </w:rPr>
            </w:pPr>
            <w:r>
              <w:rPr>
                <w:sz w:val="24"/>
              </w:rPr>
              <w:t>40</w:t>
            </w:r>
          </w:p>
        </w:tc>
        <w:tc>
          <w:tcPr>
            <w:tcW w:w="5475" w:type="dxa"/>
          </w:tcPr>
          <w:p>
            <w:pPr>
              <w:pStyle w:val="TableParagraph"/>
              <w:ind w:left="136"/>
              <w:rPr>
                <w:sz w:val="24"/>
              </w:rPr>
            </w:pPr>
            <w:r>
              <w:rPr>
                <w:sz w:val="24"/>
              </w:rPr>
              <w:t>Sistema de Gestão de Riscos organizacional.</w:t>
            </w:r>
          </w:p>
        </w:tc>
        <w:tc>
          <w:tcPr>
            <w:tcW w:w="2016" w:type="dxa"/>
          </w:tcPr>
          <w:p>
            <w:pPr>
              <w:pStyle w:val="TableParagraph"/>
              <w:spacing w:before="35"/>
              <w:ind w:left="658" w:right="621"/>
              <w:jc w:val="center"/>
              <w:rPr>
                <w:sz w:val="24"/>
              </w:rPr>
            </w:pPr>
            <w:r>
              <w:rPr>
                <w:sz w:val="24"/>
              </w:rPr>
              <w:t>SPL</w:t>
            </w:r>
          </w:p>
        </w:tc>
        <w:tc>
          <w:tcPr>
            <w:tcW w:w="1586" w:type="dxa"/>
          </w:tcPr>
          <w:p>
            <w:pPr>
              <w:pStyle w:val="TableParagraph"/>
              <w:ind w:left="258" w:right="250"/>
              <w:jc w:val="center"/>
              <w:rPr>
                <w:sz w:val="24"/>
              </w:rPr>
            </w:pPr>
            <w:r>
              <w:rPr>
                <w:sz w:val="24"/>
              </w:rPr>
              <w:t>COPEG</w:t>
            </w:r>
          </w:p>
        </w:tc>
        <w:tc>
          <w:tcPr>
            <w:tcW w:w="1577" w:type="dxa"/>
          </w:tcPr>
          <w:p>
            <w:pPr>
              <w:pStyle w:val="TableParagraph"/>
              <w:ind w:left="86" w:right="79"/>
              <w:jc w:val="center"/>
              <w:rPr>
                <w:sz w:val="24"/>
              </w:rPr>
            </w:pPr>
            <w:r>
              <w:rPr>
                <w:sz w:val="24"/>
              </w:rPr>
              <w:t>SEGEPRO</w:t>
            </w:r>
          </w:p>
        </w:tc>
        <w:tc>
          <w:tcPr>
            <w:tcW w:w="2191" w:type="dxa"/>
          </w:tcPr>
          <w:p>
            <w:pPr>
              <w:pStyle w:val="TableParagraph"/>
              <w:ind w:right="97"/>
              <w:jc w:val="right"/>
              <w:rPr>
                <w:sz w:val="24"/>
              </w:rPr>
            </w:pPr>
            <w:r>
              <w:rPr>
                <w:sz w:val="24"/>
              </w:rPr>
              <w:t>10,00</w:t>
            </w:r>
          </w:p>
        </w:tc>
      </w:tr>
      <w:tr>
        <w:trPr>
          <w:trHeight w:val="396" w:hRule="atLeast"/>
        </w:trPr>
        <w:tc>
          <w:tcPr>
            <w:tcW w:w="864" w:type="dxa"/>
          </w:tcPr>
          <w:p>
            <w:pPr>
              <w:pStyle w:val="TableParagraph"/>
              <w:ind w:right="96"/>
              <w:jc w:val="right"/>
              <w:rPr>
                <w:sz w:val="24"/>
              </w:rPr>
            </w:pPr>
            <w:r>
              <w:rPr>
                <w:sz w:val="24"/>
              </w:rPr>
              <w:t>41</w:t>
            </w:r>
          </w:p>
        </w:tc>
        <w:tc>
          <w:tcPr>
            <w:tcW w:w="5475" w:type="dxa"/>
          </w:tcPr>
          <w:p>
            <w:pPr>
              <w:pStyle w:val="TableParagraph"/>
              <w:ind w:left="136"/>
              <w:rPr>
                <w:sz w:val="24"/>
              </w:rPr>
            </w:pPr>
            <w:r>
              <w:rPr>
                <w:sz w:val="24"/>
              </w:rPr>
              <w:t>Gestão da Folha de Pagamento de Requisitados</w:t>
            </w:r>
          </w:p>
        </w:tc>
        <w:tc>
          <w:tcPr>
            <w:tcW w:w="2016" w:type="dxa"/>
          </w:tcPr>
          <w:p>
            <w:pPr>
              <w:pStyle w:val="TableParagraph"/>
              <w:ind w:left="561" w:right="755"/>
              <w:jc w:val="center"/>
              <w:rPr>
                <w:sz w:val="24"/>
              </w:rPr>
            </w:pPr>
            <w:r>
              <w:rPr>
                <w:sz w:val="24"/>
              </w:rPr>
              <w:t>SGP</w:t>
            </w:r>
          </w:p>
        </w:tc>
        <w:tc>
          <w:tcPr>
            <w:tcW w:w="1586" w:type="dxa"/>
          </w:tcPr>
          <w:p>
            <w:pPr>
              <w:pStyle w:val="TableParagraph"/>
              <w:ind w:left="257" w:right="251"/>
              <w:jc w:val="center"/>
              <w:rPr>
                <w:sz w:val="24"/>
              </w:rPr>
            </w:pPr>
            <w:r>
              <w:rPr>
                <w:sz w:val="24"/>
              </w:rPr>
              <w:t>COPES</w:t>
            </w:r>
          </w:p>
        </w:tc>
        <w:tc>
          <w:tcPr>
            <w:tcW w:w="1577" w:type="dxa"/>
          </w:tcPr>
          <w:p>
            <w:pPr>
              <w:pStyle w:val="TableParagraph"/>
              <w:ind w:left="86" w:right="77"/>
              <w:jc w:val="center"/>
              <w:rPr>
                <w:sz w:val="24"/>
              </w:rPr>
            </w:pPr>
            <w:r>
              <w:rPr>
                <w:sz w:val="24"/>
              </w:rPr>
              <w:t>SEPAGE</w:t>
            </w:r>
          </w:p>
        </w:tc>
        <w:tc>
          <w:tcPr>
            <w:tcW w:w="2191" w:type="dxa"/>
          </w:tcPr>
          <w:p>
            <w:pPr>
              <w:pStyle w:val="TableParagraph"/>
              <w:ind w:right="97"/>
              <w:jc w:val="right"/>
              <w:rPr>
                <w:sz w:val="24"/>
              </w:rPr>
            </w:pPr>
            <w:r>
              <w:rPr>
                <w:sz w:val="24"/>
              </w:rPr>
              <w:t>9,00</w:t>
            </w:r>
          </w:p>
        </w:tc>
      </w:tr>
      <w:tr>
        <w:trPr>
          <w:trHeight w:val="397" w:hRule="atLeast"/>
        </w:trPr>
        <w:tc>
          <w:tcPr>
            <w:tcW w:w="864" w:type="dxa"/>
          </w:tcPr>
          <w:p>
            <w:pPr>
              <w:pStyle w:val="TableParagraph"/>
              <w:ind w:right="96"/>
              <w:jc w:val="right"/>
              <w:rPr>
                <w:sz w:val="24"/>
              </w:rPr>
            </w:pPr>
            <w:r>
              <w:rPr>
                <w:sz w:val="24"/>
              </w:rPr>
              <w:t>42</w:t>
            </w:r>
          </w:p>
        </w:tc>
        <w:tc>
          <w:tcPr>
            <w:tcW w:w="5475" w:type="dxa"/>
          </w:tcPr>
          <w:p>
            <w:pPr>
              <w:pStyle w:val="TableParagraph"/>
              <w:ind w:left="136"/>
              <w:rPr>
                <w:sz w:val="24"/>
              </w:rPr>
            </w:pPr>
            <w:r>
              <w:rPr>
                <w:sz w:val="24"/>
              </w:rPr>
              <w:t>Gestão de documentação, informação e memória.</w:t>
            </w:r>
          </w:p>
        </w:tc>
        <w:tc>
          <w:tcPr>
            <w:tcW w:w="2016" w:type="dxa"/>
          </w:tcPr>
          <w:p>
            <w:pPr>
              <w:pStyle w:val="TableParagraph"/>
              <w:ind w:left="610" w:right="755"/>
              <w:jc w:val="center"/>
              <w:rPr>
                <w:sz w:val="24"/>
              </w:rPr>
            </w:pPr>
            <w:r>
              <w:rPr>
                <w:sz w:val="24"/>
              </w:rPr>
              <w:t>SGA</w:t>
            </w:r>
          </w:p>
        </w:tc>
        <w:tc>
          <w:tcPr>
            <w:tcW w:w="1586" w:type="dxa"/>
          </w:tcPr>
          <w:p>
            <w:pPr>
              <w:pStyle w:val="TableParagraph"/>
              <w:ind w:left="258" w:right="250"/>
              <w:jc w:val="center"/>
              <w:rPr>
                <w:sz w:val="24"/>
              </w:rPr>
            </w:pPr>
            <w:r>
              <w:rPr>
                <w:sz w:val="24"/>
              </w:rPr>
              <w:t>COGED</w:t>
            </w:r>
          </w:p>
        </w:tc>
        <w:tc>
          <w:tcPr>
            <w:tcW w:w="1577" w:type="dxa"/>
          </w:tcPr>
          <w:p>
            <w:pPr>
              <w:pStyle w:val="TableParagraph"/>
              <w:ind w:left="86" w:right="77"/>
              <w:jc w:val="center"/>
              <w:rPr>
                <w:sz w:val="24"/>
              </w:rPr>
            </w:pPr>
            <w:r>
              <w:rPr>
                <w:sz w:val="24"/>
              </w:rPr>
              <w:t>SEARQ</w:t>
            </w:r>
          </w:p>
        </w:tc>
        <w:tc>
          <w:tcPr>
            <w:tcW w:w="2191" w:type="dxa"/>
          </w:tcPr>
          <w:p>
            <w:pPr>
              <w:pStyle w:val="TableParagraph"/>
              <w:ind w:right="97"/>
              <w:jc w:val="right"/>
              <w:rPr>
                <w:sz w:val="24"/>
              </w:rPr>
            </w:pPr>
            <w:r>
              <w:rPr>
                <w:sz w:val="24"/>
              </w:rPr>
              <w:t>9,00</w:t>
            </w:r>
          </w:p>
        </w:tc>
      </w:tr>
      <w:tr>
        <w:trPr>
          <w:trHeight w:val="395" w:hRule="atLeast"/>
        </w:trPr>
        <w:tc>
          <w:tcPr>
            <w:tcW w:w="864" w:type="dxa"/>
          </w:tcPr>
          <w:p>
            <w:pPr>
              <w:pStyle w:val="TableParagraph"/>
              <w:ind w:right="96"/>
              <w:jc w:val="right"/>
              <w:rPr>
                <w:sz w:val="24"/>
              </w:rPr>
            </w:pPr>
            <w:r>
              <w:rPr>
                <w:sz w:val="24"/>
              </w:rPr>
              <w:t>43</w:t>
            </w:r>
          </w:p>
        </w:tc>
        <w:tc>
          <w:tcPr>
            <w:tcW w:w="5475" w:type="dxa"/>
          </w:tcPr>
          <w:p>
            <w:pPr>
              <w:pStyle w:val="TableParagraph"/>
              <w:ind w:left="136"/>
              <w:rPr>
                <w:sz w:val="24"/>
              </w:rPr>
            </w:pPr>
            <w:r>
              <w:rPr>
                <w:sz w:val="24"/>
              </w:rPr>
              <w:t>Gestão de estagiários.</w:t>
            </w:r>
          </w:p>
        </w:tc>
        <w:tc>
          <w:tcPr>
            <w:tcW w:w="2016" w:type="dxa"/>
          </w:tcPr>
          <w:p>
            <w:pPr>
              <w:pStyle w:val="TableParagraph"/>
              <w:ind w:left="580" w:right="755"/>
              <w:jc w:val="center"/>
              <w:rPr>
                <w:sz w:val="24"/>
              </w:rPr>
            </w:pPr>
            <w:r>
              <w:rPr>
                <w:sz w:val="24"/>
              </w:rPr>
              <w:t>SGP</w:t>
            </w:r>
          </w:p>
        </w:tc>
        <w:tc>
          <w:tcPr>
            <w:tcW w:w="1586" w:type="dxa"/>
          </w:tcPr>
          <w:p>
            <w:pPr>
              <w:pStyle w:val="TableParagraph"/>
              <w:ind w:left="257" w:right="251"/>
              <w:jc w:val="center"/>
              <w:rPr>
                <w:sz w:val="24"/>
              </w:rPr>
            </w:pPr>
            <w:r>
              <w:rPr>
                <w:sz w:val="24"/>
              </w:rPr>
              <w:t>COEDE</w:t>
            </w:r>
          </w:p>
        </w:tc>
        <w:tc>
          <w:tcPr>
            <w:tcW w:w="1577" w:type="dxa"/>
          </w:tcPr>
          <w:p>
            <w:pPr>
              <w:pStyle w:val="TableParagraph"/>
              <w:ind w:left="86" w:right="76"/>
              <w:jc w:val="center"/>
              <w:rPr>
                <w:sz w:val="24"/>
              </w:rPr>
            </w:pPr>
            <w:r>
              <w:rPr>
                <w:sz w:val="24"/>
              </w:rPr>
              <w:t>SEREDE</w:t>
            </w:r>
          </w:p>
        </w:tc>
        <w:tc>
          <w:tcPr>
            <w:tcW w:w="2191" w:type="dxa"/>
          </w:tcPr>
          <w:p>
            <w:pPr>
              <w:pStyle w:val="TableParagraph"/>
              <w:ind w:right="97"/>
              <w:jc w:val="right"/>
              <w:rPr>
                <w:sz w:val="24"/>
              </w:rPr>
            </w:pPr>
            <w:r>
              <w:rPr>
                <w:sz w:val="24"/>
              </w:rPr>
              <w:t>9,00</w:t>
            </w:r>
          </w:p>
        </w:tc>
      </w:tr>
      <w:tr>
        <w:trPr>
          <w:trHeight w:val="397" w:hRule="atLeast"/>
        </w:trPr>
        <w:tc>
          <w:tcPr>
            <w:tcW w:w="864" w:type="dxa"/>
          </w:tcPr>
          <w:p>
            <w:pPr>
              <w:pStyle w:val="TableParagraph"/>
              <w:spacing w:before="61"/>
              <w:ind w:right="96"/>
              <w:jc w:val="right"/>
              <w:rPr>
                <w:sz w:val="24"/>
              </w:rPr>
            </w:pPr>
            <w:r>
              <w:rPr>
                <w:sz w:val="24"/>
              </w:rPr>
              <w:t>44</w:t>
            </w:r>
          </w:p>
        </w:tc>
        <w:tc>
          <w:tcPr>
            <w:tcW w:w="5475" w:type="dxa"/>
          </w:tcPr>
          <w:p>
            <w:pPr>
              <w:pStyle w:val="TableParagraph"/>
              <w:spacing w:before="61"/>
              <w:ind w:left="136"/>
              <w:rPr>
                <w:sz w:val="24"/>
              </w:rPr>
            </w:pPr>
            <w:r>
              <w:rPr>
                <w:sz w:val="24"/>
              </w:rPr>
              <w:t>Licitações e contratações de bens.</w:t>
            </w:r>
          </w:p>
        </w:tc>
        <w:tc>
          <w:tcPr>
            <w:tcW w:w="2016" w:type="dxa"/>
          </w:tcPr>
          <w:p>
            <w:pPr>
              <w:pStyle w:val="TableParagraph"/>
              <w:spacing w:before="61"/>
              <w:ind w:left="615" w:right="755"/>
              <w:jc w:val="center"/>
              <w:rPr>
                <w:sz w:val="24"/>
              </w:rPr>
            </w:pPr>
            <w:r>
              <w:rPr>
                <w:sz w:val="24"/>
              </w:rPr>
              <w:t>SGA</w:t>
            </w:r>
          </w:p>
        </w:tc>
        <w:tc>
          <w:tcPr>
            <w:tcW w:w="1586" w:type="dxa"/>
          </w:tcPr>
          <w:p>
            <w:pPr>
              <w:pStyle w:val="TableParagraph"/>
              <w:spacing w:before="61"/>
              <w:ind w:left="258" w:right="251"/>
              <w:jc w:val="center"/>
              <w:rPr>
                <w:sz w:val="24"/>
              </w:rPr>
            </w:pPr>
            <w:r>
              <w:rPr>
                <w:sz w:val="24"/>
              </w:rPr>
              <w:t>COMAP</w:t>
            </w:r>
          </w:p>
        </w:tc>
        <w:tc>
          <w:tcPr>
            <w:tcW w:w="1577" w:type="dxa"/>
          </w:tcPr>
          <w:p>
            <w:pPr>
              <w:pStyle w:val="TableParagraph"/>
              <w:spacing w:before="61"/>
              <w:ind w:left="86" w:right="76"/>
              <w:jc w:val="center"/>
              <w:rPr>
                <w:sz w:val="24"/>
              </w:rPr>
            </w:pPr>
            <w:r>
              <w:rPr>
                <w:sz w:val="24"/>
              </w:rPr>
              <w:t>SEGEA</w:t>
            </w:r>
          </w:p>
        </w:tc>
        <w:tc>
          <w:tcPr>
            <w:tcW w:w="2191" w:type="dxa"/>
          </w:tcPr>
          <w:p>
            <w:pPr>
              <w:pStyle w:val="TableParagraph"/>
              <w:spacing w:before="61"/>
              <w:ind w:right="97"/>
              <w:jc w:val="right"/>
              <w:rPr>
                <w:sz w:val="24"/>
              </w:rPr>
            </w:pPr>
            <w:r>
              <w:rPr>
                <w:sz w:val="24"/>
              </w:rPr>
              <w:t>9,00</w:t>
            </w:r>
          </w:p>
        </w:tc>
      </w:tr>
      <w:tr>
        <w:trPr>
          <w:trHeight w:val="395" w:hRule="atLeast"/>
        </w:trPr>
        <w:tc>
          <w:tcPr>
            <w:tcW w:w="864" w:type="dxa"/>
          </w:tcPr>
          <w:p>
            <w:pPr>
              <w:pStyle w:val="TableParagraph"/>
              <w:ind w:right="96"/>
              <w:jc w:val="right"/>
              <w:rPr>
                <w:sz w:val="24"/>
              </w:rPr>
            </w:pPr>
            <w:r>
              <w:rPr>
                <w:sz w:val="24"/>
              </w:rPr>
              <w:t>45</w:t>
            </w:r>
          </w:p>
        </w:tc>
        <w:tc>
          <w:tcPr>
            <w:tcW w:w="5475" w:type="dxa"/>
          </w:tcPr>
          <w:p>
            <w:pPr>
              <w:pStyle w:val="TableParagraph"/>
              <w:ind w:left="136"/>
              <w:rPr>
                <w:sz w:val="24"/>
              </w:rPr>
            </w:pPr>
            <w:r>
              <w:rPr>
                <w:sz w:val="24"/>
              </w:rPr>
              <w:t>Gestão de registros funcionais.</w:t>
            </w:r>
          </w:p>
        </w:tc>
        <w:tc>
          <w:tcPr>
            <w:tcW w:w="2016" w:type="dxa"/>
          </w:tcPr>
          <w:p>
            <w:pPr>
              <w:pStyle w:val="TableParagraph"/>
              <w:ind w:left="561" w:right="755"/>
              <w:jc w:val="center"/>
              <w:rPr>
                <w:sz w:val="24"/>
              </w:rPr>
            </w:pPr>
            <w:r>
              <w:rPr>
                <w:sz w:val="24"/>
              </w:rPr>
              <w:t>SGP</w:t>
            </w:r>
          </w:p>
        </w:tc>
        <w:tc>
          <w:tcPr>
            <w:tcW w:w="1586" w:type="dxa"/>
          </w:tcPr>
          <w:p>
            <w:pPr>
              <w:pStyle w:val="TableParagraph"/>
              <w:ind w:left="257" w:right="251"/>
              <w:jc w:val="center"/>
              <w:rPr>
                <w:sz w:val="24"/>
              </w:rPr>
            </w:pPr>
            <w:r>
              <w:rPr>
                <w:sz w:val="24"/>
              </w:rPr>
              <w:t>COPES</w:t>
            </w:r>
          </w:p>
        </w:tc>
        <w:tc>
          <w:tcPr>
            <w:tcW w:w="1577" w:type="dxa"/>
          </w:tcPr>
          <w:p>
            <w:pPr>
              <w:pStyle w:val="TableParagraph"/>
              <w:ind w:left="86" w:right="78"/>
              <w:jc w:val="center"/>
              <w:rPr>
                <w:sz w:val="24"/>
              </w:rPr>
            </w:pPr>
            <w:r>
              <w:rPr>
                <w:sz w:val="24"/>
              </w:rPr>
              <w:t>SEINF</w:t>
            </w:r>
          </w:p>
        </w:tc>
        <w:tc>
          <w:tcPr>
            <w:tcW w:w="2191" w:type="dxa"/>
          </w:tcPr>
          <w:p>
            <w:pPr>
              <w:pStyle w:val="TableParagraph"/>
              <w:ind w:right="97"/>
              <w:jc w:val="right"/>
              <w:rPr>
                <w:sz w:val="24"/>
              </w:rPr>
            </w:pPr>
            <w:r>
              <w:rPr>
                <w:sz w:val="24"/>
              </w:rPr>
              <w:t>8,00</w:t>
            </w:r>
          </w:p>
        </w:tc>
      </w:tr>
      <w:tr>
        <w:trPr>
          <w:trHeight w:val="398" w:hRule="atLeast"/>
        </w:trPr>
        <w:tc>
          <w:tcPr>
            <w:tcW w:w="864" w:type="dxa"/>
          </w:tcPr>
          <w:p>
            <w:pPr>
              <w:pStyle w:val="TableParagraph"/>
              <w:spacing w:before="61"/>
              <w:ind w:right="96"/>
              <w:jc w:val="right"/>
              <w:rPr>
                <w:sz w:val="24"/>
              </w:rPr>
            </w:pPr>
            <w:r>
              <w:rPr>
                <w:sz w:val="24"/>
              </w:rPr>
              <w:t>46</w:t>
            </w:r>
          </w:p>
        </w:tc>
        <w:tc>
          <w:tcPr>
            <w:tcW w:w="5475" w:type="dxa"/>
          </w:tcPr>
          <w:p>
            <w:pPr>
              <w:pStyle w:val="TableParagraph"/>
              <w:spacing w:before="61"/>
              <w:ind w:left="136"/>
              <w:rPr>
                <w:sz w:val="24"/>
              </w:rPr>
            </w:pPr>
            <w:r>
              <w:rPr>
                <w:sz w:val="24"/>
              </w:rPr>
              <w:t>Gestão de frequência.</w:t>
            </w:r>
          </w:p>
        </w:tc>
        <w:tc>
          <w:tcPr>
            <w:tcW w:w="2016" w:type="dxa"/>
          </w:tcPr>
          <w:p>
            <w:pPr>
              <w:pStyle w:val="TableParagraph"/>
              <w:spacing w:before="61"/>
              <w:ind w:left="561" w:right="755"/>
              <w:jc w:val="center"/>
              <w:rPr>
                <w:sz w:val="24"/>
              </w:rPr>
            </w:pPr>
            <w:r>
              <w:rPr>
                <w:sz w:val="24"/>
              </w:rPr>
              <w:t>SGP</w:t>
            </w:r>
          </w:p>
        </w:tc>
        <w:tc>
          <w:tcPr>
            <w:tcW w:w="1586" w:type="dxa"/>
          </w:tcPr>
          <w:p>
            <w:pPr>
              <w:pStyle w:val="TableParagraph"/>
              <w:spacing w:before="61"/>
              <w:ind w:left="257" w:right="251"/>
              <w:jc w:val="center"/>
              <w:rPr>
                <w:sz w:val="24"/>
              </w:rPr>
            </w:pPr>
            <w:r>
              <w:rPr>
                <w:sz w:val="24"/>
              </w:rPr>
              <w:t>COPES</w:t>
            </w:r>
          </w:p>
        </w:tc>
        <w:tc>
          <w:tcPr>
            <w:tcW w:w="1577" w:type="dxa"/>
          </w:tcPr>
          <w:p>
            <w:pPr>
              <w:pStyle w:val="TableParagraph"/>
              <w:spacing w:before="61"/>
              <w:ind w:left="86" w:right="78"/>
              <w:jc w:val="center"/>
              <w:rPr>
                <w:sz w:val="24"/>
              </w:rPr>
            </w:pPr>
            <w:r>
              <w:rPr>
                <w:sz w:val="24"/>
              </w:rPr>
              <w:t>SECOF</w:t>
            </w:r>
          </w:p>
        </w:tc>
        <w:tc>
          <w:tcPr>
            <w:tcW w:w="2191" w:type="dxa"/>
          </w:tcPr>
          <w:p>
            <w:pPr>
              <w:pStyle w:val="TableParagraph"/>
              <w:spacing w:before="61"/>
              <w:ind w:right="97"/>
              <w:jc w:val="right"/>
              <w:rPr>
                <w:sz w:val="24"/>
              </w:rPr>
            </w:pPr>
            <w:r>
              <w:rPr>
                <w:sz w:val="24"/>
              </w:rPr>
              <w:t>7,00</w:t>
            </w:r>
          </w:p>
        </w:tc>
      </w:tr>
      <w:tr>
        <w:trPr>
          <w:trHeight w:val="398" w:hRule="atLeast"/>
        </w:trPr>
        <w:tc>
          <w:tcPr>
            <w:tcW w:w="864" w:type="dxa"/>
          </w:tcPr>
          <w:p>
            <w:pPr>
              <w:pStyle w:val="TableParagraph"/>
              <w:ind w:right="96"/>
              <w:jc w:val="right"/>
              <w:rPr>
                <w:sz w:val="24"/>
              </w:rPr>
            </w:pPr>
            <w:r>
              <w:rPr>
                <w:sz w:val="24"/>
              </w:rPr>
              <w:t>47</w:t>
            </w:r>
          </w:p>
        </w:tc>
        <w:tc>
          <w:tcPr>
            <w:tcW w:w="5475" w:type="dxa"/>
          </w:tcPr>
          <w:p>
            <w:pPr>
              <w:pStyle w:val="TableParagraph"/>
              <w:ind w:left="136"/>
              <w:rPr>
                <w:sz w:val="24"/>
              </w:rPr>
            </w:pPr>
            <w:r>
              <w:rPr>
                <w:sz w:val="24"/>
              </w:rPr>
              <w:t>Gestão de serviço de saúde.</w:t>
            </w:r>
          </w:p>
        </w:tc>
        <w:tc>
          <w:tcPr>
            <w:tcW w:w="2016" w:type="dxa"/>
          </w:tcPr>
          <w:p>
            <w:pPr>
              <w:pStyle w:val="TableParagraph"/>
              <w:ind w:left="580" w:right="755"/>
              <w:jc w:val="center"/>
              <w:rPr>
                <w:sz w:val="24"/>
              </w:rPr>
            </w:pPr>
            <w:r>
              <w:rPr>
                <w:sz w:val="24"/>
              </w:rPr>
              <w:t>SGP</w:t>
            </w:r>
          </w:p>
        </w:tc>
        <w:tc>
          <w:tcPr>
            <w:tcW w:w="1586" w:type="dxa"/>
          </w:tcPr>
          <w:p>
            <w:pPr>
              <w:pStyle w:val="TableParagraph"/>
              <w:ind w:left="257" w:right="251"/>
              <w:jc w:val="center"/>
              <w:rPr>
                <w:sz w:val="24"/>
              </w:rPr>
            </w:pPr>
            <w:r>
              <w:rPr>
                <w:sz w:val="24"/>
              </w:rPr>
              <w:t>COEDE</w:t>
            </w:r>
          </w:p>
        </w:tc>
        <w:tc>
          <w:tcPr>
            <w:tcW w:w="1577" w:type="dxa"/>
          </w:tcPr>
          <w:p>
            <w:pPr>
              <w:pStyle w:val="TableParagraph"/>
              <w:ind w:left="86" w:right="80"/>
              <w:jc w:val="center"/>
              <w:rPr>
                <w:sz w:val="24"/>
              </w:rPr>
            </w:pPr>
            <w:r>
              <w:rPr>
                <w:sz w:val="24"/>
              </w:rPr>
              <w:t>SEDAS</w:t>
            </w:r>
          </w:p>
        </w:tc>
        <w:tc>
          <w:tcPr>
            <w:tcW w:w="2191" w:type="dxa"/>
          </w:tcPr>
          <w:p>
            <w:pPr>
              <w:pStyle w:val="TableParagraph"/>
              <w:ind w:right="97"/>
              <w:jc w:val="right"/>
              <w:rPr>
                <w:sz w:val="24"/>
              </w:rPr>
            </w:pPr>
            <w:r>
              <w:rPr>
                <w:sz w:val="24"/>
              </w:rPr>
              <w:t>7,00</w:t>
            </w:r>
          </w:p>
        </w:tc>
      </w:tr>
      <w:tr>
        <w:trPr>
          <w:trHeight w:val="395" w:hRule="atLeast"/>
        </w:trPr>
        <w:tc>
          <w:tcPr>
            <w:tcW w:w="864" w:type="dxa"/>
          </w:tcPr>
          <w:p>
            <w:pPr>
              <w:pStyle w:val="TableParagraph"/>
              <w:ind w:right="96"/>
              <w:jc w:val="right"/>
              <w:rPr>
                <w:sz w:val="24"/>
              </w:rPr>
            </w:pPr>
            <w:r>
              <w:rPr>
                <w:sz w:val="24"/>
              </w:rPr>
              <w:t>48</w:t>
            </w:r>
          </w:p>
        </w:tc>
        <w:tc>
          <w:tcPr>
            <w:tcW w:w="5475" w:type="dxa"/>
          </w:tcPr>
          <w:p>
            <w:pPr>
              <w:pStyle w:val="TableParagraph"/>
              <w:ind w:left="136"/>
              <w:rPr>
                <w:sz w:val="24"/>
              </w:rPr>
            </w:pPr>
            <w:r>
              <w:rPr>
                <w:sz w:val="24"/>
              </w:rPr>
              <w:t>Suprimento de fundos.</w:t>
            </w:r>
          </w:p>
        </w:tc>
        <w:tc>
          <w:tcPr>
            <w:tcW w:w="2016" w:type="dxa"/>
          </w:tcPr>
          <w:p>
            <w:pPr>
              <w:pStyle w:val="TableParagraph"/>
              <w:ind w:left="665"/>
              <w:rPr>
                <w:sz w:val="24"/>
              </w:rPr>
            </w:pPr>
            <w:r>
              <w:rPr>
                <w:sz w:val="24"/>
              </w:rPr>
              <w:t>SOF</w:t>
            </w:r>
          </w:p>
        </w:tc>
        <w:tc>
          <w:tcPr>
            <w:tcW w:w="1586" w:type="dxa"/>
          </w:tcPr>
          <w:p>
            <w:pPr>
              <w:pStyle w:val="TableParagraph"/>
              <w:ind w:left="253" w:right="251"/>
              <w:jc w:val="center"/>
              <w:rPr>
                <w:sz w:val="24"/>
              </w:rPr>
            </w:pPr>
            <w:r>
              <w:rPr>
                <w:sz w:val="24"/>
              </w:rPr>
              <w:t>COFIC</w:t>
            </w:r>
          </w:p>
        </w:tc>
        <w:tc>
          <w:tcPr>
            <w:tcW w:w="1577" w:type="dxa"/>
          </w:tcPr>
          <w:p>
            <w:pPr>
              <w:pStyle w:val="TableParagraph"/>
              <w:ind w:left="86" w:right="79"/>
              <w:jc w:val="center"/>
              <w:rPr>
                <w:sz w:val="24"/>
              </w:rPr>
            </w:pPr>
            <w:r>
              <w:rPr>
                <w:sz w:val="24"/>
              </w:rPr>
              <w:t>SECONGE</w:t>
            </w:r>
          </w:p>
        </w:tc>
        <w:tc>
          <w:tcPr>
            <w:tcW w:w="2191" w:type="dxa"/>
          </w:tcPr>
          <w:p>
            <w:pPr>
              <w:pStyle w:val="TableParagraph"/>
              <w:ind w:right="97"/>
              <w:jc w:val="right"/>
              <w:rPr>
                <w:sz w:val="24"/>
              </w:rPr>
            </w:pPr>
            <w:r>
              <w:rPr>
                <w:sz w:val="24"/>
              </w:rPr>
              <w:t>7,00</w:t>
            </w:r>
          </w:p>
        </w:tc>
      </w:tr>
    </w:tbl>
    <w:p>
      <w:pPr>
        <w:spacing w:after="0"/>
        <w:jc w:val="right"/>
        <w:rPr>
          <w:sz w:val="24"/>
        </w:rPr>
        <w:sectPr>
          <w:pgSz w:w="16840" w:h="11910" w:orient="landscape"/>
          <w:pgMar w:top="560" w:bottom="280" w:left="820" w:right="300"/>
        </w:sectPr>
      </w:pPr>
    </w:p>
    <w:p>
      <w:pPr>
        <w:pStyle w:val="BodyText"/>
        <w:spacing w:before="3"/>
        <w:rPr>
          <w:sz w:val="19"/>
        </w:rPr>
      </w:pPr>
    </w:p>
    <w:p>
      <w:pPr>
        <w:spacing w:before="90"/>
        <w:ind w:left="6025" w:right="6241" w:firstLine="967"/>
        <w:jc w:val="left"/>
        <w:rPr>
          <w:b/>
          <w:sz w:val="24"/>
        </w:rPr>
      </w:pPr>
      <w:r>
        <w:rPr>
          <w:b/>
          <w:sz w:val="24"/>
        </w:rPr>
        <w:t>APÊNDICE II MATRIZ DE RISCO - PAA 2020</w:t>
      </w:r>
    </w:p>
    <w:p>
      <w:pPr>
        <w:pStyle w:val="BodyText"/>
        <w:spacing w:before="2"/>
        <w:rPr>
          <w:b/>
          <w:sz w:val="16"/>
        </w:rPr>
      </w:pPr>
    </w:p>
    <w:p>
      <w:pPr>
        <w:spacing w:before="90"/>
        <w:ind w:left="598" w:right="0" w:firstLine="0"/>
        <w:jc w:val="left"/>
        <w:rPr>
          <w:b/>
          <w:sz w:val="24"/>
        </w:rPr>
      </w:pPr>
      <w:r>
        <w:rPr>
          <w:b/>
          <w:sz w:val="24"/>
        </w:rPr>
        <w:t>CRITÉRIOS DE RISCO:</w:t>
      </w:r>
    </w:p>
    <w:p>
      <w:pPr>
        <w:pStyle w:val="BodyText"/>
        <w:spacing w:before="9"/>
        <w:rPr>
          <w:b/>
          <w:sz w:val="12"/>
        </w:rPr>
      </w:pPr>
    </w:p>
    <w:tbl>
      <w:tblPr>
        <w:tblW w:w="0" w:type="auto"/>
        <w:jc w:val="left"/>
        <w:tblInd w:w="1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5501"/>
      </w:tblGrid>
      <w:tr>
        <w:trPr>
          <w:trHeight w:val="308" w:hRule="atLeast"/>
        </w:trPr>
        <w:tc>
          <w:tcPr>
            <w:tcW w:w="15501" w:type="dxa"/>
          </w:tcPr>
          <w:p>
            <w:pPr>
              <w:pStyle w:val="TableParagraph"/>
              <w:spacing w:line="244" w:lineRule="exact" w:before="0"/>
              <w:ind w:left="200"/>
              <w:rPr>
                <w:sz w:val="22"/>
              </w:rPr>
            </w:pPr>
            <w:r>
              <w:rPr>
                <w:b/>
                <w:sz w:val="22"/>
              </w:rPr>
              <w:t>MATERIALIDADE – </w:t>
            </w:r>
            <w:r>
              <w:rPr>
                <w:sz w:val="22"/>
              </w:rPr>
              <w:t>representatividade dos valores orçamentários ou recursos financeiros/materiais alocados e/ou do volume de bens e valores efetivamente geridos.</w:t>
            </w:r>
          </w:p>
        </w:tc>
      </w:tr>
      <w:tr>
        <w:trPr>
          <w:trHeight w:val="1699" w:hRule="atLeast"/>
        </w:trPr>
        <w:tc>
          <w:tcPr>
            <w:tcW w:w="15501" w:type="dxa"/>
          </w:tcPr>
          <w:p>
            <w:pPr>
              <w:pStyle w:val="TableParagraph"/>
              <w:spacing w:line="252" w:lineRule="exact" w:before="55"/>
              <w:ind w:left="200"/>
              <w:rPr>
                <w:i/>
                <w:sz w:val="22"/>
              </w:rPr>
            </w:pPr>
            <w:r>
              <w:rPr>
                <w:i/>
                <w:sz w:val="22"/>
              </w:rPr>
              <w:t>Graus de avaliação:</w:t>
            </w:r>
          </w:p>
          <w:p>
            <w:pPr>
              <w:pStyle w:val="TableParagraph"/>
              <w:numPr>
                <w:ilvl w:val="0"/>
                <w:numId w:val="10"/>
              </w:numPr>
              <w:tabs>
                <w:tab w:pos="366" w:val="left" w:leader="none"/>
              </w:tabs>
              <w:spacing w:line="252" w:lineRule="exact" w:before="0" w:after="0"/>
              <w:ind w:left="365" w:right="0" w:hanging="166"/>
              <w:jc w:val="left"/>
              <w:rPr>
                <w:sz w:val="22"/>
              </w:rPr>
            </w:pPr>
            <w:r>
              <w:rPr>
                <w:sz w:val="22"/>
              </w:rPr>
              <w:t>– Processo representa menos de 0,01% do orçamento total de 2020 (Valor menor que R$</w:t>
            </w:r>
            <w:r>
              <w:rPr>
                <w:spacing w:val="-14"/>
                <w:sz w:val="22"/>
              </w:rPr>
              <w:t> </w:t>
            </w:r>
            <w:r>
              <w:rPr>
                <w:sz w:val="22"/>
              </w:rPr>
              <w:t>34.470,75);</w:t>
            </w:r>
          </w:p>
          <w:p>
            <w:pPr>
              <w:pStyle w:val="TableParagraph"/>
              <w:numPr>
                <w:ilvl w:val="0"/>
                <w:numId w:val="10"/>
              </w:numPr>
              <w:tabs>
                <w:tab w:pos="366" w:val="left" w:leader="none"/>
              </w:tabs>
              <w:spacing w:line="240" w:lineRule="auto" w:before="2" w:after="0"/>
              <w:ind w:left="200" w:right="3659" w:firstLine="0"/>
              <w:jc w:val="left"/>
              <w:rPr>
                <w:sz w:val="22"/>
              </w:rPr>
            </w:pPr>
            <w:r>
              <w:rPr>
                <w:sz w:val="22"/>
              </w:rPr>
              <w:t>– Processo representa de 0,01% a 1% do orçamento total de 2020 (Valor de R$ 34.470,75 a valor menor do que R$ 3.447.075,01); 3 – Processo representa de 1% a 2% do orçamento total de 2020 (Valor de R$ 3.447.075,01 a valor menor do que R$</w:t>
            </w:r>
            <w:r>
              <w:rPr>
                <w:spacing w:val="-25"/>
                <w:sz w:val="22"/>
              </w:rPr>
              <w:t> </w:t>
            </w:r>
            <w:r>
              <w:rPr>
                <w:sz w:val="22"/>
              </w:rPr>
              <w:t>6.894.150,02);</w:t>
            </w:r>
          </w:p>
          <w:p>
            <w:pPr>
              <w:pStyle w:val="TableParagraph"/>
              <w:spacing w:line="244" w:lineRule="auto" w:before="0"/>
              <w:ind w:left="200" w:right="3379"/>
              <w:rPr>
                <w:sz w:val="22"/>
              </w:rPr>
            </w:pPr>
            <w:r>
              <w:rPr>
                <w:sz w:val="22"/>
              </w:rPr>
              <w:t>4 – Processo representa de 2% a 5% do orçamento total de 2020 (Valor de R$ 6.894.150,02 a valor menor do que R$ 17.235.375,05); e 5 – Processo representa de 5% do orçamento total de 2020 em diante (Valor de R$ 17.235.375,05 em diante).</w:t>
            </w:r>
          </w:p>
        </w:tc>
      </w:tr>
      <w:tr>
        <w:trPr>
          <w:trHeight w:val="2828" w:hRule="atLeast"/>
        </w:trPr>
        <w:tc>
          <w:tcPr>
            <w:tcW w:w="15501" w:type="dxa"/>
          </w:tcPr>
          <w:p>
            <w:pPr>
              <w:pStyle w:val="TableParagraph"/>
              <w:spacing w:before="115"/>
              <w:ind w:left="200"/>
              <w:rPr>
                <w:sz w:val="22"/>
              </w:rPr>
            </w:pPr>
            <w:r>
              <w:rPr>
                <w:b/>
                <w:sz w:val="22"/>
              </w:rPr>
              <w:t>RELEVÂNCIA </w:t>
            </w:r>
            <w:r>
              <w:rPr>
                <w:sz w:val="22"/>
              </w:rPr>
              <w:t>– refere-se à representatividade do papel desempenhado pela área ou atividade a ser avaliada no cumprimento da estratégia organizacional.</w:t>
            </w:r>
          </w:p>
          <w:p>
            <w:pPr>
              <w:pStyle w:val="TableParagraph"/>
              <w:spacing w:line="252" w:lineRule="exact" w:before="119"/>
              <w:ind w:left="200"/>
              <w:rPr>
                <w:i/>
                <w:sz w:val="22"/>
              </w:rPr>
            </w:pPr>
            <w:r>
              <w:rPr>
                <w:i/>
                <w:sz w:val="22"/>
              </w:rPr>
              <w:t>Graus de avaliação:</w:t>
            </w:r>
          </w:p>
          <w:p>
            <w:pPr>
              <w:pStyle w:val="TableParagraph"/>
              <w:numPr>
                <w:ilvl w:val="0"/>
                <w:numId w:val="11"/>
              </w:numPr>
              <w:tabs>
                <w:tab w:pos="366" w:val="left" w:leader="none"/>
              </w:tabs>
              <w:spacing w:line="252" w:lineRule="exact" w:before="0" w:after="0"/>
              <w:ind w:left="365" w:right="0" w:hanging="166"/>
              <w:jc w:val="left"/>
              <w:rPr>
                <w:sz w:val="22"/>
              </w:rPr>
            </w:pPr>
            <w:r>
              <w:rPr>
                <w:sz w:val="22"/>
              </w:rPr>
              <w:t>– Irrelevante: caso o processo seja encerrado, haverá impacto irrelevante na concretização da estratégia do</w:t>
            </w:r>
            <w:r>
              <w:rPr>
                <w:spacing w:val="-12"/>
                <w:sz w:val="22"/>
              </w:rPr>
              <w:t> </w:t>
            </w:r>
            <w:r>
              <w:rPr>
                <w:sz w:val="22"/>
              </w:rPr>
              <w:t>TRE-BA;</w:t>
            </w:r>
          </w:p>
          <w:p>
            <w:pPr>
              <w:pStyle w:val="TableParagraph"/>
              <w:numPr>
                <w:ilvl w:val="0"/>
                <w:numId w:val="11"/>
              </w:numPr>
              <w:tabs>
                <w:tab w:pos="364" w:val="left" w:leader="none"/>
              </w:tabs>
              <w:spacing w:line="240" w:lineRule="auto" w:before="0" w:after="0"/>
              <w:ind w:left="200" w:right="346" w:firstLine="0"/>
              <w:jc w:val="left"/>
              <w:rPr>
                <w:sz w:val="22"/>
              </w:rPr>
            </w:pPr>
            <w:r>
              <w:rPr>
                <w:sz w:val="22"/>
              </w:rPr>
              <w:t>–</w:t>
            </w:r>
            <w:r>
              <w:rPr>
                <w:spacing w:val="-4"/>
                <w:sz w:val="22"/>
              </w:rPr>
              <w:t> </w:t>
            </w:r>
            <w:r>
              <w:rPr>
                <w:sz w:val="22"/>
              </w:rPr>
              <w:t>Baixo:</w:t>
            </w:r>
            <w:r>
              <w:rPr>
                <w:spacing w:val="-3"/>
                <w:sz w:val="22"/>
              </w:rPr>
              <w:t> </w:t>
            </w:r>
            <w:r>
              <w:rPr>
                <w:sz w:val="22"/>
              </w:rPr>
              <w:t>processo</w:t>
            </w:r>
            <w:r>
              <w:rPr>
                <w:spacing w:val="-3"/>
                <w:sz w:val="22"/>
              </w:rPr>
              <w:t> </w:t>
            </w:r>
            <w:r>
              <w:rPr>
                <w:sz w:val="22"/>
              </w:rPr>
              <w:t>que</w:t>
            </w:r>
            <w:r>
              <w:rPr>
                <w:spacing w:val="-2"/>
                <w:sz w:val="22"/>
              </w:rPr>
              <w:t> </w:t>
            </w:r>
            <w:r>
              <w:rPr>
                <w:sz w:val="22"/>
              </w:rPr>
              <w:t>tem</w:t>
            </w:r>
            <w:r>
              <w:rPr>
                <w:spacing w:val="-3"/>
                <w:sz w:val="22"/>
              </w:rPr>
              <w:t> </w:t>
            </w:r>
            <w:r>
              <w:rPr>
                <w:sz w:val="22"/>
              </w:rPr>
              <w:t>característica</w:t>
            </w:r>
            <w:r>
              <w:rPr>
                <w:spacing w:val="-3"/>
                <w:sz w:val="22"/>
              </w:rPr>
              <w:t> </w:t>
            </w:r>
            <w:r>
              <w:rPr>
                <w:sz w:val="22"/>
              </w:rPr>
              <w:t>de</w:t>
            </w:r>
            <w:r>
              <w:rPr>
                <w:spacing w:val="-3"/>
                <w:sz w:val="22"/>
              </w:rPr>
              <w:t> </w:t>
            </w:r>
            <w:r>
              <w:rPr>
                <w:sz w:val="22"/>
              </w:rPr>
              <w:t>suportar</w:t>
            </w:r>
            <w:r>
              <w:rPr>
                <w:spacing w:val="-4"/>
                <w:sz w:val="22"/>
              </w:rPr>
              <w:t> </w:t>
            </w:r>
            <w:r>
              <w:rPr>
                <w:sz w:val="22"/>
              </w:rPr>
              <w:t>processos</w:t>
            </w:r>
            <w:r>
              <w:rPr>
                <w:spacing w:val="-3"/>
                <w:sz w:val="22"/>
              </w:rPr>
              <w:t> </w:t>
            </w:r>
            <w:r>
              <w:rPr>
                <w:sz w:val="22"/>
              </w:rPr>
              <w:t>ligados</w:t>
            </w:r>
            <w:r>
              <w:rPr>
                <w:spacing w:val="-3"/>
                <w:sz w:val="22"/>
              </w:rPr>
              <w:t> </w:t>
            </w:r>
            <w:r>
              <w:rPr>
                <w:sz w:val="22"/>
              </w:rPr>
              <w:t>diretamente</w:t>
            </w:r>
            <w:r>
              <w:rPr>
                <w:spacing w:val="-2"/>
                <w:sz w:val="22"/>
              </w:rPr>
              <w:t> </w:t>
            </w:r>
            <w:r>
              <w:rPr>
                <w:sz w:val="22"/>
              </w:rPr>
              <w:t>à</w:t>
            </w:r>
            <w:r>
              <w:rPr>
                <w:spacing w:val="-3"/>
                <w:sz w:val="22"/>
              </w:rPr>
              <w:t> </w:t>
            </w:r>
            <w:r>
              <w:rPr>
                <w:sz w:val="22"/>
              </w:rPr>
              <w:t>estratégia</w:t>
            </w:r>
            <w:r>
              <w:rPr>
                <w:spacing w:val="-3"/>
                <w:sz w:val="22"/>
              </w:rPr>
              <w:t> </w:t>
            </w:r>
            <w:r>
              <w:rPr>
                <w:sz w:val="22"/>
              </w:rPr>
              <w:t>do</w:t>
            </w:r>
            <w:r>
              <w:rPr>
                <w:spacing w:val="-4"/>
                <w:sz w:val="22"/>
              </w:rPr>
              <w:t> </w:t>
            </w:r>
            <w:r>
              <w:rPr>
                <w:sz w:val="22"/>
              </w:rPr>
              <w:t>TRE-BA.</w:t>
            </w:r>
            <w:r>
              <w:rPr>
                <w:spacing w:val="-3"/>
                <w:sz w:val="22"/>
              </w:rPr>
              <w:t> </w:t>
            </w:r>
            <w:r>
              <w:rPr>
                <w:sz w:val="22"/>
              </w:rPr>
              <w:t>É</w:t>
            </w:r>
            <w:r>
              <w:rPr>
                <w:spacing w:val="-4"/>
                <w:sz w:val="22"/>
              </w:rPr>
              <w:t> </w:t>
            </w:r>
            <w:r>
              <w:rPr>
                <w:sz w:val="22"/>
              </w:rPr>
              <w:t>um</w:t>
            </w:r>
            <w:r>
              <w:rPr>
                <w:spacing w:val="-3"/>
                <w:sz w:val="22"/>
              </w:rPr>
              <w:t> </w:t>
            </w:r>
            <w:r>
              <w:rPr>
                <w:sz w:val="22"/>
              </w:rPr>
              <w:t>risco</w:t>
            </w:r>
            <w:r>
              <w:rPr>
                <w:spacing w:val="-3"/>
                <w:sz w:val="22"/>
              </w:rPr>
              <w:t> </w:t>
            </w:r>
            <w:r>
              <w:rPr>
                <w:sz w:val="22"/>
              </w:rPr>
              <w:t>inerente</w:t>
            </w:r>
            <w:r>
              <w:rPr>
                <w:spacing w:val="-3"/>
                <w:sz w:val="22"/>
              </w:rPr>
              <w:t> </w:t>
            </w:r>
            <w:r>
              <w:rPr>
                <w:sz w:val="22"/>
              </w:rPr>
              <w:t>do</w:t>
            </w:r>
            <w:r>
              <w:rPr>
                <w:spacing w:val="-4"/>
                <w:sz w:val="22"/>
              </w:rPr>
              <w:t> </w:t>
            </w:r>
            <w:r>
              <w:rPr>
                <w:sz w:val="22"/>
              </w:rPr>
              <w:t>processo</w:t>
            </w:r>
            <w:r>
              <w:rPr>
                <w:spacing w:val="-4"/>
                <w:sz w:val="22"/>
              </w:rPr>
              <w:t> </w:t>
            </w:r>
            <w:r>
              <w:rPr>
                <w:sz w:val="22"/>
              </w:rPr>
              <w:t>prejudicar</w:t>
            </w:r>
            <w:r>
              <w:rPr>
                <w:spacing w:val="-2"/>
                <w:sz w:val="22"/>
              </w:rPr>
              <w:t> </w:t>
            </w:r>
            <w:r>
              <w:rPr>
                <w:sz w:val="22"/>
              </w:rPr>
              <w:t>a</w:t>
            </w:r>
            <w:r>
              <w:rPr>
                <w:spacing w:val="-3"/>
                <w:sz w:val="22"/>
              </w:rPr>
              <w:t> </w:t>
            </w:r>
            <w:r>
              <w:rPr>
                <w:sz w:val="22"/>
              </w:rPr>
              <w:t>qualidade</w:t>
            </w:r>
            <w:r>
              <w:rPr>
                <w:spacing w:val="-3"/>
                <w:sz w:val="22"/>
              </w:rPr>
              <w:t> </w:t>
            </w:r>
            <w:r>
              <w:rPr>
                <w:sz w:val="22"/>
              </w:rPr>
              <w:t>ou</w:t>
            </w:r>
            <w:r>
              <w:rPr>
                <w:spacing w:val="-3"/>
                <w:sz w:val="22"/>
              </w:rPr>
              <w:t> </w:t>
            </w:r>
            <w:r>
              <w:rPr>
                <w:sz w:val="22"/>
              </w:rPr>
              <w:t>a eficiência dos processos de suporte ao Planejamento Estratégico do</w:t>
            </w:r>
            <w:r>
              <w:rPr>
                <w:spacing w:val="-3"/>
                <w:sz w:val="22"/>
              </w:rPr>
              <w:t> </w:t>
            </w:r>
            <w:r>
              <w:rPr>
                <w:sz w:val="22"/>
              </w:rPr>
              <w:t>TRE-BA;</w:t>
            </w:r>
          </w:p>
          <w:p>
            <w:pPr>
              <w:pStyle w:val="TableParagraph"/>
              <w:numPr>
                <w:ilvl w:val="0"/>
                <w:numId w:val="11"/>
              </w:numPr>
              <w:tabs>
                <w:tab w:pos="373" w:val="left" w:leader="none"/>
              </w:tabs>
              <w:spacing w:line="240" w:lineRule="auto" w:before="0" w:after="0"/>
              <w:ind w:left="200" w:right="348" w:firstLine="0"/>
              <w:jc w:val="left"/>
              <w:rPr>
                <w:sz w:val="22"/>
              </w:rPr>
            </w:pPr>
            <w:r>
              <w:rPr>
                <w:sz w:val="22"/>
              </w:rPr>
              <w:t>– Médio: processo que tem característica de suportar processos ligados diretamente à estratégia do TRE-BA. É um risco inerente do processo prejudicar a eficácia dos processos de suporte ao Planejamento Estratégico do</w:t>
            </w:r>
            <w:r>
              <w:rPr>
                <w:spacing w:val="-5"/>
                <w:sz w:val="22"/>
              </w:rPr>
              <w:t> </w:t>
            </w:r>
            <w:r>
              <w:rPr>
                <w:sz w:val="22"/>
              </w:rPr>
              <w:t>TRE-BA;</w:t>
            </w:r>
          </w:p>
          <w:p>
            <w:pPr>
              <w:pStyle w:val="TableParagraph"/>
              <w:numPr>
                <w:ilvl w:val="0"/>
                <w:numId w:val="11"/>
              </w:numPr>
              <w:tabs>
                <w:tab w:pos="354" w:val="left" w:leader="none"/>
              </w:tabs>
              <w:spacing w:line="240" w:lineRule="auto" w:before="1" w:after="0"/>
              <w:ind w:left="200" w:right="348" w:firstLine="0"/>
              <w:jc w:val="left"/>
              <w:rPr>
                <w:sz w:val="22"/>
              </w:rPr>
            </w:pPr>
            <w:r>
              <w:rPr>
                <w:sz w:val="22"/>
              </w:rPr>
              <w:t>–</w:t>
            </w:r>
            <w:r>
              <w:rPr>
                <w:spacing w:val="-14"/>
                <w:sz w:val="22"/>
              </w:rPr>
              <w:t> </w:t>
            </w:r>
            <w:r>
              <w:rPr>
                <w:sz w:val="22"/>
              </w:rPr>
              <w:t>Alto:</w:t>
            </w:r>
            <w:r>
              <w:rPr>
                <w:spacing w:val="-15"/>
                <w:sz w:val="22"/>
              </w:rPr>
              <w:t> </w:t>
            </w:r>
            <w:r>
              <w:rPr>
                <w:sz w:val="22"/>
              </w:rPr>
              <w:t>processo</w:t>
            </w:r>
            <w:r>
              <w:rPr>
                <w:spacing w:val="-13"/>
                <w:sz w:val="22"/>
              </w:rPr>
              <w:t> </w:t>
            </w:r>
            <w:r>
              <w:rPr>
                <w:sz w:val="22"/>
              </w:rPr>
              <w:t>diretamente</w:t>
            </w:r>
            <w:r>
              <w:rPr>
                <w:spacing w:val="-16"/>
                <w:sz w:val="22"/>
              </w:rPr>
              <w:t> </w:t>
            </w:r>
            <w:r>
              <w:rPr>
                <w:sz w:val="22"/>
              </w:rPr>
              <w:t>ligado</w:t>
            </w:r>
            <w:r>
              <w:rPr>
                <w:spacing w:val="-15"/>
                <w:sz w:val="22"/>
              </w:rPr>
              <w:t> </w:t>
            </w:r>
            <w:r>
              <w:rPr>
                <w:sz w:val="22"/>
              </w:rPr>
              <w:t>à</w:t>
            </w:r>
            <w:r>
              <w:rPr>
                <w:spacing w:val="-13"/>
                <w:sz w:val="22"/>
              </w:rPr>
              <w:t> </w:t>
            </w:r>
            <w:r>
              <w:rPr>
                <w:sz w:val="22"/>
              </w:rPr>
              <w:t>estratégia</w:t>
            </w:r>
            <w:r>
              <w:rPr>
                <w:spacing w:val="-14"/>
                <w:sz w:val="22"/>
              </w:rPr>
              <w:t> </w:t>
            </w:r>
            <w:r>
              <w:rPr>
                <w:sz w:val="22"/>
              </w:rPr>
              <w:t>do</w:t>
            </w:r>
            <w:r>
              <w:rPr>
                <w:spacing w:val="-14"/>
                <w:sz w:val="22"/>
              </w:rPr>
              <w:t> </w:t>
            </w:r>
            <w:r>
              <w:rPr>
                <w:sz w:val="22"/>
              </w:rPr>
              <w:t>TRE-BA.</w:t>
            </w:r>
            <w:r>
              <w:rPr>
                <w:spacing w:val="-13"/>
                <w:sz w:val="22"/>
              </w:rPr>
              <w:t> </w:t>
            </w:r>
            <w:r>
              <w:rPr>
                <w:sz w:val="22"/>
              </w:rPr>
              <w:t>É</w:t>
            </w:r>
            <w:r>
              <w:rPr>
                <w:spacing w:val="-15"/>
                <w:sz w:val="22"/>
              </w:rPr>
              <w:t> </w:t>
            </w:r>
            <w:r>
              <w:rPr>
                <w:sz w:val="22"/>
              </w:rPr>
              <w:t>um</w:t>
            </w:r>
            <w:r>
              <w:rPr>
                <w:spacing w:val="-12"/>
                <w:sz w:val="22"/>
              </w:rPr>
              <w:t> </w:t>
            </w:r>
            <w:r>
              <w:rPr>
                <w:sz w:val="22"/>
              </w:rPr>
              <w:t>risco</w:t>
            </w:r>
            <w:r>
              <w:rPr>
                <w:spacing w:val="-17"/>
                <w:sz w:val="22"/>
              </w:rPr>
              <w:t> </w:t>
            </w:r>
            <w:r>
              <w:rPr>
                <w:sz w:val="22"/>
              </w:rPr>
              <w:t>inerente</w:t>
            </w:r>
            <w:r>
              <w:rPr>
                <w:spacing w:val="-15"/>
                <w:sz w:val="22"/>
              </w:rPr>
              <w:t> </w:t>
            </w:r>
            <w:r>
              <w:rPr>
                <w:sz w:val="22"/>
              </w:rPr>
              <w:t>do</w:t>
            </w:r>
            <w:r>
              <w:rPr>
                <w:spacing w:val="-14"/>
                <w:sz w:val="22"/>
              </w:rPr>
              <w:t> </w:t>
            </w:r>
            <w:r>
              <w:rPr>
                <w:sz w:val="22"/>
              </w:rPr>
              <w:t>processo</w:t>
            </w:r>
            <w:r>
              <w:rPr>
                <w:spacing w:val="-13"/>
                <w:sz w:val="22"/>
              </w:rPr>
              <w:t> </w:t>
            </w:r>
            <w:r>
              <w:rPr>
                <w:sz w:val="22"/>
              </w:rPr>
              <w:t>prejudicar</w:t>
            </w:r>
            <w:r>
              <w:rPr>
                <w:spacing w:val="-14"/>
                <w:sz w:val="22"/>
              </w:rPr>
              <w:t> </w:t>
            </w:r>
            <w:r>
              <w:rPr>
                <w:sz w:val="22"/>
              </w:rPr>
              <w:t>a</w:t>
            </w:r>
            <w:r>
              <w:rPr>
                <w:spacing w:val="-15"/>
                <w:sz w:val="22"/>
              </w:rPr>
              <w:t> </w:t>
            </w:r>
            <w:r>
              <w:rPr>
                <w:sz w:val="22"/>
              </w:rPr>
              <w:t>qualidade,</w:t>
            </w:r>
            <w:r>
              <w:rPr>
                <w:spacing w:val="-17"/>
                <w:sz w:val="22"/>
              </w:rPr>
              <w:t> </w:t>
            </w:r>
            <w:r>
              <w:rPr>
                <w:sz w:val="22"/>
              </w:rPr>
              <w:t>a</w:t>
            </w:r>
            <w:r>
              <w:rPr>
                <w:spacing w:val="-13"/>
                <w:sz w:val="22"/>
              </w:rPr>
              <w:t> </w:t>
            </w:r>
            <w:r>
              <w:rPr>
                <w:sz w:val="22"/>
              </w:rPr>
              <w:t>eficácia</w:t>
            </w:r>
            <w:r>
              <w:rPr>
                <w:spacing w:val="-15"/>
                <w:sz w:val="22"/>
              </w:rPr>
              <w:t> </w:t>
            </w:r>
            <w:r>
              <w:rPr>
                <w:sz w:val="22"/>
              </w:rPr>
              <w:t>ou</w:t>
            </w:r>
            <w:r>
              <w:rPr>
                <w:spacing w:val="-14"/>
                <w:sz w:val="22"/>
              </w:rPr>
              <w:t> </w:t>
            </w:r>
            <w:r>
              <w:rPr>
                <w:sz w:val="22"/>
              </w:rPr>
              <w:t>a</w:t>
            </w:r>
            <w:r>
              <w:rPr>
                <w:spacing w:val="-15"/>
                <w:sz w:val="22"/>
              </w:rPr>
              <w:t> </w:t>
            </w:r>
            <w:r>
              <w:rPr>
                <w:sz w:val="22"/>
              </w:rPr>
              <w:t>eficiência</w:t>
            </w:r>
            <w:r>
              <w:rPr>
                <w:spacing w:val="-14"/>
                <w:sz w:val="22"/>
              </w:rPr>
              <w:t> </w:t>
            </w:r>
            <w:r>
              <w:rPr>
                <w:sz w:val="22"/>
              </w:rPr>
              <w:t>do</w:t>
            </w:r>
            <w:r>
              <w:rPr>
                <w:spacing w:val="-14"/>
                <w:sz w:val="22"/>
              </w:rPr>
              <w:t> </w:t>
            </w:r>
            <w:r>
              <w:rPr>
                <w:sz w:val="22"/>
              </w:rPr>
              <w:t>Planejamento</w:t>
            </w:r>
            <w:r>
              <w:rPr>
                <w:spacing w:val="-16"/>
                <w:sz w:val="22"/>
              </w:rPr>
              <w:t> </w:t>
            </w:r>
            <w:r>
              <w:rPr>
                <w:sz w:val="22"/>
              </w:rPr>
              <w:t>Estratégico do TRE-BA; e</w:t>
            </w:r>
          </w:p>
          <w:p>
            <w:pPr>
              <w:pStyle w:val="TableParagraph"/>
              <w:numPr>
                <w:ilvl w:val="0"/>
                <w:numId w:val="11"/>
              </w:numPr>
              <w:tabs>
                <w:tab w:pos="366" w:val="left" w:leader="none"/>
              </w:tabs>
              <w:spacing w:line="240" w:lineRule="auto" w:before="2" w:after="0"/>
              <w:ind w:left="365" w:right="0" w:hanging="166"/>
              <w:jc w:val="left"/>
              <w:rPr>
                <w:sz w:val="22"/>
              </w:rPr>
            </w:pPr>
            <w:r>
              <w:rPr>
                <w:sz w:val="22"/>
              </w:rPr>
              <w:t>– Muito Alto: processo diretamente ligado à estratégia do TRE-BA. É um risco inerente do processo impedir a concretização do Planejamento Estratégico do</w:t>
            </w:r>
            <w:r>
              <w:rPr>
                <w:spacing w:val="-33"/>
                <w:sz w:val="22"/>
              </w:rPr>
              <w:t> </w:t>
            </w:r>
            <w:r>
              <w:rPr>
                <w:sz w:val="22"/>
              </w:rPr>
              <w:t>TRE-BA.</w:t>
            </w:r>
          </w:p>
        </w:tc>
      </w:tr>
      <w:tr>
        <w:trPr>
          <w:trHeight w:val="626" w:hRule="atLeast"/>
        </w:trPr>
        <w:tc>
          <w:tcPr>
            <w:tcW w:w="15501" w:type="dxa"/>
          </w:tcPr>
          <w:p>
            <w:pPr>
              <w:pStyle w:val="TableParagraph"/>
              <w:spacing w:line="244" w:lineRule="auto" w:before="54"/>
              <w:ind w:left="200" w:right="164"/>
              <w:rPr>
                <w:sz w:val="22"/>
              </w:rPr>
            </w:pPr>
            <w:r>
              <w:rPr>
                <w:b/>
                <w:sz w:val="22"/>
              </w:rPr>
              <w:t>CRITICIDADE – </w:t>
            </w:r>
            <w:r>
              <w:rPr>
                <w:sz w:val="22"/>
              </w:rPr>
              <w:t>representatividade do quadro de situações críticas efetivas ou potenciais a ser controlado, consubstanciado tempo decorrido desde a última verificação do objeto considerado em procedimento de auditoria.</w:t>
            </w:r>
          </w:p>
        </w:tc>
      </w:tr>
      <w:tr>
        <w:trPr>
          <w:trHeight w:val="1572" w:hRule="atLeast"/>
        </w:trPr>
        <w:tc>
          <w:tcPr>
            <w:tcW w:w="15501" w:type="dxa"/>
          </w:tcPr>
          <w:p>
            <w:pPr>
              <w:pStyle w:val="TableParagraph"/>
              <w:spacing w:line="252" w:lineRule="exact" w:before="54"/>
              <w:ind w:left="200"/>
              <w:jc w:val="both"/>
              <w:rPr>
                <w:i/>
                <w:sz w:val="22"/>
              </w:rPr>
            </w:pPr>
            <w:r>
              <w:rPr>
                <w:i/>
                <w:sz w:val="22"/>
              </w:rPr>
              <w:t>Graus de avaliação:</w:t>
            </w:r>
          </w:p>
          <w:p>
            <w:pPr>
              <w:pStyle w:val="TableParagraph"/>
              <w:numPr>
                <w:ilvl w:val="0"/>
                <w:numId w:val="12"/>
              </w:numPr>
              <w:tabs>
                <w:tab w:pos="366" w:val="left" w:leader="none"/>
              </w:tabs>
              <w:spacing w:line="252" w:lineRule="exact" w:before="0" w:after="0"/>
              <w:ind w:left="365" w:right="0" w:hanging="166"/>
              <w:jc w:val="both"/>
              <w:rPr>
                <w:sz w:val="22"/>
              </w:rPr>
            </w:pPr>
            <w:r>
              <w:rPr>
                <w:sz w:val="22"/>
              </w:rPr>
              <w:t>– Processo avaliado há período igual ou inferior a um</w:t>
            </w:r>
            <w:r>
              <w:rPr>
                <w:spacing w:val="-10"/>
                <w:sz w:val="22"/>
              </w:rPr>
              <w:t> </w:t>
            </w:r>
            <w:r>
              <w:rPr>
                <w:sz w:val="22"/>
              </w:rPr>
              <w:t>ano;</w:t>
            </w:r>
          </w:p>
          <w:p>
            <w:pPr>
              <w:pStyle w:val="TableParagraph"/>
              <w:numPr>
                <w:ilvl w:val="0"/>
                <w:numId w:val="12"/>
              </w:numPr>
              <w:tabs>
                <w:tab w:pos="366" w:val="left" w:leader="none"/>
              </w:tabs>
              <w:spacing w:line="240" w:lineRule="auto" w:before="2" w:after="0"/>
              <w:ind w:left="200" w:right="8365" w:firstLine="0"/>
              <w:jc w:val="both"/>
              <w:rPr>
                <w:sz w:val="22"/>
              </w:rPr>
            </w:pPr>
            <w:r>
              <w:rPr>
                <w:sz w:val="22"/>
              </w:rPr>
              <w:t>– Processo avaliado há período superior a um e igual ou inferior a dois anos; 3 – Processo avaliado há período superior a dois e igual ou inferior a três</w:t>
            </w:r>
            <w:r>
              <w:rPr>
                <w:spacing w:val="-19"/>
                <w:sz w:val="22"/>
              </w:rPr>
              <w:t> </w:t>
            </w:r>
            <w:r>
              <w:rPr>
                <w:sz w:val="22"/>
              </w:rPr>
              <w:t>anos; 4 – Processo avaliado há período superior a três</w:t>
            </w:r>
            <w:r>
              <w:rPr>
                <w:spacing w:val="-8"/>
                <w:sz w:val="22"/>
              </w:rPr>
              <w:t> </w:t>
            </w:r>
            <w:r>
              <w:rPr>
                <w:sz w:val="22"/>
              </w:rPr>
              <w:t>anos;</w:t>
            </w:r>
          </w:p>
          <w:p>
            <w:pPr>
              <w:pStyle w:val="TableParagraph"/>
              <w:spacing w:line="233" w:lineRule="exact" w:before="0"/>
              <w:ind w:left="200"/>
              <w:jc w:val="both"/>
              <w:rPr>
                <w:sz w:val="22"/>
              </w:rPr>
            </w:pPr>
            <w:r>
              <w:rPr>
                <w:sz w:val="22"/>
              </w:rPr>
              <w:t>5 – Processo nunca antes avaliado.</w:t>
            </w:r>
          </w:p>
        </w:tc>
      </w:tr>
    </w:tbl>
    <w:p>
      <w:pPr>
        <w:spacing w:after="0" w:line="233" w:lineRule="exact"/>
        <w:jc w:val="both"/>
        <w:rPr>
          <w:sz w:val="22"/>
        </w:rPr>
        <w:sectPr>
          <w:pgSz w:w="16840" w:h="11910" w:orient="landscape"/>
          <w:pgMar w:top="1100" w:bottom="280" w:left="820" w:right="300"/>
        </w:sectPr>
      </w:pPr>
    </w:p>
    <w:p>
      <w:pPr>
        <w:pStyle w:val="BodyText"/>
        <w:rPr>
          <w:b/>
          <w:sz w:val="20"/>
        </w:rPr>
      </w:pPr>
    </w:p>
    <w:p>
      <w:pPr>
        <w:pStyle w:val="BodyText"/>
        <w:rPr>
          <w:b/>
          <w:sz w:val="20"/>
        </w:rPr>
      </w:pPr>
    </w:p>
    <w:p>
      <w:pPr>
        <w:pStyle w:val="BodyText"/>
        <w:spacing w:before="6"/>
        <w:rPr>
          <w:b/>
          <w:sz w:val="21"/>
        </w:rPr>
      </w:pPr>
    </w:p>
    <w:p>
      <w:pPr>
        <w:spacing w:before="0"/>
        <w:ind w:left="4658" w:right="4891" w:firstLine="0"/>
        <w:jc w:val="center"/>
        <w:rPr>
          <w:b/>
          <w:sz w:val="24"/>
        </w:rPr>
      </w:pPr>
      <w:r>
        <w:rPr>
          <w:b/>
          <w:sz w:val="24"/>
        </w:rPr>
        <w:t>APÊNDICE III</w:t>
      </w:r>
    </w:p>
    <w:p>
      <w:pPr>
        <w:spacing w:before="120"/>
        <w:ind w:left="4658" w:right="4892" w:firstLine="0"/>
        <w:jc w:val="center"/>
        <w:rPr>
          <w:b/>
          <w:sz w:val="24"/>
        </w:rPr>
      </w:pPr>
      <w:r>
        <w:rPr>
          <w:b/>
          <w:sz w:val="24"/>
        </w:rPr>
        <w:t>HORAS DISPONÍVEIS PARA AUDITORIA INTERNA</w:t>
      </w:r>
    </w:p>
    <w:p>
      <w:pPr>
        <w:pStyle w:val="BodyText"/>
        <w:spacing w:before="6"/>
        <w:rPr>
          <w:b/>
          <w:sz w:val="10"/>
        </w:rPr>
      </w:pPr>
    </w:p>
    <w:tbl>
      <w:tblPr>
        <w:tblW w:w="0" w:type="auto"/>
        <w:jc w:val="left"/>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105"/>
        <w:gridCol w:w="2772"/>
        <w:gridCol w:w="2511"/>
        <w:gridCol w:w="2420"/>
        <w:gridCol w:w="2470"/>
      </w:tblGrid>
      <w:tr>
        <w:trPr>
          <w:trHeight w:val="395" w:hRule="atLeast"/>
        </w:trPr>
        <w:tc>
          <w:tcPr>
            <w:tcW w:w="4105" w:type="dxa"/>
          </w:tcPr>
          <w:p>
            <w:pPr>
              <w:pStyle w:val="TableParagraph"/>
              <w:spacing w:line="275" w:lineRule="exact" w:before="0"/>
              <w:ind w:left="1332"/>
              <w:rPr>
                <w:b/>
                <w:sz w:val="24"/>
              </w:rPr>
            </w:pPr>
            <w:r>
              <w:rPr>
                <w:b/>
                <w:sz w:val="24"/>
              </w:rPr>
              <w:t>DESCRIÇÃO</w:t>
            </w:r>
          </w:p>
        </w:tc>
        <w:tc>
          <w:tcPr>
            <w:tcW w:w="2772" w:type="dxa"/>
          </w:tcPr>
          <w:p>
            <w:pPr>
              <w:pStyle w:val="TableParagraph"/>
              <w:spacing w:line="275" w:lineRule="exact" w:before="0"/>
              <w:ind w:left="671"/>
              <w:rPr>
                <w:b/>
                <w:sz w:val="24"/>
              </w:rPr>
            </w:pPr>
            <w:r>
              <w:rPr>
                <w:b/>
                <w:sz w:val="24"/>
              </w:rPr>
              <w:t>AUDITORES</w:t>
            </w:r>
          </w:p>
        </w:tc>
        <w:tc>
          <w:tcPr>
            <w:tcW w:w="2511" w:type="dxa"/>
          </w:tcPr>
          <w:p>
            <w:pPr>
              <w:pStyle w:val="TableParagraph"/>
              <w:spacing w:line="275" w:lineRule="exact" w:before="0"/>
              <w:ind w:left="333"/>
              <w:rPr>
                <w:b/>
                <w:sz w:val="24"/>
              </w:rPr>
            </w:pPr>
            <w:r>
              <w:rPr>
                <w:b/>
                <w:sz w:val="24"/>
              </w:rPr>
              <w:t>SUPERVISORES</w:t>
            </w:r>
          </w:p>
        </w:tc>
        <w:tc>
          <w:tcPr>
            <w:tcW w:w="2420" w:type="dxa"/>
          </w:tcPr>
          <w:p>
            <w:pPr>
              <w:pStyle w:val="TableParagraph"/>
              <w:spacing w:line="275" w:lineRule="exact" w:before="0"/>
              <w:ind w:left="554"/>
              <w:rPr>
                <w:b/>
                <w:sz w:val="24"/>
              </w:rPr>
            </w:pPr>
            <w:r>
              <w:rPr>
                <w:b/>
                <w:sz w:val="24"/>
              </w:rPr>
              <w:t>GERENTES</w:t>
            </w:r>
          </w:p>
        </w:tc>
        <w:tc>
          <w:tcPr>
            <w:tcW w:w="2470" w:type="dxa"/>
          </w:tcPr>
          <w:p>
            <w:pPr>
              <w:pStyle w:val="TableParagraph"/>
              <w:spacing w:line="275" w:lineRule="exact" w:before="0"/>
              <w:ind w:left="779"/>
              <w:rPr>
                <w:b/>
                <w:sz w:val="24"/>
              </w:rPr>
            </w:pPr>
            <w:r>
              <w:rPr>
                <w:b/>
                <w:sz w:val="24"/>
              </w:rPr>
              <w:t>TOTAIS</w:t>
            </w:r>
          </w:p>
        </w:tc>
      </w:tr>
      <w:tr>
        <w:trPr>
          <w:trHeight w:val="398" w:hRule="atLeast"/>
        </w:trPr>
        <w:tc>
          <w:tcPr>
            <w:tcW w:w="4105" w:type="dxa"/>
          </w:tcPr>
          <w:p>
            <w:pPr>
              <w:pStyle w:val="TableParagraph"/>
              <w:spacing w:before="1"/>
              <w:ind w:left="107"/>
              <w:rPr>
                <w:sz w:val="24"/>
              </w:rPr>
            </w:pPr>
            <w:r>
              <w:rPr>
                <w:sz w:val="24"/>
              </w:rPr>
              <w:t>Quadro Efetivo</w:t>
            </w:r>
          </w:p>
        </w:tc>
        <w:tc>
          <w:tcPr>
            <w:tcW w:w="2772" w:type="dxa"/>
          </w:tcPr>
          <w:p>
            <w:pPr>
              <w:pStyle w:val="TableParagraph"/>
              <w:spacing w:before="1"/>
              <w:ind w:right="96"/>
              <w:jc w:val="right"/>
              <w:rPr>
                <w:sz w:val="24"/>
              </w:rPr>
            </w:pPr>
            <w:r>
              <w:rPr>
                <w:sz w:val="24"/>
              </w:rPr>
              <w:t>9</w:t>
            </w:r>
          </w:p>
        </w:tc>
        <w:tc>
          <w:tcPr>
            <w:tcW w:w="2511" w:type="dxa"/>
          </w:tcPr>
          <w:p>
            <w:pPr>
              <w:pStyle w:val="TableParagraph"/>
              <w:spacing w:before="1"/>
              <w:ind w:right="98"/>
              <w:jc w:val="right"/>
              <w:rPr>
                <w:sz w:val="24"/>
              </w:rPr>
            </w:pPr>
            <w:r>
              <w:rPr>
                <w:sz w:val="24"/>
              </w:rPr>
              <w:t>1</w:t>
            </w:r>
          </w:p>
        </w:tc>
        <w:tc>
          <w:tcPr>
            <w:tcW w:w="2420" w:type="dxa"/>
          </w:tcPr>
          <w:p>
            <w:pPr>
              <w:pStyle w:val="TableParagraph"/>
              <w:spacing w:before="1"/>
              <w:ind w:right="96"/>
              <w:jc w:val="right"/>
              <w:rPr>
                <w:sz w:val="24"/>
              </w:rPr>
            </w:pPr>
            <w:r>
              <w:rPr>
                <w:sz w:val="24"/>
              </w:rPr>
              <w:t>3</w:t>
            </w:r>
          </w:p>
        </w:tc>
        <w:tc>
          <w:tcPr>
            <w:tcW w:w="2470" w:type="dxa"/>
          </w:tcPr>
          <w:p>
            <w:pPr>
              <w:pStyle w:val="TableParagraph"/>
              <w:spacing w:before="1"/>
              <w:ind w:right="98"/>
              <w:jc w:val="right"/>
              <w:rPr>
                <w:sz w:val="24"/>
              </w:rPr>
            </w:pPr>
            <w:r>
              <w:rPr>
                <w:sz w:val="24"/>
              </w:rPr>
              <w:t>13</w:t>
            </w:r>
          </w:p>
        </w:tc>
      </w:tr>
      <w:tr>
        <w:trPr>
          <w:trHeight w:val="398" w:hRule="atLeast"/>
        </w:trPr>
        <w:tc>
          <w:tcPr>
            <w:tcW w:w="4105" w:type="dxa"/>
          </w:tcPr>
          <w:p>
            <w:pPr>
              <w:pStyle w:val="TableParagraph"/>
              <w:spacing w:line="275" w:lineRule="exact" w:before="0"/>
              <w:ind w:left="107"/>
              <w:rPr>
                <w:sz w:val="24"/>
              </w:rPr>
            </w:pPr>
            <w:r>
              <w:rPr>
                <w:sz w:val="24"/>
              </w:rPr>
              <w:t>Total de horas (1)</w:t>
            </w:r>
          </w:p>
        </w:tc>
        <w:tc>
          <w:tcPr>
            <w:tcW w:w="2772" w:type="dxa"/>
          </w:tcPr>
          <w:p>
            <w:pPr>
              <w:pStyle w:val="TableParagraph"/>
              <w:spacing w:line="275" w:lineRule="exact" w:before="0"/>
              <w:ind w:right="96"/>
              <w:jc w:val="right"/>
              <w:rPr>
                <w:sz w:val="24"/>
              </w:rPr>
            </w:pPr>
            <w:r>
              <w:rPr>
                <w:sz w:val="24"/>
              </w:rPr>
              <w:t>14.256</w:t>
            </w:r>
          </w:p>
        </w:tc>
        <w:tc>
          <w:tcPr>
            <w:tcW w:w="2511" w:type="dxa"/>
          </w:tcPr>
          <w:p>
            <w:pPr>
              <w:pStyle w:val="TableParagraph"/>
              <w:spacing w:line="275" w:lineRule="exact" w:before="0"/>
              <w:ind w:right="98"/>
              <w:jc w:val="right"/>
              <w:rPr>
                <w:sz w:val="24"/>
              </w:rPr>
            </w:pPr>
            <w:r>
              <w:rPr>
                <w:sz w:val="24"/>
              </w:rPr>
              <w:t>950</w:t>
            </w:r>
          </w:p>
        </w:tc>
        <w:tc>
          <w:tcPr>
            <w:tcW w:w="2420" w:type="dxa"/>
          </w:tcPr>
          <w:p>
            <w:pPr>
              <w:pStyle w:val="TableParagraph"/>
              <w:spacing w:line="275" w:lineRule="exact" w:before="0"/>
              <w:ind w:right="96"/>
              <w:jc w:val="right"/>
              <w:rPr>
                <w:sz w:val="24"/>
              </w:rPr>
            </w:pPr>
            <w:r>
              <w:rPr>
                <w:sz w:val="24"/>
              </w:rPr>
              <w:t>3.801</w:t>
            </w:r>
          </w:p>
        </w:tc>
        <w:tc>
          <w:tcPr>
            <w:tcW w:w="2470" w:type="dxa"/>
          </w:tcPr>
          <w:p>
            <w:pPr>
              <w:pStyle w:val="TableParagraph"/>
              <w:spacing w:line="275" w:lineRule="exact" w:before="0"/>
              <w:ind w:right="98"/>
              <w:jc w:val="right"/>
              <w:rPr>
                <w:sz w:val="24"/>
              </w:rPr>
            </w:pPr>
            <w:r>
              <w:rPr>
                <w:sz w:val="24"/>
              </w:rPr>
              <w:t>19.007</w:t>
            </w:r>
          </w:p>
        </w:tc>
      </w:tr>
      <w:tr>
        <w:trPr>
          <w:trHeight w:val="551" w:hRule="atLeast"/>
        </w:trPr>
        <w:tc>
          <w:tcPr>
            <w:tcW w:w="4105" w:type="dxa"/>
          </w:tcPr>
          <w:p>
            <w:pPr>
              <w:pStyle w:val="TableParagraph"/>
              <w:spacing w:line="276" w:lineRule="exact" w:before="2"/>
              <w:ind w:left="107" w:right="1049"/>
              <w:rPr>
                <w:sz w:val="24"/>
              </w:rPr>
            </w:pPr>
            <w:r>
              <w:rPr>
                <w:sz w:val="24"/>
              </w:rPr>
              <w:t>Acompanhamento de ações fiscalizatórias monitoradas (2)</w:t>
            </w:r>
          </w:p>
        </w:tc>
        <w:tc>
          <w:tcPr>
            <w:tcW w:w="2772" w:type="dxa"/>
          </w:tcPr>
          <w:p>
            <w:pPr>
              <w:pStyle w:val="TableParagraph"/>
              <w:spacing w:line="275" w:lineRule="exact" w:before="0"/>
              <w:ind w:right="96"/>
              <w:jc w:val="right"/>
              <w:rPr>
                <w:sz w:val="24"/>
              </w:rPr>
            </w:pPr>
            <w:r>
              <w:rPr>
                <w:color w:val="FF0000"/>
                <w:sz w:val="24"/>
              </w:rPr>
              <w:t>-864</w:t>
            </w:r>
          </w:p>
        </w:tc>
        <w:tc>
          <w:tcPr>
            <w:tcW w:w="2511" w:type="dxa"/>
          </w:tcPr>
          <w:p>
            <w:pPr>
              <w:pStyle w:val="TableParagraph"/>
              <w:spacing w:line="275" w:lineRule="exact" w:before="0"/>
              <w:ind w:right="98"/>
              <w:jc w:val="right"/>
              <w:rPr>
                <w:sz w:val="24"/>
              </w:rPr>
            </w:pPr>
            <w:r>
              <w:rPr>
                <w:color w:val="FF0000"/>
                <w:sz w:val="24"/>
              </w:rPr>
              <w:t>-9</w:t>
            </w:r>
          </w:p>
        </w:tc>
        <w:tc>
          <w:tcPr>
            <w:tcW w:w="2420" w:type="dxa"/>
          </w:tcPr>
          <w:p>
            <w:pPr>
              <w:pStyle w:val="TableParagraph"/>
              <w:spacing w:line="275" w:lineRule="exact" w:before="0"/>
              <w:ind w:right="96"/>
              <w:jc w:val="right"/>
              <w:rPr>
                <w:sz w:val="24"/>
              </w:rPr>
            </w:pPr>
            <w:r>
              <w:rPr>
                <w:color w:val="FF0000"/>
                <w:sz w:val="24"/>
              </w:rPr>
              <w:t>-228</w:t>
            </w:r>
          </w:p>
        </w:tc>
        <w:tc>
          <w:tcPr>
            <w:tcW w:w="2470" w:type="dxa"/>
          </w:tcPr>
          <w:p>
            <w:pPr>
              <w:pStyle w:val="TableParagraph"/>
              <w:spacing w:line="275" w:lineRule="exact" w:before="0"/>
              <w:ind w:right="98"/>
              <w:jc w:val="right"/>
              <w:rPr>
                <w:sz w:val="24"/>
              </w:rPr>
            </w:pPr>
            <w:r>
              <w:rPr>
                <w:color w:val="FF0000"/>
                <w:sz w:val="24"/>
              </w:rPr>
              <w:t>-1.101</w:t>
            </w:r>
          </w:p>
        </w:tc>
      </w:tr>
      <w:tr>
        <w:trPr>
          <w:trHeight w:val="393" w:hRule="atLeast"/>
        </w:trPr>
        <w:tc>
          <w:tcPr>
            <w:tcW w:w="4105" w:type="dxa"/>
          </w:tcPr>
          <w:p>
            <w:pPr>
              <w:pStyle w:val="TableParagraph"/>
              <w:spacing w:line="273" w:lineRule="exact" w:before="0"/>
              <w:ind w:left="107"/>
              <w:rPr>
                <w:sz w:val="24"/>
              </w:rPr>
            </w:pPr>
            <w:r>
              <w:rPr>
                <w:sz w:val="24"/>
              </w:rPr>
              <w:t>Afastamento (inclusive férias) (3)</w:t>
            </w:r>
          </w:p>
        </w:tc>
        <w:tc>
          <w:tcPr>
            <w:tcW w:w="2772" w:type="dxa"/>
          </w:tcPr>
          <w:p>
            <w:pPr>
              <w:pStyle w:val="TableParagraph"/>
              <w:spacing w:line="273" w:lineRule="exact" w:before="0"/>
              <w:ind w:right="96"/>
              <w:jc w:val="right"/>
              <w:rPr>
                <w:sz w:val="24"/>
              </w:rPr>
            </w:pPr>
            <w:r>
              <w:rPr>
                <w:color w:val="FF0000"/>
                <w:sz w:val="24"/>
              </w:rPr>
              <w:t>-2.376</w:t>
            </w:r>
          </w:p>
        </w:tc>
        <w:tc>
          <w:tcPr>
            <w:tcW w:w="2511" w:type="dxa"/>
          </w:tcPr>
          <w:p>
            <w:pPr>
              <w:pStyle w:val="TableParagraph"/>
              <w:spacing w:line="273" w:lineRule="exact" w:before="0"/>
              <w:ind w:right="98"/>
              <w:jc w:val="right"/>
              <w:rPr>
                <w:sz w:val="24"/>
              </w:rPr>
            </w:pPr>
            <w:r>
              <w:rPr>
                <w:color w:val="FF0000"/>
                <w:sz w:val="24"/>
              </w:rPr>
              <w:t>-132</w:t>
            </w:r>
          </w:p>
        </w:tc>
        <w:tc>
          <w:tcPr>
            <w:tcW w:w="2420" w:type="dxa"/>
          </w:tcPr>
          <w:p>
            <w:pPr>
              <w:pStyle w:val="TableParagraph"/>
              <w:spacing w:line="273" w:lineRule="exact" w:before="0"/>
              <w:ind w:right="96"/>
              <w:jc w:val="right"/>
              <w:rPr>
                <w:sz w:val="24"/>
              </w:rPr>
            </w:pPr>
            <w:r>
              <w:rPr>
                <w:color w:val="FF0000"/>
                <w:sz w:val="24"/>
              </w:rPr>
              <w:t>-396</w:t>
            </w:r>
          </w:p>
        </w:tc>
        <w:tc>
          <w:tcPr>
            <w:tcW w:w="2470" w:type="dxa"/>
          </w:tcPr>
          <w:p>
            <w:pPr>
              <w:pStyle w:val="TableParagraph"/>
              <w:spacing w:line="273" w:lineRule="exact" w:before="0"/>
              <w:ind w:right="98"/>
              <w:jc w:val="right"/>
              <w:rPr>
                <w:sz w:val="24"/>
              </w:rPr>
            </w:pPr>
            <w:r>
              <w:rPr>
                <w:color w:val="FF0000"/>
                <w:sz w:val="24"/>
              </w:rPr>
              <w:t>-2.904</w:t>
            </w:r>
          </w:p>
        </w:tc>
      </w:tr>
      <w:tr>
        <w:trPr>
          <w:trHeight w:val="551" w:hRule="atLeast"/>
        </w:trPr>
        <w:tc>
          <w:tcPr>
            <w:tcW w:w="4105" w:type="dxa"/>
          </w:tcPr>
          <w:p>
            <w:pPr>
              <w:pStyle w:val="TableParagraph"/>
              <w:spacing w:line="276" w:lineRule="exact" w:before="2"/>
              <w:ind w:left="107" w:right="108"/>
              <w:rPr>
                <w:sz w:val="24"/>
              </w:rPr>
            </w:pPr>
            <w:r>
              <w:rPr>
                <w:sz w:val="24"/>
              </w:rPr>
              <w:t>Elaboração de Relatório de Gestão – TCU (4)</w:t>
            </w:r>
          </w:p>
        </w:tc>
        <w:tc>
          <w:tcPr>
            <w:tcW w:w="2772" w:type="dxa"/>
          </w:tcPr>
          <w:p>
            <w:pPr>
              <w:pStyle w:val="TableParagraph"/>
              <w:spacing w:line="275" w:lineRule="exact" w:before="0"/>
              <w:ind w:right="96"/>
              <w:jc w:val="right"/>
              <w:rPr>
                <w:sz w:val="24"/>
              </w:rPr>
            </w:pPr>
            <w:r>
              <w:rPr>
                <w:color w:val="FF0000"/>
                <w:sz w:val="24"/>
              </w:rPr>
              <w:t>-1.188</w:t>
            </w:r>
          </w:p>
        </w:tc>
        <w:tc>
          <w:tcPr>
            <w:tcW w:w="2511" w:type="dxa"/>
          </w:tcPr>
          <w:p>
            <w:pPr>
              <w:pStyle w:val="TableParagraph"/>
              <w:spacing w:line="275" w:lineRule="exact" w:before="0"/>
              <w:ind w:right="98"/>
              <w:jc w:val="right"/>
              <w:rPr>
                <w:sz w:val="24"/>
              </w:rPr>
            </w:pPr>
            <w:r>
              <w:rPr>
                <w:color w:val="FF0000"/>
                <w:sz w:val="24"/>
              </w:rPr>
              <w:t>-52</w:t>
            </w:r>
          </w:p>
        </w:tc>
        <w:tc>
          <w:tcPr>
            <w:tcW w:w="2420" w:type="dxa"/>
          </w:tcPr>
          <w:p>
            <w:pPr>
              <w:pStyle w:val="TableParagraph"/>
              <w:spacing w:line="275" w:lineRule="exact" w:before="0"/>
              <w:ind w:right="96"/>
              <w:jc w:val="right"/>
              <w:rPr>
                <w:sz w:val="24"/>
              </w:rPr>
            </w:pPr>
            <w:r>
              <w:rPr>
                <w:color w:val="FF0000"/>
                <w:sz w:val="24"/>
              </w:rPr>
              <w:t>-315</w:t>
            </w:r>
          </w:p>
        </w:tc>
        <w:tc>
          <w:tcPr>
            <w:tcW w:w="2470" w:type="dxa"/>
          </w:tcPr>
          <w:p>
            <w:pPr>
              <w:pStyle w:val="TableParagraph"/>
              <w:spacing w:line="275" w:lineRule="exact" w:before="0"/>
              <w:ind w:right="98"/>
              <w:jc w:val="right"/>
              <w:rPr>
                <w:sz w:val="24"/>
              </w:rPr>
            </w:pPr>
            <w:r>
              <w:rPr>
                <w:color w:val="FF0000"/>
                <w:sz w:val="24"/>
              </w:rPr>
              <w:t>-1.555</w:t>
            </w:r>
          </w:p>
        </w:tc>
      </w:tr>
      <w:tr>
        <w:trPr>
          <w:trHeight w:val="828" w:hRule="atLeast"/>
        </w:trPr>
        <w:tc>
          <w:tcPr>
            <w:tcW w:w="4105" w:type="dxa"/>
          </w:tcPr>
          <w:p>
            <w:pPr>
              <w:pStyle w:val="TableParagraph"/>
              <w:spacing w:line="276" w:lineRule="exact" w:before="2"/>
              <w:ind w:left="107" w:right="108"/>
              <w:rPr>
                <w:sz w:val="24"/>
              </w:rPr>
            </w:pPr>
            <w:r>
              <w:rPr>
                <w:sz w:val="24"/>
              </w:rPr>
              <w:t>Emissão de opinativo sobre os controles internos adotados na elaboração das demonstrações contábeis (5)</w:t>
            </w:r>
          </w:p>
        </w:tc>
        <w:tc>
          <w:tcPr>
            <w:tcW w:w="2772" w:type="dxa"/>
          </w:tcPr>
          <w:p>
            <w:pPr>
              <w:pStyle w:val="TableParagraph"/>
              <w:spacing w:line="275" w:lineRule="exact" w:before="0"/>
              <w:ind w:right="96"/>
              <w:jc w:val="right"/>
              <w:rPr>
                <w:sz w:val="24"/>
              </w:rPr>
            </w:pPr>
            <w:r>
              <w:rPr>
                <w:color w:val="FF0000"/>
                <w:sz w:val="24"/>
              </w:rPr>
              <w:t>-918</w:t>
            </w:r>
          </w:p>
        </w:tc>
        <w:tc>
          <w:tcPr>
            <w:tcW w:w="2511" w:type="dxa"/>
          </w:tcPr>
          <w:p>
            <w:pPr>
              <w:pStyle w:val="TableParagraph"/>
              <w:spacing w:line="275" w:lineRule="exact" w:before="0"/>
              <w:ind w:right="98"/>
              <w:jc w:val="right"/>
              <w:rPr>
                <w:sz w:val="24"/>
              </w:rPr>
            </w:pPr>
            <w:r>
              <w:rPr>
                <w:color w:val="FF0000"/>
                <w:sz w:val="24"/>
              </w:rPr>
              <w:t>-5</w:t>
            </w:r>
          </w:p>
        </w:tc>
        <w:tc>
          <w:tcPr>
            <w:tcW w:w="2420" w:type="dxa"/>
          </w:tcPr>
          <w:p>
            <w:pPr>
              <w:pStyle w:val="TableParagraph"/>
              <w:spacing w:line="275" w:lineRule="exact" w:before="0"/>
              <w:ind w:right="96"/>
              <w:jc w:val="right"/>
              <w:rPr>
                <w:sz w:val="24"/>
              </w:rPr>
            </w:pPr>
            <w:r>
              <w:rPr>
                <w:color w:val="FF0000"/>
                <w:sz w:val="24"/>
              </w:rPr>
              <w:t>-243</w:t>
            </w:r>
          </w:p>
        </w:tc>
        <w:tc>
          <w:tcPr>
            <w:tcW w:w="2470" w:type="dxa"/>
          </w:tcPr>
          <w:p>
            <w:pPr>
              <w:pStyle w:val="TableParagraph"/>
              <w:spacing w:line="275" w:lineRule="exact" w:before="0"/>
              <w:ind w:right="98"/>
              <w:jc w:val="right"/>
              <w:rPr>
                <w:sz w:val="24"/>
              </w:rPr>
            </w:pPr>
            <w:r>
              <w:rPr>
                <w:color w:val="FF0000"/>
                <w:sz w:val="24"/>
              </w:rPr>
              <w:t>-1.166</w:t>
            </w:r>
          </w:p>
        </w:tc>
      </w:tr>
      <w:tr>
        <w:trPr>
          <w:trHeight w:val="549" w:hRule="atLeast"/>
        </w:trPr>
        <w:tc>
          <w:tcPr>
            <w:tcW w:w="4105" w:type="dxa"/>
          </w:tcPr>
          <w:p>
            <w:pPr>
              <w:pStyle w:val="TableParagraph"/>
              <w:spacing w:line="276" w:lineRule="exact" w:before="0"/>
              <w:ind w:left="107" w:right="249"/>
              <w:rPr>
                <w:sz w:val="24"/>
              </w:rPr>
            </w:pPr>
            <w:r>
              <w:rPr>
                <w:sz w:val="24"/>
              </w:rPr>
              <w:t>Emissão de parecer em atos de pessoal (6)</w:t>
            </w:r>
          </w:p>
        </w:tc>
        <w:tc>
          <w:tcPr>
            <w:tcW w:w="2772" w:type="dxa"/>
          </w:tcPr>
          <w:p>
            <w:pPr>
              <w:pStyle w:val="TableParagraph"/>
              <w:spacing w:line="273" w:lineRule="exact" w:before="0"/>
              <w:ind w:right="96"/>
              <w:jc w:val="right"/>
              <w:rPr>
                <w:sz w:val="24"/>
              </w:rPr>
            </w:pPr>
            <w:r>
              <w:rPr>
                <w:color w:val="FF0000"/>
                <w:sz w:val="24"/>
              </w:rPr>
              <w:t>-1.188</w:t>
            </w:r>
          </w:p>
        </w:tc>
        <w:tc>
          <w:tcPr>
            <w:tcW w:w="2511" w:type="dxa"/>
          </w:tcPr>
          <w:p>
            <w:pPr>
              <w:pStyle w:val="TableParagraph"/>
              <w:spacing w:line="273" w:lineRule="exact" w:before="0"/>
              <w:ind w:right="98"/>
              <w:jc w:val="right"/>
              <w:rPr>
                <w:sz w:val="24"/>
              </w:rPr>
            </w:pPr>
            <w:r>
              <w:rPr>
                <w:color w:val="FF0000"/>
                <w:sz w:val="24"/>
              </w:rPr>
              <w:t>-13</w:t>
            </w:r>
          </w:p>
        </w:tc>
        <w:tc>
          <w:tcPr>
            <w:tcW w:w="2420" w:type="dxa"/>
          </w:tcPr>
          <w:p>
            <w:pPr>
              <w:pStyle w:val="TableParagraph"/>
              <w:spacing w:line="273" w:lineRule="exact" w:before="0"/>
              <w:ind w:right="96"/>
              <w:jc w:val="right"/>
              <w:rPr>
                <w:sz w:val="24"/>
              </w:rPr>
            </w:pPr>
            <w:r>
              <w:rPr>
                <w:color w:val="FF0000"/>
                <w:sz w:val="24"/>
              </w:rPr>
              <w:t>-276</w:t>
            </w:r>
          </w:p>
        </w:tc>
        <w:tc>
          <w:tcPr>
            <w:tcW w:w="2470" w:type="dxa"/>
          </w:tcPr>
          <w:p>
            <w:pPr>
              <w:pStyle w:val="TableParagraph"/>
              <w:spacing w:line="273" w:lineRule="exact" w:before="0"/>
              <w:ind w:right="98"/>
              <w:jc w:val="right"/>
              <w:rPr>
                <w:sz w:val="24"/>
              </w:rPr>
            </w:pPr>
            <w:r>
              <w:rPr>
                <w:color w:val="FF0000"/>
                <w:sz w:val="24"/>
              </w:rPr>
              <w:t>-1.477</w:t>
            </w:r>
          </w:p>
        </w:tc>
      </w:tr>
      <w:tr>
        <w:trPr>
          <w:trHeight w:val="549" w:hRule="atLeast"/>
        </w:trPr>
        <w:tc>
          <w:tcPr>
            <w:tcW w:w="4105" w:type="dxa"/>
          </w:tcPr>
          <w:p>
            <w:pPr>
              <w:pStyle w:val="TableParagraph"/>
              <w:spacing w:line="276" w:lineRule="exact" w:before="0"/>
              <w:ind w:left="107"/>
              <w:rPr>
                <w:sz w:val="24"/>
              </w:rPr>
            </w:pPr>
            <w:r>
              <w:rPr>
                <w:sz w:val="24"/>
              </w:rPr>
              <w:t>Monitoramento de ações fiscalizatórias pretéritas (7)</w:t>
            </w:r>
          </w:p>
        </w:tc>
        <w:tc>
          <w:tcPr>
            <w:tcW w:w="2772" w:type="dxa"/>
          </w:tcPr>
          <w:p>
            <w:pPr>
              <w:pStyle w:val="TableParagraph"/>
              <w:spacing w:line="273" w:lineRule="exact" w:before="0"/>
              <w:ind w:right="96"/>
              <w:jc w:val="right"/>
              <w:rPr>
                <w:sz w:val="24"/>
              </w:rPr>
            </w:pPr>
            <w:r>
              <w:rPr>
                <w:color w:val="FF0000"/>
                <w:sz w:val="24"/>
              </w:rPr>
              <w:t>-1.845</w:t>
            </w:r>
          </w:p>
        </w:tc>
        <w:tc>
          <w:tcPr>
            <w:tcW w:w="2511" w:type="dxa"/>
          </w:tcPr>
          <w:p>
            <w:pPr>
              <w:pStyle w:val="TableParagraph"/>
              <w:spacing w:line="273" w:lineRule="exact" w:before="0"/>
              <w:ind w:right="98"/>
              <w:jc w:val="right"/>
              <w:rPr>
                <w:sz w:val="24"/>
              </w:rPr>
            </w:pPr>
            <w:r>
              <w:rPr>
                <w:color w:val="FF0000"/>
                <w:sz w:val="24"/>
              </w:rPr>
              <w:t>-105</w:t>
            </w:r>
          </w:p>
        </w:tc>
        <w:tc>
          <w:tcPr>
            <w:tcW w:w="2420" w:type="dxa"/>
          </w:tcPr>
          <w:p>
            <w:pPr>
              <w:pStyle w:val="TableParagraph"/>
              <w:spacing w:line="273" w:lineRule="exact" w:before="0"/>
              <w:ind w:right="96"/>
              <w:jc w:val="right"/>
              <w:rPr>
                <w:sz w:val="24"/>
              </w:rPr>
            </w:pPr>
            <w:r>
              <w:rPr>
                <w:color w:val="FF0000"/>
                <w:sz w:val="24"/>
              </w:rPr>
              <w:t>-423</w:t>
            </w:r>
          </w:p>
        </w:tc>
        <w:tc>
          <w:tcPr>
            <w:tcW w:w="2470" w:type="dxa"/>
          </w:tcPr>
          <w:p>
            <w:pPr>
              <w:pStyle w:val="TableParagraph"/>
              <w:spacing w:line="273" w:lineRule="exact" w:before="0"/>
              <w:ind w:right="98"/>
              <w:jc w:val="right"/>
              <w:rPr>
                <w:sz w:val="24"/>
              </w:rPr>
            </w:pPr>
            <w:r>
              <w:rPr>
                <w:color w:val="FF0000"/>
                <w:sz w:val="24"/>
              </w:rPr>
              <w:t>-2.373</w:t>
            </w:r>
          </w:p>
        </w:tc>
      </w:tr>
      <w:tr>
        <w:trPr>
          <w:trHeight w:val="395" w:hRule="atLeast"/>
        </w:trPr>
        <w:tc>
          <w:tcPr>
            <w:tcW w:w="4105" w:type="dxa"/>
          </w:tcPr>
          <w:p>
            <w:pPr>
              <w:pStyle w:val="TableParagraph"/>
              <w:spacing w:line="272" w:lineRule="exact" w:before="0"/>
              <w:ind w:left="107"/>
              <w:rPr>
                <w:b/>
                <w:sz w:val="24"/>
              </w:rPr>
            </w:pPr>
            <w:r>
              <w:rPr>
                <w:b/>
                <w:sz w:val="24"/>
              </w:rPr>
              <w:t>Horas líquidas Disponíveis (8)</w:t>
            </w:r>
          </w:p>
        </w:tc>
        <w:tc>
          <w:tcPr>
            <w:tcW w:w="2772" w:type="dxa"/>
          </w:tcPr>
          <w:p>
            <w:pPr>
              <w:pStyle w:val="TableParagraph"/>
              <w:spacing w:line="272" w:lineRule="exact" w:before="0"/>
              <w:ind w:right="96"/>
              <w:jc w:val="right"/>
              <w:rPr>
                <w:b/>
                <w:sz w:val="24"/>
              </w:rPr>
            </w:pPr>
            <w:r>
              <w:rPr>
                <w:b/>
                <w:sz w:val="24"/>
              </w:rPr>
              <w:t>5.877</w:t>
            </w:r>
          </w:p>
        </w:tc>
        <w:tc>
          <w:tcPr>
            <w:tcW w:w="2511" w:type="dxa"/>
          </w:tcPr>
          <w:p>
            <w:pPr>
              <w:pStyle w:val="TableParagraph"/>
              <w:spacing w:line="272" w:lineRule="exact" w:before="0"/>
              <w:ind w:right="98"/>
              <w:jc w:val="right"/>
              <w:rPr>
                <w:b/>
                <w:sz w:val="24"/>
              </w:rPr>
            </w:pPr>
            <w:r>
              <w:rPr>
                <w:b/>
                <w:sz w:val="24"/>
              </w:rPr>
              <w:t>634</w:t>
            </w:r>
          </w:p>
        </w:tc>
        <w:tc>
          <w:tcPr>
            <w:tcW w:w="2420" w:type="dxa"/>
          </w:tcPr>
          <w:p>
            <w:pPr>
              <w:pStyle w:val="TableParagraph"/>
              <w:spacing w:line="272" w:lineRule="exact" w:before="0"/>
              <w:ind w:right="96"/>
              <w:jc w:val="right"/>
              <w:rPr>
                <w:b/>
                <w:sz w:val="24"/>
              </w:rPr>
            </w:pPr>
            <w:r>
              <w:rPr>
                <w:b/>
                <w:sz w:val="24"/>
              </w:rPr>
              <w:t>1.920</w:t>
            </w:r>
          </w:p>
        </w:tc>
        <w:tc>
          <w:tcPr>
            <w:tcW w:w="2470" w:type="dxa"/>
          </w:tcPr>
          <w:p>
            <w:pPr>
              <w:pStyle w:val="TableParagraph"/>
              <w:spacing w:line="272" w:lineRule="exact" w:before="0"/>
              <w:ind w:right="98"/>
              <w:jc w:val="right"/>
              <w:rPr>
                <w:b/>
                <w:sz w:val="24"/>
              </w:rPr>
            </w:pPr>
            <w:r>
              <w:rPr>
                <w:b/>
                <w:sz w:val="24"/>
              </w:rPr>
              <w:t>8.431</w:t>
            </w:r>
          </w:p>
        </w:tc>
      </w:tr>
    </w:tbl>
    <w:p>
      <w:pPr>
        <w:pStyle w:val="BodyText"/>
        <w:spacing w:before="9"/>
        <w:rPr>
          <w:b/>
          <w:sz w:val="23"/>
        </w:rPr>
      </w:pPr>
    </w:p>
    <w:p>
      <w:pPr>
        <w:spacing w:before="0"/>
        <w:ind w:left="598" w:right="0" w:firstLine="0"/>
        <w:jc w:val="left"/>
        <w:rPr>
          <w:sz w:val="20"/>
        </w:rPr>
      </w:pPr>
      <w:r>
        <w:rPr>
          <w:sz w:val="20"/>
        </w:rPr>
        <w:t>Notas:</w:t>
      </w:r>
    </w:p>
    <w:p>
      <w:pPr>
        <w:pStyle w:val="ListParagraph"/>
        <w:numPr>
          <w:ilvl w:val="1"/>
          <w:numId w:val="9"/>
        </w:numPr>
        <w:tabs>
          <w:tab w:pos="750" w:val="left" w:leader="none"/>
        </w:tabs>
        <w:spacing w:line="240" w:lineRule="auto" w:before="1" w:after="0"/>
        <w:ind w:left="1026" w:right="940" w:hanging="428"/>
        <w:jc w:val="left"/>
        <w:rPr>
          <w:sz w:val="20"/>
        </w:rPr>
      </w:pPr>
      <w:r>
        <w:rPr>
          <w:sz w:val="20"/>
        </w:rPr>
        <w:t>– Considerado 1.584 horas úteis no ano por auditor, 1.267 horas úteis anuais por cada gerente e 950 horas úteis anuais para o supervisor, considerada a jornada de trabalho de 6h por dia e 22 dias úteis por</w:t>
      </w:r>
      <w:r>
        <w:rPr>
          <w:spacing w:val="-7"/>
          <w:sz w:val="20"/>
        </w:rPr>
        <w:t> </w:t>
      </w:r>
      <w:r>
        <w:rPr>
          <w:sz w:val="20"/>
        </w:rPr>
        <w:t>mês.</w:t>
      </w:r>
    </w:p>
    <w:p>
      <w:pPr>
        <w:pStyle w:val="ListParagraph"/>
        <w:numPr>
          <w:ilvl w:val="1"/>
          <w:numId w:val="9"/>
        </w:numPr>
        <w:tabs>
          <w:tab w:pos="750" w:val="left" w:leader="none"/>
        </w:tabs>
        <w:spacing w:line="240" w:lineRule="auto" w:before="1" w:after="0"/>
        <w:ind w:left="749" w:right="0" w:hanging="152"/>
        <w:jc w:val="left"/>
        <w:rPr>
          <w:sz w:val="20"/>
        </w:rPr>
      </w:pPr>
      <w:r>
        <w:rPr>
          <w:sz w:val="20"/>
        </w:rPr>
        <w:t>– Prevista a utilização de 96, 9 e 76 horas de trabalho anuais, por auditor, supervisor e gerente, respectivamente, para a realização da</w:t>
      </w:r>
      <w:r>
        <w:rPr>
          <w:spacing w:val="-31"/>
          <w:sz w:val="20"/>
        </w:rPr>
        <w:t> </w:t>
      </w:r>
      <w:r>
        <w:rPr>
          <w:sz w:val="20"/>
        </w:rPr>
        <w:t>atividade.</w:t>
      </w:r>
    </w:p>
    <w:p>
      <w:pPr>
        <w:pStyle w:val="ListParagraph"/>
        <w:numPr>
          <w:ilvl w:val="1"/>
          <w:numId w:val="9"/>
        </w:numPr>
        <w:tabs>
          <w:tab w:pos="750" w:val="left" w:leader="none"/>
        </w:tabs>
        <w:spacing w:line="240" w:lineRule="auto" w:before="1" w:after="0"/>
        <w:ind w:left="1026" w:right="1083" w:hanging="428"/>
        <w:jc w:val="left"/>
        <w:rPr>
          <w:sz w:val="20"/>
        </w:rPr>
      </w:pPr>
      <w:r>
        <w:rPr>
          <w:sz w:val="20"/>
        </w:rPr>
        <w:t>– Cálculo realizado com base na média de afastamentos na COAUD nos exercícios de 2017, 2018 e 2019. Estimada a utilização de 264, 132 e 132 horas de trabalho anuais, por auditor, supervisor e gerente, respectivamente, por afastamento ao trabalho. Para gerentes e supervisor considerado afastamento apenas relativo a</w:t>
      </w:r>
      <w:r>
        <w:rPr>
          <w:spacing w:val="-15"/>
          <w:sz w:val="20"/>
        </w:rPr>
        <w:t> </w:t>
      </w:r>
      <w:r>
        <w:rPr>
          <w:sz w:val="20"/>
        </w:rPr>
        <w:t>férias.</w:t>
      </w:r>
    </w:p>
    <w:p>
      <w:pPr>
        <w:pStyle w:val="ListParagraph"/>
        <w:numPr>
          <w:ilvl w:val="1"/>
          <w:numId w:val="9"/>
        </w:numPr>
        <w:tabs>
          <w:tab w:pos="750" w:val="left" w:leader="none"/>
        </w:tabs>
        <w:spacing w:line="240" w:lineRule="auto" w:before="0" w:after="0"/>
        <w:ind w:left="598" w:right="3549" w:firstLine="0"/>
        <w:jc w:val="left"/>
        <w:rPr>
          <w:sz w:val="20"/>
        </w:rPr>
      </w:pPr>
      <w:r>
        <w:rPr>
          <w:sz w:val="20"/>
        </w:rPr>
        <w:t>– Estimado o gasto de 132, 52 e 105 horas de trabalho anuais, por auditor, supervisor e gerente, respectivamente, para execução da atividade. 5 – Calculado 102, 5 e 81 horas de trabalho anuais, por auditor, supervisor e gerente, respectivamente, para execução da</w:t>
      </w:r>
      <w:r>
        <w:rPr>
          <w:spacing w:val="14"/>
          <w:sz w:val="20"/>
        </w:rPr>
        <w:t> </w:t>
      </w:r>
      <w:r>
        <w:rPr>
          <w:sz w:val="20"/>
        </w:rPr>
        <w:t>atividade.</w:t>
      </w:r>
    </w:p>
    <w:p>
      <w:pPr>
        <w:pStyle w:val="ListParagraph"/>
        <w:numPr>
          <w:ilvl w:val="0"/>
          <w:numId w:val="13"/>
        </w:numPr>
        <w:tabs>
          <w:tab w:pos="750" w:val="left" w:leader="none"/>
        </w:tabs>
        <w:spacing w:line="240" w:lineRule="auto" w:before="0" w:after="0"/>
        <w:ind w:left="749" w:right="0" w:hanging="152"/>
        <w:jc w:val="left"/>
        <w:rPr>
          <w:sz w:val="20"/>
        </w:rPr>
      </w:pPr>
      <w:r>
        <w:rPr>
          <w:sz w:val="20"/>
        </w:rPr>
        <w:t>– Previsto o uso de 132, 13 e 92 horas de trabalho anuais, por auditor, supervisor e gerente, respectivamente, para execução da</w:t>
      </w:r>
      <w:r>
        <w:rPr>
          <w:spacing w:val="13"/>
          <w:sz w:val="20"/>
        </w:rPr>
        <w:t> </w:t>
      </w:r>
      <w:r>
        <w:rPr>
          <w:sz w:val="20"/>
        </w:rPr>
        <w:t>atividade.</w:t>
      </w:r>
    </w:p>
    <w:p>
      <w:pPr>
        <w:spacing w:after="0" w:line="240" w:lineRule="auto"/>
        <w:jc w:val="left"/>
        <w:rPr>
          <w:sz w:val="20"/>
        </w:rPr>
        <w:sectPr>
          <w:pgSz w:w="16840" w:h="11910" w:orient="landscape"/>
          <w:pgMar w:top="1100" w:bottom="280" w:left="820" w:right="300"/>
        </w:sectPr>
      </w:pPr>
    </w:p>
    <w:p>
      <w:pPr>
        <w:pStyle w:val="BodyText"/>
        <w:spacing w:before="3"/>
        <w:rPr>
          <w:sz w:val="19"/>
        </w:rPr>
      </w:pPr>
    </w:p>
    <w:p>
      <w:pPr>
        <w:pStyle w:val="ListParagraph"/>
        <w:numPr>
          <w:ilvl w:val="0"/>
          <w:numId w:val="13"/>
        </w:numPr>
        <w:tabs>
          <w:tab w:pos="750" w:val="left" w:leader="none"/>
        </w:tabs>
        <w:spacing w:line="240" w:lineRule="auto" w:before="91" w:after="0"/>
        <w:ind w:left="598" w:right="3109" w:firstLine="0"/>
        <w:jc w:val="left"/>
        <w:rPr>
          <w:sz w:val="20"/>
        </w:rPr>
      </w:pPr>
      <w:r>
        <w:rPr>
          <w:sz w:val="20"/>
        </w:rPr>
        <w:t>– Estimada a utilização de 205, 105 e 141 horas de trabalho anuais, por auditor, supervisor e gerente, respectivamente, para execução da atividade. 8 – Horas disponíveis para realização de trabalhos de</w:t>
      </w:r>
      <w:r>
        <w:rPr>
          <w:spacing w:val="-28"/>
          <w:sz w:val="20"/>
        </w:rPr>
        <w:t> </w:t>
      </w:r>
      <w:r>
        <w:rPr>
          <w:sz w:val="20"/>
        </w:rPr>
        <w:t>auditoria.</w:t>
      </w:r>
    </w:p>
    <w:p>
      <w:pPr>
        <w:spacing w:after="0" w:line="240" w:lineRule="auto"/>
        <w:jc w:val="left"/>
        <w:rPr>
          <w:sz w:val="20"/>
        </w:rPr>
        <w:sectPr>
          <w:pgSz w:w="16840" w:h="11910" w:orient="landscape"/>
          <w:pgMar w:top="1100" w:bottom="280" w:left="820" w:right="300"/>
        </w:sectPr>
      </w:pPr>
    </w:p>
    <w:p>
      <w:pPr>
        <w:pStyle w:val="BodyText"/>
        <w:spacing w:before="3"/>
        <w:rPr>
          <w:sz w:val="19"/>
        </w:rPr>
      </w:pPr>
    </w:p>
    <w:p>
      <w:pPr>
        <w:spacing w:before="90"/>
        <w:ind w:left="4658" w:right="4890" w:firstLine="0"/>
        <w:jc w:val="center"/>
        <w:rPr>
          <w:b/>
          <w:sz w:val="24"/>
        </w:rPr>
      </w:pPr>
      <w:r>
        <w:rPr>
          <w:b/>
          <w:sz w:val="24"/>
        </w:rPr>
        <w:t>APÊNDICE IV</w:t>
      </w:r>
    </w:p>
    <w:p>
      <w:pPr>
        <w:pStyle w:val="BodyText"/>
        <w:rPr>
          <w:b/>
        </w:rPr>
      </w:pPr>
    </w:p>
    <w:p>
      <w:pPr>
        <w:spacing w:before="0"/>
        <w:ind w:left="4658" w:right="4890" w:firstLine="0"/>
        <w:jc w:val="center"/>
        <w:rPr>
          <w:b/>
          <w:sz w:val="24"/>
        </w:rPr>
      </w:pPr>
      <w:r>
        <w:rPr>
          <w:b/>
          <w:sz w:val="24"/>
        </w:rPr>
        <w:t>CRONOGRAMA PRELIMINAR DE ATIVIDADES</w:t>
      </w:r>
    </w:p>
    <w:p>
      <w:pPr>
        <w:pStyle w:val="BodyText"/>
        <w:rPr>
          <w:b/>
          <w:sz w:val="20"/>
        </w:rPr>
      </w:pPr>
    </w:p>
    <w:p>
      <w:pPr>
        <w:pStyle w:val="BodyText"/>
        <w:rPr>
          <w:b/>
          <w:sz w:val="20"/>
        </w:rPr>
      </w:pPr>
    </w:p>
    <w:p>
      <w:pPr>
        <w:pStyle w:val="BodyText"/>
        <w:spacing w:before="6"/>
        <w:rPr>
          <w:b/>
          <w:sz w:val="14"/>
        </w:rPr>
      </w:pPr>
    </w:p>
    <w:tbl>
      <w:tblPr>
        <w:tblW w:w="0" w:type="auto"/>
        <w:jc w:val="left"/>
        <w:tblInd w:w="5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464"/>
        <w:gridCol w:w="3154"/>
        <w:gridCol w:w="2685"/>
      </w:tblGrid>
      <w:tr>
        <w:trPr>
          <w:trHeight w:val="525" w:hRule="atLeast"/>
        </w:trPr>
        <w:tc>
          <w:tcPr>
            <w:tcW w:w="8464" w:type="dxa"/>
            <w:tcBorders>
              <w:left w:val="nil"/>
            </w:tcBorders>
            <w:shd w:val="clear" w:color="auto" w:fill="DBE4F0"/>
          </w:tcPr>
          <w:p>
            <w:pPr>
              <w:pStyle w:val="TableParagraph"/>
              <w:spacing w:before="135"/>
              <w:ind w:left="3576" w:right="3557"/>
              <w:jc w:val="center"/>
              <w:rPr>
                <w:b/>
                <w:sz w:val="22"/>
              </w:rPr>
            </w:pPr>
            <w:r>
              <w:rPr>
                <w:b/>
                <w:sz w:val="22"/>
              </w:rPr>
              <w:t>AUDITORIA</w:t>
            </w:r>
          </w:p>
        </w:tc>
        <w:tc>
          <w:tcPr>
            <w:tcW w:w="3154" w:type="dxa"/>
            <w:shd w:val="clear" w:color="auto" w:fill="DBE4F0"/>
          </w:tcPr>
          <w:p>
            <w:pPr>
              <w:pStyle w:val="TableParagraph"/>
              <w:spacing w:before="135"/>
              <w:ind w:left="409" w:right="409"/>
              <w:jc w:val="center"/>
              <w:rPr>
                <w:b/>
                <w:sz w:val="22"/>
              </w:rPr>
            </w:pPr>
            <w:r>
              <w:rPr>
                <w:b/>
                <w:sz w:val="22"/>
              </w:rPr>
              <w:t>PERÍODO ESTIMADO</w:t>
            </w:r>
          </w:p>
        </w:tc>
        <w:tc>
          <w:tcPr>
            <w:tcW w:w="2685" w:type="dxa"/>
            <w:tcBorders>
              <w:right w:val="nil"/>
            </w:tcBorders>
            <w:shd w:val="clear" w:color="auto" w:fill="DBE4F0"/>
          </w:tcPr>
          <w:p>
            <w:pPr>
              <w:pStyle w:val="TableParagraph"/>
              <w:spacing w:before="135"/>
              <w:ind w:left="502" w:right="509"/>
              <w:jc w:val="center"/>
              <w:rPr>
                <w:b/>
                <w:sz w:val="22"/>
              </w:rPr>
            </w:pPr>
            <w:r>
              <w:rPr>
                <w:b/>
                <w:sz w:val="22"/>
              </w:rPr>
              <w:t>RESPONSÁVEL</w:t>
            </w:r>
          </w:p>
        </w:tc>
      </w:tr>
      <w:tr>
        <w:trPr>
          <w:trHeight w:val="460" w:hRule="atLeast"/>
        </w:trPr>
        <w:tc>
          <w:tcPr>
            <w:tcW w:w="8464" w:type="dxa"/>
            <w:tcBorders>
              <w:left w:val="nil"/>
            </w:tcBorders>
          </w:tcPr>
          <w:p>
            <w:pPr>
              <w:pStyle w:val="TableParagraph"/>
              <w:spacing w:before="0"/>
              <w:ind w:left="84"/>
              <w:rPr>
                <w:sz w:val="20"/>
              </w:rPr>
            </w:pPr>
            <w:r>
              <w:rPr>
                <w:sz w:val="20"/>
              </w:rPr>
              <w:t>Infraestrutura de TIC</w:t>
            </w:r>
          </w:p>
        </w:tc>
        <w:tc>
          <w:tcPr>
            <w:tcW w:w="3154" w:type="dxa"/>
          </w:tcPr>
          <w:p>
            <w:pPr>
              <w:pStyle w:val="TableParagraph"/>
              <w:spacing w:line="230" w:lineRule="exact" w:before="3"/>
              <w:ind w:left="966" w:right="228" w:hanging="725"/>
              <w:rPr>
                <w:sz w:val="20"/>
              </w:rPr>
            </w:pPr>
            <w:r>
              <w:rPr>
                <w:sz w:val="20"/>
              </w:rPr>
              <w:t>7/1/2020 a 30/4/2020 prorrogado para 31/3/2021</w:t>
            </w:r>
          </w:p>
        </w:tc>
        <w:tc>
          <w:tcPr>
            <w:tcW w:w="2685" w:type="dxa"/>
            <w:tcBorders>
              <w:right w:val="nil"/>
            </w:tcBorders>
          </w:tcPr>
          <w:p>
            <w:pPr>
              <w:pStyle w:val="TableParagraph"/>
              <w:spacing w:before="116"/>
              <w:ind w:left="500" w:right="509"/>
              <w:jc w:val="center"/>
              <w:rPr>
                <w:sz w:val="20"/>
              </w:rPr>
            </w:pPr>
            <w:r>
              <w:rPr>
                <w:sz w:val="20"/>
              </w:rPr>
              <w:t>SEALIC</w:t>
            </w:r>
          </w:p>
        </w:tc>
      </w:tr>
      <w:tr>
        <w:trPr>
          <w:trHeight w:val="227" w:hRule="atLeast"/>
        </w:trPr>
        <w:tc>
          <w:tcPr>
            <w:tcW w:w="8464" w:type="dxa"/>
            <w:tcBorders>
              <w:left w:val="nil"/>
            </w:tcBorders>
          </w:tcPr>
          <w:p>
            <w:pPr>
              <w:pStyle w:val="TableParagraph"/>
              <w:spacing w:line="208" w:lineRule="exact" w:before="0"/>
              <w:ind w:left="84"/>
              <w:rPr>
                <w:sz w:val="20"/>
              </w:rPr>
            </w:pPr>
            <w:r>
              <w:rPr>
                <w:sz w:val="20"/>
              </w:rPr>
              <w:t>Auditoria Financeira</w:t>
            </w:r>
          </w:p>
        </w:tc>
        <w:tc>
          <w:tcPr>
            <w:tcW w:w="3154" w:type="dxa"/>
          </w:tcPr>
          <w:p>
            <w:pPr>
              <w:pStyle w:val="TableParagraph"/>
              <w:spacing w:line="208" w:lineRule="exact" w:before="0"/>
              <w:ind w:left="408" w:right="409"/>
              <w:jc w:val="center"/>
              <w:rPr>
                <w:sz w:val="20"/>
              </w:rPr>
            </w:pPr>
            <w:r>
              <w:rPr>
                <w:sz w:val="20"/>
              </w:rPr>
              <w:t>1º/9/2020 a 28/2/2021</w:t>
            </w:r>
          </w:p>
        </w:tc>
        <w:tc>
          <w:tcPr>
            <w:tcW w:w="2685" w:type="dxa"/>
            <w:tcBorders>
              <w:right w:val="nil"/>
            </w:tcBorders>
          </w:tcPr>
          <w:p>
            <w:pPr>
              <w:pStyle w:val="TableParagraph"/>
              <w:spacing w:line="208" w:lineRule="exact" w:before="0"/>
              <w:ind w:left="499" w:right="509"/>
              <w:jc w:val="center"/>
              <w:rPr>
                <w:sz w:val="20"/>
              </w:rPr>
            </w:pPr>
            <w:r>
              <w:rPr>
                <w:sz w:val="20"/>
              </w:rPr>
              <w:t>SEAGO</w:t>
            </w:r>
          </w:p>
        </w:tc>
      </w:tr>
      <w:tr>
        <w:trPr>
          <w:trHeight w:val="229" w:hRule="atLeast"/>
        </w:trPr>
        <w:tc>
          <w:tcPr>
            <w:tcW w:w="8464" w:type="dxa"/>
            <w:tcBorders>
              <w:left w:val="nil"/>
            </w:tcBorders>
          </w:tcPr>
          <w:p>
            <w:pPr>
              <w:pStyle w:val="TableParagraph"/>
              <w:spacing w:line="210" w:lineRule="exact" w:before="0"/>
              <w:ind w:left="84"/>
              <w:rPr>
                <w:sz w:val="20"/>
              </w:rPr>
            </w:pPr>
            <w:r>
              <w:rPr>
                <w:sz w:val="20"/>
              </w:rPr>
              <w:t>Auditoria Financeira integrada com conformidade na área de Gestão de Pessoas</w:t>
            </w:r>
          </w:p>
        </w:tc>
        <w:tc>
          <w:tcPr>
            <w:tcW w:w="3154" w:type="dxa"/>
          </w:tcPr>
          <w:p>
            <w:pPr>
              <w:pStyle w:val="TableParagraph"/>
              <w:spacing w:line="210" w:lineRule="exact" w:before="0"/>
              <w:ind w:left="409" w:right="409"/>
              <w:jc w:val="center"/>
              <w:rPr>
                <w:sz w:val="20"/>
              </w:rPr>
            </w:pPr>
            <w:r>
              <w:rPr>
                <w:sz w:val="20"/>
              </w:rPr>
              <w:t>1º/9/2020 a 19/12/2020</w:t>
            </w:r>
          </w:p>
        </w:tc>
        <w:tc>
          <w:tcPr>
            <w:tcW w:w="2685" w:type="dxa"/>
            <w:tcBorders>
              <w:right w:val="nil"/>
            </w:tcBorders>
          </w:tcPr>
          <w:p>
            <w:pPr>
              <w:pStyle w:val="TableParagraph"/>
              <w:spacing w:line="210" w:lineRule="exact" w:before="0"/>
              <w:ind w:left="496" w:right="509"/>
              <w:jc w:val="center"/>
              <w:rPr>
                <w:sz w:val="20"/>
              </w:rPr>
            </w:pPr>
            <w:r>
              <w:rPr>
                <w:sz w:val="20"/>
              </w:rPr>
              <w:t>SEAPE</w:t>
            </w:r>
          </w:p>
        </w:tc>
      </w:tr>
      <w:tr>
        <w:trPr>
          <w:trHeight w:val="229" w:hRule="atLeast"/>
        </w:trPr>
        <w:tc>
          <w:tcPr>
            <w:tcW w:w="8464" w:type="dxa"/>
            <w:tcBorders>
              <w:left w:val="nil"/>
            </w:tcBorders>
          </w:tcPr>
          <w:p>
            <w:pPr>
              <w:pStyle w:val="TableParagraph"/>
              <w:spacing w:line="210" w:lineRule="exact" w:before="0"/>
              <w:ind w:left="84"/>
              <w:rPr>
                <w:sz w:val="20"/>
              </w:rPr>
            </w:pPr>
            <w:r>
              <w:rPr>
                <w:sz w:val="20"/>
              </w:rPr>
              <w:t>Auditoria Financeira integrada com conformidade na área de compras e contratações de Serviços</w:t>
            </w:r>
          </w:p>
        </w:tc>
        <w:tc>
          <w:tcPr>
            <w:tcW w:w="3154" w:type="dxa"/>
          </w:tcPr>
          <w:p>
            <w:pPr>
              <w:pStyle w:val="TableParagraph"/>
              <w:spacing w:line="210" w:lineRule="exact" w:before="0"/>
              <w:ind w:left="409" w:right="409"/>
              <w:jc w:val="center"/>
              <w:rPr>
                <w:sz w:val="20"/>
              </w:rPr>
            </w:pPr>
            <w:r>
              <w:rPr>
                <w:sz w:val="20"/>
              </w:rPr>
              <w:t>1º/9/2020 a 19/12/2020</w:t>
            </w:r>
          </w:p>
        </w:tc>
        <w:tc>
          <w:tcPr>
            <w:tcW w:w="2685" w:type="dxa"/>
            <w:tcBorders>
              <w:right w:val="nil"/>
            </w:tcBorders>
          </w:tcPr>
          <w:p>
            <w:pPr>
              <w:pStyle w:val="TableParagraph"/>
              <w:spacing w:line="210" w:lineRule="exact" w:before="0"/>
              <w:ind w:left="500" w:right="509"/>
              <w:jc w:val="center"/>
              <w:rPr>
                <w:sz w:val="20"/>
              </w:rPr>
            </w:pPr>
            <w:r>
              <w:rPr>
                <w:sz w:val="20"/>
              </w:rPr>
              <w:t>SEALIC</w:t>
            </w:r>
          </w:p>
        </w:tc>
      </w:tr>
    </w:tbl>
    <w:p>
      <w:pPr>
        <w:pStyle w:val="BodyText"/>
        <w:rPr>
          <w:b/>
        </w:rPr>
      </w:pPr>
    </w:p>
    <w:tbl>
      <w:tblPr>
        <w:tblW w:w="0" w:type="auto"/>
        <w:jc w:val="left"/>
        <w:tblInd w:w="5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445"/>
        <w:gridCol w:w="3164"/>
        <w:gridCol w:w="2695"/>
      </w:tblGrid>
      <w:tr>
        <w:trPr>
          <w:trHeight w:val="525" w:hRule="atLeast"/>
        </w:trPr>
        <w:tc>
          <w:tcPr>
            <w:tcW w:w="8445" w:type="dxa"/>
            <w:tcBorders>
              <w:left w:val="nil"/>
            </w:tcBorders>
            <w:shd w:val="clear" w:color="auto" w:fill="EFEBDE"/>
          </w:tcPr>
          <w:p>
            <w:pPr>
              <w:pStyle w:val="TableParagraph"/>
              <w:spacing w:before="149"/>
              <w:ind w:left="3254" w:right="3243"/>
              <w:jc w:val="center"/>
              <w:rPr>
                <w:b/>
                <w:sz w:val="20"/>
              </w:rPr>
            </w:pPr>
            <w:r>
              <w:rPr>
                <w:b/>
                <w:sz w:val="20"/>
              </w:rPr>
              <w:t>MONITORAMENTO</w:t>
            </w:r>
          </w:p>
        </w:tc>
        <w:tc>
          <w:tcPr>
            <w:tcW w:w="3164" w:type="dxa"/>
            <w:shd w:val="clear" w:color="auto" w:fill="EFEBDE"/>
          </w:tcPr>
          <w:p>
            <w:pPr>
              <w:pStyle w:val="TableParagraph"/>
              <w:spacing w:before="149"/>
              <w:ind w:left="516" w:right="520"/>
              <w:jc w:val="center"/>
              <w:rPr>
                <w:b/>
                <w:sz w:val="20"/>
              </w:rPr>
            </w:pPr>
            <w:r>
              <w:rPr>
                <w:b/>
                <w:sz w:val="20"/>
              </w:rPr>
              <w:t>PERÍODO ESTIMADO</w:t>
            </w:r>
          </w:p>
        </w:tc>
        <w:tc>
          <w:tcPr>
            <w:tcW w:w="2695" w:type="dxa"/>
            <w:tcBorders>
              <w:right w:val="nil"/>
            </w:tcBorders>
            <w:shd w:val="clear" w:color="auto" w:fill="EFEBDE"/>
          </w:tcPr>
          <w:p>
            <w:pPr>
              <w:pStyle w:val="TableParagraph"/>
              <w:spacing w:before="149"/>
              <w:ind w:left="579" w:right="590"/>
              <w:jc w:val="center"/>
              <w:rPr>
                <w:b/>
                <w:sz w:val="20"/>
              </w:rPr>
            </w:pPr>
            <w:r>
              <w:rPr>
                <w:b/>
                <w:sz w:val="20"/>
              </w:rPr>
              <w:t>RESPONSÁVEL</w:t>
            </w:r>
          </w:p>
        </w:tc>
      </w:tr>
      <w:tr>
        <w:trPr>
          <w:trHeight w:val="618" w:hRule="atLeast"/>
        </w:trPr>
        <w:tc>
          <w:tcPr>
            <w:tcW w:w="8445" w:type="dxa"/>
            <w:tcBorders>
              <w:left w:val="nil"/>
            </w:tcBorders>
          </w:tcPr>
          <w:p>
            <w:pPr>
              <w:pStyle w:val="TableParagraph"/>
              <w:spacing w:before="53"/>
              <w:ind w:left="84" w:right="1003"/>
              <w:rPr>
                <w:sz w:val="22"/>
              </w:rPr>
            </w:pPr>
            <w:r>
              <w:rPr>
                <w:sz w:val="22"/>
              </w:rPr>
              <w:t>Auditoria Coordenada CNJ – Governança orçamentária e financeira, planejamento, gerenciamento, execução e gestão contábil</w:t>
            </w:r>
          </w:p>
        </w:tc>
        <w:tc>
          <w:tcPr>
            <w:tcW w:w="3164" w:type="dxa"/>
          </w:tcPr>
          <w:p>
            <w:pPr>
              <w:pStyle w:val="TableParagraph"/>
              <w:spacing w:before="194"/>
              <w:ind w:left="516" w:right="519"/>
              <w:jc w:val="center"/>
              <w:rPr>
                <w:sz w:val="20"/>
              </w:rPr>
            </w:pPr>
            <w:r>
              <w:rPr>
                <w:sz w:val="20"/>
              </w:rPr>
              <w:t>15/1/2020 a 15/3/2020</w:t>
            </w:r>
          </w:p>
        </w:tc>
        <w:tc>
          <w:tcPr>
            <w:tcW w:w="2695" w:type="dxa"/>
            <w:tcBorders>
              <w:right w:val="nil"/>
            </w:tcBorders>
          </w:tcPr>
          <w:p>
            <w:pPr>
              <w:pStyle w:val="TableParagraph"/>
              <w:spacing w:before="194"/>
              <w:ind w:left="579" w:right="590"/>
              <w:jc w:val="center"/>
              <w:rPr>
                <w:sz w:val="20"/>
              </w:rPr>
            </w:pPr>
            <w:r>
              <w:rPr>
                <w:sz w:val="20"/>
              </w:rPr>
              <w:t>SEAGO</w:t>
            </w:r>
          </w:p>
        </w:tc>
      </w:tr>
    </w:tbl>
    <w:p>
      <w:pPr>
        <w:spacing w:after="0"/>
        <w:jc w:val="center"/>
        <w:rPr>
          <w:sz w:val="20"/>
        </w:rPr>
        <w:sectPr>
          <w:pgSz w:w="16840" w:h="11910" w:orient="landscape"/>
          <w:pgMar w:top="1100" w:bottom="280" w:left="820" w:right="300"/>
        </w:sectPr>
      </w:pPr>
    </w:p>
    <w:p>
      <w:pPr>
        <w:pStyle w:val="BodyText"/>
        <w:rPr>
          <w:b/>
          <w:sz w:val="20"/>
        </w:rPr>
      </w:pPr>
    </w:p>
    <w:p>
      <w:pPr>
        <w:pStyle w:val="BodyText"/>
        <w:rPr>
          <w:b/>
          <w:sz w:val="20"/>
        </w:rPr>
      </w:pPr>
    </w:p>
    <w:p>
      <w:pPr>
        <w:pStyle w:val="BodyText"/>
        <w:spacing w:before="6"/>
        <w:rPr>
          <w:b/>
          <w:sz w:val="21"/>
        </w:rPr>
      </w:pPr>
    </w:p>
    <w:p>
      <w:pPr>
        <w:spacing w:before="0"/>
        <w:ind w:left="4658" w:right="4893" w:firstLine="0"/>
        <w:jc w:val="center"/>
        <w:rPr>
          <w:b/>
          <w:sz w:val="24"/>
        </w:rPr>
      </w:pPr>
      <w:r>
        <w:rPr>
          <w:b/>
          <w:sz w:val="24"/>
        </w:rPr>
        <w:t>APÊNDICE V</w:t>
      </w:r>
    </w:p>
    <w:p>
      <w:pPr>
        <w:spacing w:before="120"/>
        <w:ind w:left="4658" w:right="4890" w:firstLine="0"/>
        <w:jc w:val="center"/>
        <w:rPr>
          <w:b/>
          <w:sz w:val="24"/>
        </w:rPr>
      </w:pPr>
      <w:r>
        <w:rPr>
          <w:b/>
          <w:sz w:val="24"/>
        </w:rPr>
        <w:t>PLANO DE CAPACITAÇÃO DA COAUD PARA 2020(*)</w:t>
      </w:r>
    </w:p>
    <w:p>
      <w:pPr>
        <w:pStyle w:val="BodyText"/>
        <w:rPr>
          <w:b/>
          <w:sz w:val="20"/>
        </w:rPr>
      </w:pPr>
    </w:p>
    <w:p>
      <w:pPr>
        <w:pStyle w:val="BodyText"/>
        <w:spacing w:before="11"/>
        <w:rPr>
          <w:b/>
        </w:rPr>
      </w:pPr>
    </w:p>
    <w:tbl>
      <w:tblPr>
        <w:tblW w:w="0" w:type="auto"/>
        <w:jc w:val="left"/>
        <w:tblInd w:w="5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735"/>
        <w:gridCol w:w="5185"/>
        <w:gridCol w:w="2383"/>
      </w:tblGrid>
      <w:tr>
        <w:trPr>
          <w:trHeight w:val="243" w:hRule="atLeast"/>
        </w:trPr>
        <w:tc>
          <w:tcPr>
            <w:tcW w:w="14303" w:type="dxa"/>
            <w:gridSpan w:val="3"/>
            <w:tcBorders>
              <w:left w:val="nil"/>
              <w:bottom w:val="single" w:sz="18" w:space="0" w:color="000000"/>
              <w:right w:val="nil"/>
            </w:tcBorders>
            <w:shd w:val="clear" w:color="auto" w:fill="DBE4F0"/>
          </w:tcPr>
          <w:p>
            <w:pPr>
              <w:pStyle w:val="TableParagraph"/>
              <w:spacing w:line="224" w:lineRule="exact" w:before="0"/>
              <w:ind w:left="84"/>
              <w:rPr>
                <w:b/>
                <w:sz w:val="22"/>
              </w:rPr>
            </w:pPr>
            <w:r>
              <w:rPr>
                <w:b/>
                <w:sz w:val="22"/>
              </w:rPr>
              <w:t>PLANO DE CAPACITAÇÃO 2020</w:t>
            </w:r>
          </w:p>
        </w:tc>
      </w:tr>
      <w:tr>
        <w:trPr>
          <w:trHeight w:val="455" w:hRule="atLeast"/>
        </w:trPr>
        <w:tc>
          <w:tcPr>
            <w:tcW w:w="6735" w:type="dxa"/>
            <w:tcBorders>
              <w:top w:val="single" w:sz="12" w:space="0" w:color="000000"/>
              <w:left w:val="nil"/>
            </w:tcBorders>
            <w:shd w:val="clear" w:color="auto" w:fill="EDEBE0"/>
          </w:tcPr>
          <w:p>
            <w:pPr>
              <w:pStyle w:val="TableParagraph"/>
              <w:spacing w:before="110"/>
              <w:ind w:left="2175" w:right="2159"/>
              <w:jc w:val="center"/>
              <w:rPr>
                <w:sz w:val="20"/>
              </w:rPr>
            </w:pPr>
            <w:r>
              <w:rPr>
                <w:sz w:val="20"/>
              </w:rPr>
              <w:t>AÇÃO DE CAPACITAÇÃO</w:t>
            </w:r>
          </w:p>
        </w:tc>
        <w:tc>
          <w:tcPr>
            <w:tcW w:w="5185" w:type="dxa"/>
            <w:tcBorders>
              <w:top w:val="single" w:sz="12" w:space="0" w:color="000000"/>
            </w:tcBorders>
            <w:shd w:val="clear" w:color="auto" w:fill="EDEBE0"/>
          </w:tcPr>
          <w:p>
            <w:pPr>
              <w:pStyle w:val="TableParagraph"/>
              <w:spacing w:before="110"/>
              <w:ind w:left="607"/>
              <w:rPr>
                <w:sz w:val="20"/>
              </w:rPr>
            </w:pPr>
            <w:r>
              <w:rPr>
                <w:sz w:val="20"/>
              </w:rPr>
              <w:t>SUGESTÃO DE INSTRUTOR / INSTITUIÇÃO</w:t>
            </w:r>
          </w:p>
        </w:tc>
        <w:tc>
          <w:tcPr>
            <w:tcW w:w="2383" w:type="dxa"/>
            <w:tcBorders>
              <w:top w:val="single" w:sz="12" w:space="0" w:color="000000"/>
              <w:right w:val="nil"/>
            </w:tcBorders>
            <w:shd w:val="clear" w:color="auto" w:fill="EDEBE0"/>
          </w:tcPr>
          <w:p>
            <w:pPr>
              <w:pStyle w:val="TableParagraph"/>
              <w:spacing w:line="225" w:lineRule="exact" w:before="0"/>
              <w:ind w:left="354" w:right="361"/>
              <w:jc w:val="center"/>
              <w:rPr>
                <w:sz w:val="20"/>
              </w:rPr>
            </w:pPr>
            <w:r>
              <w:rPr>
                <w:sz w:val="20"/>
              </w:rPr>
              <w:t>SERVIDORES</w:t>
            </w:r>
          </w:p>
          <w:p>
            <w:pPr>
              <w:pStyle w:val="TableParagraph"/>
              <w:spacing w:line="210" w:lineRule="exact" w:before="1"/>
              <w:ind w:left="354" w:right="361"/>
              <w:jc w:val="center"/>
              <w:rPr>
                <w:sz w:val="20"/>
              </w:rPr>
            </w:pPr>
            <w:r>
              <w:rPr>
                <w:sz w:val="20"/>
              </w:rPr>
              <w:t>CONTEMPLADOS</w:t>
            </w:r>
          </w:p>
        </w:tc>
      </w:tr>
      <w:tr>
        <w:trPr>
          <w:trHeight w:val="229" w:hRule="atLeast"/>
        </w:trPr>
        <w:tc>
          <w:tcPr>
            <w:tcW w:w="6735" w:type="dxa"/>
            <w:tcBorders>
              <w:left w:val="nil"/>
              <w:bottom w:val="single" w:sz="6" w:space="0" w:color="000000"/>
            </w:tcBorders>
          </w:tcPr>
          <w:p>
            <w:pPr>
              <w:pStyle w:val="TableParagraph"/>
              <w:spacing w:line="210" w:lineRule="exact" w:before="0"/>
              <w:ind w:left="84"/>
              <w:rPr>
                <w:sz w:val="20"/>
              </w:rPr>
            </w:pPr>
            <w:r>
              <w:rPr>
                <w:sz w:val="20"/>
              </w:rPr>
              <w:t>Auto avaliação de controles e riscos</w:t>
            </w:r>
          </w:p>
        </w:tc>
        <w:tc>
          <w:tcPr>
            <w:tcW w:w="5185" w:type="dxa"/>
          </w:tcPr>
          <w:p>
            <w:pPr>
              <w:pStyle w:val="TableParagraph"/>
              <w:spacing w:line="210" w:lineRule="exact" w:before="0"/>
              <w:ind w:left="65"/>
              <w:rPr>
                <w:sz w:val="20"/>
              </w:rPr>
            </w:pPr>
            <w:r>
              <w:rPr>
                <w:sz w:val="20"/>
              </w:rPr>
              <w:t>Instituto dos Auditores Internos (IIA Brasil)</w:t>
            </w:r>
          </w:p>
        </w:tc>
        <w:tc>
          <w:tcPr>
            <w:tcW w:w="2383" w:type="dxa"/>
            <w:tcBorders>
              <w:right w:val="nil"/>
            </w:tcBorders>
          </w:tcPr>
          <w:p>
            <w:pPr>
              <w:pStyle w:val="TableParagraph"/>
              <w:spacing w:line="210" w:lineRule="exact" w:before="0"/>
              <w:ind w:left="1085"/>
              <w:rPr>
                <w:sz w:val="20"/>
              </w:rPr>
            </w:pPr>
            <w:r>
              <w:rPr>
                <w:sz w:val="20"/>
              </w:rPr>
              <w:t>14</w:t>
            </w:r>
          </w:p>
        </w:tc>
      </w:tr>
      <w:tr>
        <w:trPr>
          <w:trHeight w:val="229" w:hRule="atLeast"/>
        </w:trPr>
        <w:tc>
          <w:tcPr>
            <w:tcW w:w="6735" w:type="dxa"/>
            <w:tcBorders>
              <w:top w:val="single" w:sz="6" w:space="0" w:color="000000"/>
              <w:left w:val="nil"/>
              <w:bottom w:val="single" w:sz="6" w:space="0" w:color="000000"/>
            </w:tcBorders>
          </w:tcPr>
          <w:p>
            <w:pPr>
              <w:pStyle w:val="TableParagraph"/>
              <w:spacing w:line="210" w:lineRule="exact" w:before="0"/>
              <w:ind w:left="84"/>
              <w:rPr>
                <w:sz w:val="20"/>
              </w:rPr>
            </w:pPr>
            <w:r>
              <w:rPr>
                <w:sz w:val="20"/>
              </w:rPr>
              <w:t>AUDI 1 – Órgãos Públicos</w:t>
            </w:r>
          </w:p>
        </w:tc>
        <w:tc>
          <w:tcPr>
            <w:tcW w:w="5185" w:type="dxa"/>
          </w:tcPr>
          <w:p>
            <w:pPr>
              <w:pStyle w:val="TableParagraph"/>
              <w:spacing w:line="210" w:lineRule="exact" w:before="0"/>
              <w:ind w:left="65"/>
              <w:rPr>
                <w:sz w:val="20"/>
              </w:rPr>
            </w:pPr>
            <w:r>
              <w:rPr>
                <w:sz w:val="20"/>
              </w:rPr>
              <w:t>Instituto dos Auditores Internos (IIA Brasil)</w:t>
            </w:r>
          </w:p>
        </w:tc>
        <w:tc>
          <w:tcPr>
            <w:tcW w:w="2383" w:type="dxa"/>
            <w:tcBorders>
              <w:right w:val="nil"/>
            </w:tcBorders>
          </w:tcPr>
          <w:p>
            <w:pPr>
              <w:pStyle w:val="TableParagraph"/>
              <w:spacing w:line="210" w:lineRule="exact" w:before="0"/>
              <w:ind w:left="1085"/>
              <w:rPr>
                <w:sz w:val="20"/>
              </w:rPr>
            </w:pPr>
            <w:r>
              <w:rPr>
                <w:sz w:val="20"/>
              </w:rPr>
              <w:t>14</w:t>
            </w:r>
          </w:p>
        </w:tc>
      </w:tr>
      <w:tr>
        <w:trPr>
          <w:trHeight w:val="229" w:hRule="atLeast"/>
        </w:trPr>
        <w:tc>
          <w:tcPr>
            <w:tcW w:w="6735" w:type="dxa"/>
            <w:tcBorders>
              <w:top w:val="single" w:sz="6" w:space="0" w:color="000000"/>
              <w:left w:val="nil"/>
              <w:bottom w:val="single" w:sz="6" w:space="0" w:color="000000"/>
            </w:tcBorders>
          </w:tcPr>
          <w:p>
            <w:pPr>
              <w:pStyle w:val="TableParagraph"/>
              <w:spacing w:line="210" w:lineRule="exact" w:before="0"/>
              <w:ind w:left="84"/>
              <w:rPr>
                <w:sz w:val="20"/>
              </w:rPr>
            </w:pPr>
            <w:r>
              <w:rPr>
                <w:sz w:val="20"/>
              </w:rPr>
              <w:t>AUDI 2 – Órgãos Públicos</w:t>
            </w:r>
          </w:p>
        </w:tc>
        <w:tc>
          <w:tcPr>
            <w:tcW w:w="5185" w:type="dxa"/>
          </w:tcPr>
          <w:p>
            <w:pPr>
              <w:pStyle w:val="TableParagraph"/>
              <w:spacing w:line="210" w:lineRule="exact" w:before="0"/>
              <w:ind w:left="65"/>
              <w:rPr>
                <w:sz w:val="20"/>
              </w:rPr>
            </w:pPr>
            <w:r>
              <w:rPr>
                <w:sz w:val="20"/>
              </w:rPr>
              <w:t>Instituto dos Auditores Internos (IIA Brasil)</w:t>
            </w:r>
          </w:p>
        </w:tc>
        <w:tc>
          <w:tcPr>
            <w:tcW w:w="2383" w:type="dxa"/>
            <w:tcBorders>
              <w:right w:val="nil"/>
            </w:tcBorders>
          </w:tcPr>
          <w:p>
            <w:pPr>
              <w:pStyle w:val="TableParagraph"/>
              <w:spacing w:line="210" w:lineRule="exact" w:before="0"/>
              <w:ind w:left="1085"/>
              <w:rPr>
                <w:sz w:val="20"/>
              </w:rPr>
            </w:pPr>
            <w:r>
              <w:rPr>
                <w:sz w:val="20"/>
              </w:rPr>
              <w:t>14</w:t>
            </w:r>
          </w:p>
        </w:tc>
      </w:tr>
      <w:tr>
        <w:trPr>
          <w:trHeight w:val="229" w:hRule="atLeast"/>
        </w:trPr>
        <w:tc>
          <w:tcPr>
            <w:tcW w:w="6735" w:type="dxa"/>
            <w:tcBorders>
              <w:top w:val="single" w:sz="6" w:space="0" w:color="000000"/>
              <w:left w:val="nil"/>
              <w:bottom w:val="single" w:sz="6" w:space="0" w:color="000000"/>
            </w:tcBorders>
          </w:tcPr>
          <w:p>
            <w:pPr>
              <w:pStyle w:val="TableParagraph"/>
              <w:spacing w:line="210" w:lineRule="exact" w:before="0"/>
              <w:ind w:left="84"/>
              <w:rPr>
                <w:sz w:val="20"/>
              </w:rPr>
            </w:pPr>
            <w:r>
              <w:rPr>
                <w:sz w:val="20"/>
              </w:rPr>
              <w:t>Estrutura tecnológica de TI – </w:t>
            </w:r>
            <w:r>
              <w:rPr>
                <w:i/>
                <w:sz w:val="20"/>
              </w:rPr>
              <w:t>hardware, software </w:t>
            </w:r>
            <w:r>
              <w:rPr>
                <w:sz w:val="20"/>
              </w:rPr>
              <w:t>**</w:t>
            </w:r>
          </w:p>
        </w:tc>
        <w:tc>
          <w:tcPr>
            <w:tcW w:w="5185" w:type="dxa"/>
          </w:tcPr>
          <w:p>
            <w:pPr>
              <w:pStyle w:val="TableParagraph"/>
              <w:spacing w:line="210" w:lineRule="exact" w:before="0"/>
              <w:ind w:left="65"/>
              <w:rPr>
                <w:sz w:val="20"/>
              </w:rPr>
            </w:pPr>
            <w:r>
              <w:rPr>
                <w:sz w:val="20"/>
              </w:rPr>
              <w:t>Curso Online fornecido pelo TSE</w:t>
            </w:r>
          </w:p>
        </w:tc>
        <w:tc>
          <w:tcPr>
            <w:tcW w:w="2383" w:type="dxa"/>
            <w:tcBorders>
              <w:right w:val="nil"/>
            </w:tcBorders>
          </w:tcPr>
          <w:p>
            <w:pPr>
              <w:pStyle w:val="TableParagraph"/>
              <w:spacing w:line="210" w:lineRule="exact" w:before="0"/>
              <w:ind w:left="1135"/>
              <w:rPr>
                <w:sz w:val="20"/>
              </w:rPr>
            </w:pPr>
            <w:r>
              <w:rPr>
                <w:w w:val="99"/>
                <w:sz w:val="20"/>
              </w:rPr>
              <w:t>4</w:t>
            </w:r>
          </w:p>
        </w:tc>
      </w:tr>
      <w:tr>
        <w:trPr>
          <w:trHeight w:val="460" w:hRule="atLeast"/>
        </w:trPr>
        <w:tc>
          <w:tcPr>
            <w:tcW w:w="6735" w:type="dxa"/>
            <w:tcBorders>
              <w:top w:val="single" w:sz="6" w:space="0" w:color="000000"/>
              <w:left w:val="nil"/>
              <w:bottom w:val="single" w:sz="6" w:space="0" w:color="000000"/>
            </w:tcBorders>
          </w:tcPr>
          <w:p>
            <w:pPr>
              <w:pStyle w:val="TableParagraph"/>
              <w:spacing w:line="230" w:lineRule="exact" w:before="3"/>
              <w:ind w:left="84"/>
              <w:rPr>
                <w:sz w:val="20"/>
              </w:rPr>
            </w:pPr>
            <w:r>
              <w:rPr>
                <w:sz w:val="20"/>
              </w:rPr>
              <w:t>Fórum de Boas Práticas de Auditoria e Controle Interno do Poder Judiciário na modalidade on-line</w:t>
            </w:r>
          </w:p>
        </w:tc>
        <w:tc>
          <w:tcPr>
            <w:tcW w:w="5185" w:type="dxa"/>
          </w:tcPr>
          <w:p>
            <w:pPr>
              <w:pStyle w:val="TableParagraph"/>
              <w:spacing w:before="115"/>
              <w:ind w:left="65"/>
              <w:rPr>
                <w:sz w:val="20"/>
              </w:rPr>
            </w:pPr>
            <w:r>
              <w:rPr>
                <w:sz w:val="20"/>
              </w:rPr>
              <w:t>Comissão de Órgãos de Auditoria Interna do Poder Judiciário</w:t>
            </w:r>
          </w:p>
        </w:tc>
        <w:tc>
          <w:tcPr>
            <w:tcW w:w="2383" w:type="dxa"/>
            <w:tcBorders>
              <w:right w:val="nil"/>
            </w:tcBorders>
          </w:tcPr>
          <w:p>
            <w:pPr>
              <w:pStyle w:val="TableParagraph"/>
              <w:spacing w:before="115"/>
              <w:ind w:left="1085"/>
              <w:rPr>
                <w:sz w:val="20"/>
              </w:rPr>
            </w:pPr>
            <w:r>
              <w:rPr>
                <w:sz w:val="20"/>
              </w:rPr>
              <w:t>14</w:t>
            </w:r>
          </w:p>
        </w:tc>
      </w:tr>
      <w:tr>
        <w:trPr>
          <w:trHeight w:val="226" w:hRule="atLeast"/>
        </w:trPr>
        <w:tc>
          <w:tcPr>
            <w:tcW w:w="6735" w:type="dxa"/>
            <w:tcBorders>
              <w:top w:val="single" w:sz="6" w:space="0" w:color="000000"/>
              <w:left w:val="nil"/>
              <w:bottom w:val="single" w:sz="6" w:space="0" w:color="000000"/>
            </w:tcBorders>
          </w:tcPr>
          <w:p>
            <w:pPr>
              <w:pStyle w:val="TableParagraph"/>
              <w:spacing w:line="207" w:lineRule="exact" w:before="0"/>
              <w:ind w:left="84"/>
              <w:rPr>
                <w:sz w:val="20"/>
              </w:rPr>
            </w:pPr>
            <w:r>
              <w:rPr>
                <w:sz w:val="20"/>
              </w:rPr>
              <w:t>Fórum Nacional de Controle</w:t>
            </w:r>
          </w:p>
        </w:tc>
        <w:tc>
          <w:tcPr>
            <w:tcW w:w="5185" w:type="dxa"/>
          </w:tcPr>
          <w:p>
            <w:pPr>
              <w:pStyle w:val="TableParagraph"/>
              <w:spacing w:line="207" w:lineRule="exact" w:before="0"/>
              <w:ind w:left="65"/>
              <w:rPr>
                <w:sz w:val="20"/>
              </w:rPr>
            </w:pPr>
            <w:r>
              <w:rPr>
                <w:sz w:val="20"/>
              </w:rPr>
              <w:t>Tribunal de Contas da União (TCU)</w:t>
            </w:r>
          </w:p>
        </w:tc>
        <w:tc>
          <w:tcPr>
            <w:tcW w:w="2383" w:type="dxa"/>
            <w:tcBorders>
              <w:right w:val="nil"/>
            </w:tcBorders>
          </w:tcPr>
          <w:p>
            <w:pPr>
              <w:pStyle w:val="TableParagraph"/>
              <w:spacing w:line="207" w:lineRule="exact" w:before="0"/>
              <w:ind w:left="1135"/>
              <w:rPr>
                <w:sz w:val="20"/>
              </w:rPr>
            </w:pPr>
            <w:r>
              <w:rPr>
                <w:w w:val="99"/>
                <w:sz w:val="20"/>
              </w:rPr>
              <w:t>3</w:t>
            </w:r>
          </w:p>
        </w:tc>
      </w:tr>
      <w:tr>
        <w:trPr>
          <w:trHeight w:val="229" w:hRule="atLeast"/>
        </w:trPr>
        <w:tc>
          <w:tcPr>
            <w:tcW w:w="6735" w:type="dxa"/>
            <w:tcBorders>
              <w:top w:val="single" w:sz="6" w:space="0" w:color="000000"/>
              <w:left w:val="nil"/>
              <w:bottom w:val="single" w:sz="6" w:space="0" w:color="000000"/>
            </w:tcBorders>
          </w:tcPr>
          <w:p>
            <w:pPr>
              <w:pStyle w:val="TableParagraph"/>
              <w:spacing w:line="210" w:lineRule="exact" w:before="0"/>
              <w:ind w:left="84"/>
              <w:rPr>
                <w:sz w:val="20"/>
              </w:rPr>
            </w:pPr>
            <w:r>
              <w:rPr>
                <w:sz w:val="20"/>
              </w:rPr>
              <w:t>Congresso Brasileiro de Auditoria Interna (CONBRAI)</w:t>
            </w:r>
          </w:p>
        </w:tc>
        <w:tc>
          <w:tcPr>
            <w:tcW w:w="5185" w:type="dxa"/>
          </w:tcPr>
          <w:p>
            <w:pPr>
              <w:pStyle w:val="TableParagraph"/>
              <w:spacing w:line="210" w:lineRule="exact" w:before="0"/>
              <w:ind w:left="65"/>
              <w:rPr>
                <w:sz w:val="20"/>
              </w:rPr>
            </w:pPr>
            <w:r>
              <w:rPr>
                <w:sz w:val="20"/>
              </w:rPr>
              <w:t>Instituto dos Auditores Internos (IIA Brasil)</w:t>
            </w:r>
          </w:p>
        </w:tc>
        <w:tc>
          <w:tcPr>
            <w:tcW w:w="2383" w:type="dxa"/>
            <w:tcBorders>
              <w:right w:val="nil"/>
            </w:tcBorders>
          </w:tcPr>
          <w:p>
            <w:pPr>
              <w:pStyle w:val="TableParagraph"/>
              <w:spacing w:line="210" w:lineRule="exact" w:before="0"/>
              <w:ind w:left="1135"/>
              <w:rPr>
                <w:sz w:val="20"/>
              </w:rPr>
            </w:pPr>
            <w:r>
              <w:rPr>
                <w:w w:val="99"/>
                <w:sz w:val="20"/>
              </w:rPr>
              <w:t>4</w:t>
            </w:r>
          </w:p>
        </w:tc>
      </w:tr>
      <w:tr>
        <w:trPr>
          <w:trHeight w:val="460" w:hRule="atLeast"/>
        </w:trPr>
        <w:tc>
          <w:tcPr>
            <w:tcW w:w="6735" w:type="dxa"/>
            <w:tcBorders>
              <w:top w:val="single" w:sz="6" w:space="0" w:color="000000"/>
              <w:left w:val="nil"/>
              <w:bottom w:val="single" w:sz="6" w:space="0" w:color="000000"/>
            </w:tcBorders>
          </w:tcPr>
          <w:p>
            <w:pPr>
              <w:pStyle w:val="TableParagraph"/>
              <w:spacing w:line="230" w:lineRule="exact" w:before="3"/>
              <w:ind w:left="84"/>
              <w:rPr>
                <w:sz w:val="20"/>
              </w:rPr>
            </w:pPr>
            <w:r>
              <w:rPr>
                <w:sz w:val="20"/>
              </w:rPr>
              <w:t>Elaboração de planilhas de custos e formação de preços de bens e de serviços terceirizados de acordo com a IN 05/17 SEGES/MPDG e suas alterações**</w:t>
            </w:r>
          </w:p>
        </w:tc>
        <w:tc>
          <w:tcPr>
            <w:tcW w:w="5185" w:type="dxa"/>
          </w:tcPr>
          <w:p>
            <w:pPr>
              <w:pStyle w:val="TableParagraph"/>
              <w:spacing w:before="115"/>
              <w:ind w:left="65"/>
              <w:rPr>
                <w:sz w:val="20"/>
              </w:rPr>
            </w:pPr>
            <w:r>
              <w:rPr>
                <w:sz w:val="20"/>
              </w:rPr>
              <w:t>One Cursos Treinamentos Online</w:t>
            </w:r>
          </w:p>
        </w:tc>
        <w:tc>
          <w:tcPr>
            <w:tcW w:w="2383" w:type="dxa"/>
            <w:tcBorders>
              <w:right w:val="nil"/>
            </w:tcBorders>
          </w:tcPr>
          <w:p>
            <w:pPr>
              <w:pStyle w:val="TableParagraph"/>
              <w:spacing w:before="115"/>
              <w:ind w:left="1135"/>
              <w:rPr>
                <w:sz w:val="20"/>
              </w:rPr>
            </w:pPr>
            <w:r>
              <w:rPr>
                <w:w w:val="99"/>
                <w:sz w:val="20"/>
              </w:rPr>
              <w:t>1</w:t>
            </w:r>
          </w:p>
        </w:tc>
      </w:tr>
      <w:tr>
        <w:trPr>
          <w:trHeight w:val="227" w:hRule="atLeast"/>
        </w:trPr>
        <w:tc>
          <w:tcPr>
            <w:tcW w:w="6735" w:type="dxa"/>
            <w:tcBorders>
              <w:top w:val="single" w:sz="6" w:space="0" w:color="000000"/>
              <w:left w:val="nil"/>
              <w:bottom w:val="single" w:sz="6" w:space="0" w:color="000000"/>
            </w:tcBorders>
          </w:tcPr>
          <w:p>
            <w:pPr>
              <w:pStyle w:val="TableParagraph"/>
              <w:spacing w:line="207" w:lineRule="exact" w:before="0"/>
              <w:ind w:left="84"/>
              <w:rPr>
                <w:sz w:val="20"/>
              </w:rPr>
            </w:pPr>
            <w:r>
              <w:rPr>
                <w:sz w:val="20"/>
              </w:rPr>
              <w:t>Fiscalização de Contratos de Serviços Terceirizados**</w:t>
            </w:r>
          </w:p>
        </w:tc>
        <w:tc>
          <w:tcPr>
            <w:tcW w:w="5185" w:type="dxa"/>
          </w:tcPr>
          <w:p>
            <w:pPr>
              <w:pStyle w:val="TableParagraph"/>
              <w:spacing w:line="207" w:lineRule="exact" w:before="0"/>
              <w:ind w:left="65"/>
              <w:rPr>
                <w:sz w:val="20"/>
              </w:rPr>
            </w:pPr>
            <w:r>
              <w:rPr>
                <w:sz w:val="20"/>
              </w:rPr>
              <w:t>One Cursos Treinamentos Online</w:t>
            </w:r>
          </w:p>
        </w:tc>
        <w:tc>
          <w:tcPr>
            <w:tcW w:w="2383" w:type="dxa"/>
            <w:tcBorders>
              <w:right w:val="nil"/>
            </w:tcBorders>
          </w:tcPr>
          <w:p>
            <w:pPr>
              <w:pStyle w:val="TableParagraph"/>
              <w:spacing w:line="207" w:lineRule="exact" w:before="0"/>
              <w:ind w:left="1135"/>
              <w:rPr>
                <w:sz w:val="20"/>
              </w:rPr>
            </w:pPr>
            <w:r>
              <w:rPr>
                <w:w w:val="99"/>
                <w:sz w:val="20"/>
              </w:rPr>
              <w:t>1</w:t>
            </w:r>
          </w:p>
        </w:tc>
      </w:tr>
      <w:tr>
        <w:trPr>
          <w:trHeight w:val="460" w:hRule="atLeast"/>
        </w:trPr>
        <w:tc>
          <w:tcPr>
            <w:tcW w:w="6735" w:type="dxa"/>
            <w:tcBorders>
              <w:top w:val="single" w:sz="6" w:space="0" w:color="000000"/>
              <w:left w:val="nil"/>
              <w:bottom w:val="single" w:sz="6" w:space="0" w:color="000000"/>
            </w:tcBorders>
          </w:tcPr>
          <w:p>
            <w:pPr>
              <w:pStyle w:val="TableParagraph"/>
              <w:spacing w:line="230" w:lineRule="exact" w:before="3"/>
              <w:ind w:left="84"/>
              <w:rPr>
                <w:sz w:val="20"/>
              </w:rPr>
            </w:pPr>
            <w:r>
              <w:rPr>
                <w:sz w:val="20"/>
              </w:rPr>
              <w:t>Novidades e repercussões da pandemia nas contratações públicas de acordo com a Lei nº 13.979/2020 e a MP nº 961/2020**</w:t>
            </w:r>
          </w:p>
        </w:tc>
        <w:tc>
          <w:tcPr>
            <w:tcW w:w="5185" w:type="dxa"/>
          </w:tcPr>
          <w:p>
            <w:pPr>
              <w:pStyle w:val="TableParagraph"/>
              <w:spacing w:before="115"/>
              <w:ind w:left="65"/>
              <w:rPr>
                <w:sz w:val="20"/>
              </w:rPr>
            </w:pPr>
            <w:r>
              <w:rPr>
                <w:sz w:val="20"/>
              </w:rPr>
              <w:t>ZÊNITE INFORMAÇÃO E CONSULTORIA S.A</w:t>
            </w:r>
          </w:p>
        </w:tc>
        <w:tc>
          <w:tcPr>
            <w:tcW w:w="2383" w:type="dxa"/>
            <w:tcBorders>
              <w:right w:val="nil"/>
            </w:tcBorders>
          </w:tcPr>
          <w:p>
            <w:pPr>
              <w:pStyle w:val="TableParagraph"/>
              <w:spacing w:before="115"/>
              <w:ind w:left="1135"/>
              <w:rPr>
                <w:sz w:val="20"/>
              </w:rPr>
            </w:pPr>
            <w:r>
              <w:rPr>
                <w:w w:val="99"/>
                <w:sz w:val="20"/>
              </w:rPr>
              <w:t>1</w:t>
            </w:r>
          </w:p>
        </w:tc>
      </w:tr>
      <w:tr>
        <w:trPr>
          <w:trHeight w:val="226" w:hRule="atLeast"/>
        </w:trPr>
        <w:tc>
          <w:tcPr>
            <w:tcW w:w="6735" w:type="dxa"/>
            <w:tcBorders>
              <w:top w:val="single" w:sz="6" w:space="0" w:color="000000"/>
              <w:left w:val="nil"/>
              <w:bottom w:val="single" w:sz="6" w:space="0" w:color="000000"/>
            </w:tcBorders>
          </w:tcPr>
          <w:p>
            <w:pPr>
              <w:pStyle w:val="TableParagraph"/>
              <w:spacing w:line="207" w:lineRule="exact" w:before="0"/>
              <w:ind w:left="84"/>
              <w:rPr>
                <w:sz w:val="20"/>
              </w:rPr>
            </w:pPr>
            <w:r>
              <w:rPr>
                <w:sz w:val="20"/>
              </w:rPr>
              <w:t>Auditoria nas Contas Anuais - financeira integrada com conformidade**</w:t>
            </w:r>
          </w:p>
        </w:tc>
        <w:tc>
          <w:tcPr>
            <w:tcW w:w="5185" w:type="dxa"/>
          </w:tcPr>
          <w:p>
            <w:pPr>
              <w:pStyle w:val="TableParagraph"/>
              <w:spacing w:line="207" w:lineRule="exact" w:before="0"/>
              <w:ind w:left="65"/>
              <w:rPr>
                <w:sz w:val="20"/>
              </w:rPr>
            </w:pPr>
            <w:r>
              <w:rPr>
                <w:sz w:val="20"/>
              </w:rPr>
              <w:t>Tribunal de Contas da União</w:t>
            </w:r>
          </w:p>
        </w:tc>
        <w:tc>
          <w:tcPr>
            <w:tcW w:w="2383" w:type="dxa"/>
            <w:tcBorders>
              <w:right w:val="nil"/>
            </w:tcBorders>
          </w:tcPr>
          <w:p>
            <w:pPr>
              <w:pStyle w:val="TableParagraph"/>
              <w:spacing w:line="207" w:lineRule="exact" w:before="0"/>
              <w:ind w:left="1085"/>
              <w:rPr>
                <w:sz w:val="20"/>
              </w:rPr>
            </w:pPr>
            <w:r>
              <w:rPr>
                <w:sz w:val="20"/>
              </w:rPr>
              <w:t>14</w:t>
            </w:r>
          </w:p>
        </w:tc>
      </w:tr>
      <w:tr>
        <w:trPr>
          <w:trHeight w:val="229" w:hRule="atLeast"/>
        </w:trPr>
        <w:tc>
          <w:tcPr>
            <w:tcW w:w="6735" w:type="dxa"/>
            <w:tcBorders>
              <w:top w:val="single" w:sz="6" w:space="0" w:color="000000"/>
              <w:left w:val="nil"/>
              <w:bottom w:val="single" w:sz="6" w:space="0" w:color="000000"/>
            </w:tcBorders>
          </w:tcPr>
          <w:p>
            <w:pPr>
              <w:pStyle w:val="TableParagraph"/>
              <w:spacing w:line="210" w:lineRule="exact" w:before="0"/>
              <w:ind w:left="84"/>
              <w:rPr>
                <w:sz w:val="20"/>
              </w:rPr>
            </w:pPr>
            <w:r>
              <w:rPr>
                <w:sz w:val="20"/>
              </w:rPr>
              <w:t>Normas Internacionais de Auditoria Financeira**</w:t>
            </w:r>
          </w:p>
        </w:tc>
        <w:tc>
          <w:tcPr>
            <w:tcW w:w="5185" w:type="dxa"/>
          </w:tcPr>
          <w:p>
            <w:pPr>
              <w:pStyle w:val="TableParagraph"/>
              <w:spacing w:line="210" w:lineRule="exact" w:before="0"/>
              <w:ind w:left="65"/>
              <w:rPr>
                <w:sz w:val="20"/>
              </w:rPr>
            </w:pPr>
            <w:r>
              <w:rPr>
                <w:sz w:val="20"/>
              </w:rPr>
              <w:t>ENAP</w:t>
            </w:r>
          </w:p>
        </w:tc>
        <w:tc>
          <w:tcPr>
            <w:tcW w:w="2383" w:type="dxa"/>
            <w:tcBorders>
              <w:right w:val="nil"/>
            </w:tcBorders>
          </w:tcPr>
          <w:p>
            <w:pPr>
              <w:pStyle w:val="TableParagraph"/>
              <w:spacing w:line="210" w:lineRule="exact" w:before="0"/>
              <w:ind w:left="1135"/>
              <w:rPr>
                <w:sz w:val="20"/>
              </w:rPr>
            </w:pPr>
            <w:r>
              <w:rPr>
                <w:w w:val="99"/>
                <w:sz w:val="20"/>
              </w:rPr>
              <w:t>3</w:t>
            </w:r>
          </w:p>
        </w:tc>
      </w:tr>
      <w:tr>
        <w:trPr>
          <w:trHeight w:val="229" w:hRule="atLeast"/>
        </w:trPr>
        <w:tc>
          <w:tcPr>
            <w:tcW w:w="6735" w:type="dxa"/>
            <w:tcBorders>
              <w:top w:val="single" w:sz="6" w:space="0" w:color="000000"/>
              <w:left w:val="nil"/>
              <w:bottom w:val="single" w:sz="6" w:space="0" w:color="000000"/>
            </w:tcBorders>
          </w:tcPr>
          <w:p>
            <w:pPr>
              <w:pStyle w:val="TableParagraph"/>
              <w:spacing w:line="210" w:lineRule="exact" w:before="0"/>
              <w:ind w:left="84"/>
              <w:rPr>
                <w:sz w:val="20"/>
              </w:rPr>
            </w:pPr>
            <w:r>
              <w:rPr>
                <w:sz w:val="20"/>
              </w:rPr>
              <w:t>Mudanças da Contabilidade Aplicada ao Setor Público**</w:t>
            </w:r>
          </w:p>
        </w:tc>
        <w:tc>
          <w:tcPr>
            <w:tcW w:w="5185" w:type="dxa"/>
          </w:tcPr>
          <w:p>
            <w:pPr>
              <w:pStyle w:val="TableParagraph"/>
              <w:spacing w:line="210" w:lineRule="exact" w:before="0"/>
              <w:ind w:left="65"/>
              <w:rPr>
                <w:sz w:val="20"/>
              </w:rPr>
            </w:pPr>
            <w:r>
              <w:rPr>
                <w:sz w:val="20"/>
              </w:rPr>
              <w:t>ENAP</w:t>
            </w:r>
          </w:p>
        </w:tc>
        <w:tc>
          <w:tcPr>
            <w:tcW w:w="2383" w:type="dxa"/>
            <w:tcBorders>
              <w:right w:val="nil"/>
            </w:tcBorders>
          </w:tcPr>
          <w:p>
            <w:pPr>
              <w:pStyle w:val="TableParagraph"/>
              <w:spacing w:line="210" w:lineRule="exact" w:before="0"/>
              <w:ind w:left="1135"/>
              <w:rPr>
                <w:sz w:val="20"/>
              </w:rPr>
            </w:pPr>
            <w:r>
              <w:rPr>
                <w:w w:val="99"/>
                <w:sz w:val="20"/>
              </w:rPr>
              <w:t>3</w:t>
            </w:r>
          </w:p>
        </w:tc>
      </w:tr>
      <w:tr>
        <w:trPr>
          <w:trHeight w:val="229" w:hRule="atLeast"/>
        </w:trPr>
        <w:tc>
          <w:tcPr>
            <w:tcW w:w="6735" w:type="dxa"/>
            <w:tcBorders>
              <w:top w:val="single" w:sz="6" w:space="0" w:color="000000"/>
              <w:left w:val="nil"/>
              <w:bottom w:val="single" w:sz="6" w:space="0" w:color="000000"/>
            </w:tcBorders>
          </w:tcPr>
          <w:p>
            <w:pPr>
              <w:pStyle w:val="TableParagraph"/>
              <w:spacing w:line="210" w:lineRule="exact" w:before="0"/>
              <w:ind w:left="84"/>
              <w:rPr>
                <w:sz w:val="20"/>
              </w:rPr>
            </w:pPr>
            <w:r>
              <w:rPr>
                <w:sz w:val="20"/>
              </w:rPr>
              <w:t>Auditoria Financeira**</w:t>
            </w:r>
          </w:p>
        </w:tc>
        <w:tc>
          <w:tcPr>
            <w:tcW w:w="5185" w:type="dxa"/>
          </w:tcPr>
          <w:p>
            <w:pPr>
              <w:pStyle w:val="TableParagraph"/>
              <w:spacing w:line="210" w:lineRule="exact" w:before="0"/>
              <w:ind w:left="65"/>
              <w:rPr>
                <w:sz w:val="20"/>
              </w:rPr>
            </w:pPr>
            <w:r>
              <w:rPr>
                <w:sz w:val="20"/>
              </w:rPr>
              <w:t>Escola Nacional de Governo</w:t>
            </w:r>
          </w:p>
        </w:tc>
        <w:tc>
          <w:tcPr>
            <w:tcW w:w="2383" w:type="dxa"/>
            <w:tcBorders>
              <w:right w:val="nil"/>
            </w:tcBorders>
          </w:tcPr>
          <w:p>
            <w:pPr>
              <w:pStyle w:val="TableParagraph"/>
              <w:spacing w:line="210" w:lineRule="exact" w:before="0"/>
              <w:ind w:left="1135"/>
              <w:rPr>
                <w:sz w:val="20"/>
              </w:rPr>
            </w:pPr>
            <w:r>
              <w:rPr>
                <w:w w:val="99"/>
                <w:sz w:val="20"/>
              </w:rPr>
              <w:t>5</w:t>
            </w:r>
          </w:p>
        </w:tc>
      </w:tr>
      <w:tr>
        <w:trPr>
          <w:trHeight w:val="229" w:hRule="atLeast"/>
        </w:trPr>
        <w:tc>
          <w:tcPr>
            <w:tcW w:w="6735" w:type="dxa"/>
            <w:tcBorders>
              <w:top w:val="single" w:sz="6" w:space="0" w:color="000000"/>
              <w:left w:val="nil"/>
              <w:bottom w:val="single" w:sz="6" w:space="0" w:color="000000"/>
            </w:tcBorders>
          </w:tcPr>
          <w:p>
            <w:pPr>
              <w:pStyle w:val="TableParagraph"/>
              <w:spacing w:line="210" w:lineRule="exact" w:before="0"/>
              <w:ind w:left="84"/>
              <w:rPr>
                <w:sz w:val="20"/>
              </w:rPr>
            </w:pPr>
            <w:r>
              <w:rPr>
                <w:sz w:val="20"/>
              </w:rPr>
              <w:t>Tesouro Gerencial**</w:t>
            </w:r>
          </w:p>
        </w:tc>
        <w:tc>
          <w:tcPr>
            <w:tcW w:w="5185" w:type="dxa"/>
          </w:tcPr>
          <w:p>
            <w:pPr>
              <w:pStyle w:val="TableParagraph"/>
              <w:spacing w:line="210" w:lineRule="exact" w:before="0"/>
              <w:ind w:left="65"/>
              <w:rPr>
                <w:sz w:val="20"/>
              </w:rPr>
            </w:pPr>
            <w:r>
              <w:rPr>
                <w:sz w:val="20"/>
              </w:rPr>
              <w:t>ENAP</w:t>
            </w:r>
          </w:p>
        </w:tc>
        <w:tc>
          <w:tcPr>
            <w:tcW w:w="2383" w:type="dxa"/>
            <w:tcBorders>
              <w:right w:val="nil"/>
            </w:tcBorders>
          </w:tcPr>
          <w:p>
            <w:pPr>
              <w:pStyle w:val="TableParagraph"/>
              <w:spacing w:line="210" w:lineRule="exact" w:before="0"/>
              <w:ind w:left="1135"/>
              <w:rPr>
                <w:sz w:val="20"/>
              </w:rPr>
            </w:pPr>
            <w:r>
              <w:rPr>
                <w:w w:val="99"/>
                <w:sz w:val="20"/>
              </w:rPr>
              <w:t>1</w:t>
            </w:r>
          </w:p>
        </w:tc>
      </w:tr>
      <w:tr>
        <w:trPr>
          <w:trHeight w:val="229" w:hRule="atLeast"/>
        </w:trPr>
        <w:tc>
          <w:tcPr>
            <w:tcW w:w="6735" w:type="dxa"/>
            <w:tcBorders>
              <w:top w:val="single" w:sz="6" w:space="0" w:color="000000"/>
              <w:left w:val="nil"/>
              <w:bottom w:val="single" w:sz="6" w:space="0" w:color="000000"/>
            </w:tcBorders>
          </w:tcPr>
          <w:p>
            <w:pPr>
              <w:pStyle w:val="TableParagraph"/>
              <w:spacing w:line="210" w:lineRule="exact" w:before="0"/>
              <w:ind w:left="84"/>
              <w:rPr>
                <w:sz w:val="20"/>
              </w:rPr>
            </w:pPr>
            <w:r>
              <w:rPr>
                <w:sz w:val="20"/>
              </w:rPr>
              <w:t>Legislação de Pessoal – A Nova Previdência</w:t>
            </w:r>
          </w:p>
        </w:tc>
        <w:tc>
          <w:tcPr>
            <w:tcW w:w="5185" w:type="dxa"/>
          </w:tcPr>
          <w:p>
            <w:pPr>
              <w:pStyle w:val="TableParagraph"/>
              <w:spacing w:line="210" w:lineRule="exact" w:before="0"/>
              <w:ind w:left="65"/>
              <w:rPr>
                <w:sz w:val="20"/>
              </w:rPr>
            </w:pPr>
            <w:r>
              <w:rPr>
                <w:sz w:val="20"/>
              </w:rPr>
              <w:t>Hexagon</w:t>
            </w:r>
          </w:p>
        </w:tc>
        <w:tc>
          <w:tcPr>
            <w:tcW w:w="2383" w:type="dxa"/>
            <w:tcBorders>
              <w:right w:val="nil"/>
            </w:tcBorders>
          </w:tcPr>
          <w:p>
            <w:pPr>
              <w:pStyle w:val="TableParagraph"/>
              <w:spacing w:line="210" w:lineRule="exact" w:before="0"/>
              <w:ind w:left="1135"/>
              <w:rPr>
                <w:sz w:val="20"/>
              </w:rPr>
            </w:pPr>
            <w:r>
              <w:rPr>
                <w:w w:val="99"/>
                <w:sz w:val="20"/>
              </w:rPr>
              <w:t>3</w:t>
            </w:r>
          </w:p>
        </w:tc>
      </w:tr>
    </w:tbl>
    <w:p>
      <w:pPr>
        <w:spacing w:line="242" w:lineRule="auto" w:before="0"/>
        <w:ind w:left="598" w:right="9046" w:firstLine="0"/>
        <w:jc w:val="left"/>
        <w:rPr>
          <w:i/>
          <w:sz w:val="18"/>
        </w:rPr>
      </w:pPr>
      <w:r>
        <w:rPr>
          <w:i/>
          <w:sz w:val="18"/>
        </w:rPr>
        <w:t>(*) Elaborado em cumprimento aos artigos 69 a 73 da Resolução CNJ nº 309/2020. </w:t>
      </w:r>
      <w:r>
        <w:rPr>
          <w:i/>
          <w:sz w:val="18"/>
        </w:rPr>
        <w:t>(**) Cursos já realizados ou em andamento.</w:t>
      </w:r>
    </w:p>
    <w:p>
      <w:pPr>
        <w:spacing w:line="205" w:lineRule="exact" w:before="0"/>
        <w:ind w:left="598" w:right="0" w:firstLine="0"/>
        <w:jc w:val="left"/>
        <w:rPr>
          <w:i/>
          <w:sz w:val="18"/>
        </w:rPr>
      </w:pPr>
      <w:r>
        <w:rPr>
          <w:i/>
          <w:sz w:val="18"/>
        </w:rPr>
        <w:t>Nota: Muitos cursos foram realizados na modalidade on-line em função da pandemia.</w:t>
      </w:r>
    </w:p>
    <w:p>
      <w:pPr>
        <w:spacing w:after="0" w:line="205" w:lineRule="exact"/>
        <w:jc w:val="left"/>
        <w:rPr>
          <w:sz w:val="18"/>
        </w:rPr>
        <w:sectPr>
          <w:pgSz w:w="16840" w:h="11910" w:orient="landscape"/>
          <w:pgMar w:top="1100" w:bottom="280" w:left="820" w:right="300"/>
        </w:sectPr>
      </w:pPr>
    </w:p>
    <w:p>
      <w:pPr>
        <w:tabs>
          <w:tab w:pos="3055" w:val="left" w:leader="none"/>
          <w:tab w:pos="9634" w:val="left" w:leader="none"/>
        </w:tabs>
        <w:spacing w:before="74" w:after="10"/>
        <w:ind w:left="204" w:right="0" w:firstLine="0"/>
        <w:jc w:val="left"/>
        <w:rPr>
          <w:rFonts w:ascii="Arial" w:hAnsi="Arial"/>
          <w:sz w:val="16"/>
        </w:rPr>
      </w:pPr>
      <w:r>
        <w:rPr>
          <w:rFonts w:ascii="Arial" w:hAnsi="Arial"/>
          <w:sz w:val="16"/>
        </w:rPr>
        <w:t>Ano 2020,</w:t>
      </w:r>
      <w:r>
        <w:rPr>
          <w:rFonts w:ascii="Arial" w:hAnsi="Arial"/>
          <w:spacing w:val="-1"/>
          <w:sz w:val="16"/>
        </w:rPr>
        <w:t> </w:t>
      </w:r>
      <w:r>
        <w:rPr>
          <w:rFonts w:ascii="Arial" w:hAnsi="Arial"/>
          <w:sz w:val="16"/>
        </w:rPr>
        <w:t>Número</w:t>
      </w:r>
      <w:r>
        <w:rPr>
          <w:rFonts w:ascii="Arial" w:hAnsi="Arial"/>
          <w:spacing w:val="-1"/>
          <w:sz w:val="16"/>
        </w:rPr>
        <w:t> </w:t>
      </w:r>
      <w:r>
        <w:rPr>
          <w:rFonts w:ascii="Arial" w:hAnsi="Arial"/>
          <w:sz w:val="16"/>
        </w:rPr>
        <w:t>177</w:t>
        <w:tab/>
        <w:t>Salvador-BA, quarta-feira, 26 de agosto</w:t>
      </w:r>
      <w:r>
        <w:rPr>
          <w:rFonts w:ascii="Arial" w:hAnsi="Arial"/>
          <w:spacing w:val="-7"/>
          <w:sz w:val="16"/>
        </w:rPr>
        <w:t> </w:t>
      </w:r>
      <w:r>
        <w:rPr>
          <w:rFonts w:ascii="Arial" w:hAnsi="Arial"/>
          <w:sz w:val="16"/>
        </w:rPr>
        <w:t>de</w:t>
      </w:r>
      <w:r>
        <w:rPr>
          <w:rFonts w:ascii="Arial" w:hAnsi="Arial"/>
          <w:spacing w:val="-2"/>
          <w:sz w:val="16"/>
        </w:rPr>
        <w:t> </w:t>
      </w:r>
      <w:r>
        <w:rPr>
          <w:rFonts w:ascii="Arial" w:hAnsi="Arial"/>
          <w:sz w:val="16"/>
        </w:rPr>
        <w:t>2020</w:t>
        <w:tab/>
        <w:t>Página</w:t>
      </w:r>
      <w:r>
        <w:rPr>
          <w:rFonts w:ascii="Arial" w:hAnsi="Arial"/>
          <w:spacing w:val="1"/>
          <w:sz w:val="16"/>
        </w:rPr>
        <w:t> </w:t>
      </w:r>
      <w:r>
        <w:rPr>
          <w:rFonts w:ascii="Arial" w:hAnsi="Arial"/>
          <w:sz w:val="16"/>
        </w:rPr>
        <w:t>4</w:t>
      </w:r>
    </w:p>
    <w:p>
      <w:pPr>
        <w:pStyle w:val="BodyText"/>
        <w:spacing w:line="20" w:lineRule="exact"/>
        <w:ind w:left="166"/>
        <w:rPr>
          <w:rFonts w:ascii="Arial"/>
          <w:sz w:val="2"/>
        </w:rPr>
      </w:pPr>
      <w:r>
        <w:rPr>
          <w:rFonts w:ascii="Arial"/>
          <w:sz w:val="2"/>
        </w:rPr>
        <w:pict>
          <v:group style="width:507.4pt;height:.5pt;mso-position-horizontal-relative:char;mso-position-vertical-relative:line" coordorigin="0,0" coordsize="10148,10">
            <v:shape style="position:absolute;left:0;top:4;width:10148;height:2" coordorigin="0,5" coordsize="10148,0" path="m0,5l2851,5m2851,5l9264,5m9264,5l10147,5e" filled="false" stroked="true" strokeweight=".48pt" strokecolor="#000000">
              <v:path arrowok="t"/>
              <v:stroke dashstyle="solid"/>
            </v:shape>
          </v:group>
        </w:pict>
      </w:r>
      <w:r>
        <w:rPr>
          <w:rFonts w:ascii="Arial"/>
          <w:sz w:val="2"/>
        </w:rPr>
      </w:r>
    </w:p>
    <w:p>
      <w:pPr>
        <w:pStyle w:val="BodyText"/>
        <w:spacing w:before="11"/>
        <w:rPr>
          <w:rFonts w:ascii="Arial"/>
          <w:sz w:val="11"/>
        </w:rPr>
      </w:pPr>
    </w:p>
    <w:p>
      <w:pPr>
        <w:tabs>
          <w:tab w:pos="9991" w:val="right" w:leader="dot"/>
        </w:tabs>
        <w:spacing w:before="96"/>
        <w:ind w:left="874" w:right="0" w:firstLine="0"/>
        <w:jc w:val="left"/>
        <w:rPr>
          <w:rFonts w:ascii="Arial"/>
          <w:sz w:val="16"/>
        </w:rPr>
      </w:pPr>
      <w:r>
        <w:rPr>
          <w:rFonts w:ascii="Arial"/>
          <w:sz w:val="16"/>
        </w:rPr>
        <w:t>Editais</w:t>
        <w:tab/>
        <w:t>179</w:t>
      </w:r>
    </w:p>
    <w:p>
      <w:pPr>
        <w:tabs>
          <w:tab w:pos="9991" w:val="right" w:leader="dot"/>
        </w:tabs>
        <w:spacing w:before="20"/>
        <w:ind w:left="514" w:right="0" w:firstLine="0"/>
        <w:jc w:val="left"/>
        <w:rPr>
          <w:rFonts w:ascii="Arial" w:hAnsi="Arial"/>
          <w:sz w:val="16"/>
        </w:rPr>
      </w:pPr>
      <w:r>
        <w:rPr>
          <w:rFonts w:ascii="Arial" w:hAnsi="Arial"/>
          <w:sz w:val="16"/>
        </w:rPr>
        <w:t>190ª Zona Eleitoral -</w:t>
      </w:r>
      <w:r>
        <w:rPr>
          <w:rFonts w:ascii="Arial" w:hAnsi="Arial"/>
          <w:spacing w:val="-4"/>
          <w:sz w:val="16"/>
        </w:rPr>
        <w:t> </w:t>
      </w:r>
      <w:r>
        <w:rPr>
          <w:rFonts w:ascii="Arial" w:hAnsi="Arial"/>
          <w:sz w:val="16"/>
        </w:rPr>
        <w:t>SERRA</w:t>
      </w:r>
      <w:r>
        <w:rPr>
          <w:rFonts w:ascii="Arial" w:hAnsi="Arial"/>
          <w:spacing w:val="-1"/>
          <w:sz w:val="16"/>
        </w:rPr>
        <w:t> </w:t>
      </w:r>
      <w:r>
        <w:rPr>
          <w:rFonts w:ascii="Arial" w:hAnsi="Arial"/>
          <w:sz w:val="16"/>
        </w:rPr>
        <w:t>DOURADA</w:t>
        <w:tab/>
        <w:t>179</w:t>
      </w:r>
    </w:p>
    <w:p>
      <w:pPr>
        <w:tabs>
          <w:tab w:pos="9991" w:val="right" w:leader="dot"/>
        </w:tabs>
        <w:spacing w:before="20"/>
        <w:ind w:left="874" w:right="0" w:firstLine="0"/>
        <w:jc w:val="left"/>
        <w:rPr>
          <w:rFonts w:ascii="Arial"/>
          <w:sz w:val="16"/>
        </w:rPr>
      </w:pPr>
      <w:r>
        <w:rPr>
          <w:rFonts w:ascii="Arial"/>
          <w:sz w:val="16"/>
        </w:rPr>
        <w:t>Editais</w:t>
        <w:tab/>
        <w:t>179</w:t>
      </w:r>
    </w:p>
    <w:p>
      <w:pPr>
        <w:tabs>
          <w:tab w:pos="9991" w:val="right" w:leader="dot"/>
        </w:tabs>
        <w:spacing w:before="20"/>
        <w:ind w:left="514" w:right="0" w:firstLine="0"/>
        <w:jc w:val="left"/>
        <w:rPr>
          <w:rFonts w:ascii="Arial" w:hAnsi="Arial"/>
          <w:sz w:val="16"/>
        </w:rPr>
      </w:pPr>
      <w:r>
        <w:rPr>
          <w:rFonts w:ascii="Arial" w:hAnsi="Arial"/>
          <w:sz w:val="16"/>
        </w:rPr>
        <w:t>192ª Zona Eleitoral - CONCEIÇÃO DO JACUÍPE</w:t>
        <w:tab/>
        <w:t>180</w:t>
      </w:r>
    </w:p>
    <w:p>
      <w:pPr>
        <w:tabs>
          <w:tab w:pos="9991" w:val="right" w:leader="dot"/>
        </w:tabs>
        <w:spacing w:before="20"/>
        <w:ind w:left="874" w:right="0" w:firstLine="0"/>
        <w:jc w:val="left"/>
        <w:rPr>
          <w:rFonts w:ascii="Arial"/>
          <w:sz w:val="16"/>
        </w:rPr>
      </w:pPr>
      <w:r>
        <w:rPr>
          <w:rFonts w:ascii="Arial"/>
          <w:sz w:val="16"/>
        </w:rPr>
        <w:t>Editais</w:t>
        <w:tab/>
        <w:t>180</w:t>
      </w:r>
    </w:p>
    <w:p>
      <w:pPr>
        <w:tabs>
          <w:tab w:pos="9991" w:val="right" w:leader="dot"/>
        </w:tabs>
        <w:spacing w:before="20"/>
        <w:ind w:left="874" w:right="0" w:firstLine="0"/>
        <w:jc w:val="left"/>
        <w:rPr>
          <w:rFonts w:ascii="Arial" w:hAnsi="Arial"/>
          <w:sz w:val="16"/>
        </w:rPr>
      </w:pPr>
      <w:r>
        <w:rPr>
          <w:rFonts w:ascii="Arial" w:hAnsi="Arial"/>
          <w:sz w:val="16"/>
        </w:rPr>
        <w:t>Intimações</w:t>
        <w:tab/>
        <w:t>180</w:t>
      </w:r>
    </w:p>
    <w:p>
      <w:pPr>
        <w:tabs>
          <w:tab w:pos="9991" w:val="right" w:leader="dot"/>
        </w:tabs>
        <w:spacing w:before="20"/>
        <w:ind w:left="514" w:right="0" w:firstLine="0"/>
        <w:jc w:val="left"/>
        <w:rPr>
          <w:rFonts w:ascii="Arial" w:hAnsi="Arial"/>
          <w:sz w:val="16"/>
        </w:rPr>
      </w:pPr>
      <w:r>
        <w:rPr>
          <w:rFonts w:ascii="Arial" w:hAnsi="Arial"/>
          <w:sz w:val="16"/>
        </w:rPr>
        <w:t>198ª Zona Eleitoral</w:t>
      </w:r>
      <w:r>
        <w:rPr>
          <w:rFonts w:ascii="Arial" w:hAnsi="Arial"/>
          <w:spacing w:val="-4"/>
          <w:sz w:val="16"/>
        </w:rPr>
        <w:t> </w:t>
      </w:r>
      <w:r>
        <w:rPr>
          <w:rFonts w:ascii="Arial" w:hAnsi="Arial"/>
          <w:sz w:val="16"/>
        </w:rPr>
        <w:t>-</w:t>
      </w:r>
      <w:r>
        <w:rPr>
          <w:rFonts w:ascii="Arial" w:hAnsi="Arial"/>
          <w:spacing w:val="-1"/>
          <w:sz w:val="16"/>
        </w:rPr>
        <w:t> </w:t>
      </w:r>
      <w:r>
        <w:rPr>
          <w:rFonts w:ascii="Arial" w:hAnsi="Arial"/>
          <w:sz w:val="16"/>
        </w:rPr>
        <w:t>URUÇUCA</w:t>
        <w:tab/>
        <w:t>182</w:t>
      </w:r>
    </w:p>
    <w:p>
      <w:pPr>
        <w:tabs>
          <w:tab w:pos="9991" w:val="right" w:leader="dot"/>
        </w:tabs>
        <w:spacing w:before="20"/>
        <w:ind w:left="874" w:right="0" w:firstLine="0"/>
        <w:jc w:val="left"/>
        <w:rPr>
          <w:rFonts w:ascii="Arial"/>
          <w:sz w:val="16"/>
        </w:rPr>
      </w:pPr>
      <w:r>
        <w:rPr>
          <w:rFonts w:ascii="Arial"/>
          <w:sz w:val="16"/>
        </w:rPr>
        <w:t>Editais</w:t>
        <w:tab/>
        <w:t>182</w:t>
      </w:r>
    </w:p>
    <w:p>
      <w:pPr>
        <w:tabs>
          <w:tab w:pos="9991" w:val="right" w:leader="dot"/>
        </w:tabs>
        <w:spacing w:before="20"/>
        <w:ind w:left="514" w:right="0" w:firstLine="0"/>
        <w:jc w:val="left"/>
        <w:rPr>
          <w:rFonts w:ascii="Arial" w:hAnsi="Arial"/>
          <w:sz w:val="16"/>
        </w:rPr>
      </w:pPr>
      <w:r>
        <w:rPr>
          <w:rFonts w:ascii="Arial" w:hAnsi="Arial"/>
          <w:sz w:val="16"/>
        </w:rPr>
        <w:t>199ª Zona Eleitoral -</w:t>
      </w:r>
      <w:r>
        <w:rPr>
          <w:rFonts w:ascii="Arial" w:hAnsi="Arial"/>
          <w:spacing w:val="-4"/>
          <w:sz w:val="16"/>
        </w:rPr>
        <w:t> </w:t>
      </w:r>
      <w:r>
        <w:rPr>
          <w:rFonts w:ascii="Arial" w:hAnsi="Arial"/>
          <w:sz w:val="16"/>
        </w:rPr>
        <w:t>JOÃO</w:t>
      </w:r>
      <w:r>
        <w:rPr>
          <w:rFonts w:ascii="Arial" w:hAnsi="Arial"/>
          <w:spacing w:val="-1"/>
          <w:sz w:val="16"/>
        </w:rPr>
        <w:t> </w:t>
      </w:r>
      <w:r>
        <w:rPr>
          <w:rFonts w:ascii="Arial" w:hAnsi="Arial"/>
          <w:sz w:val="16"/>
        </w:rPr>
        <w:t>DOURADO</w:t>
        <w:tab/>
        <w:t>184</w:t>
      </w:r>
    </w:p>
    <w:p>
      <w:pPr>
        <w:tabs>
          <w:tab w:pos="9991" w:val="right" w:leader="dot"/>
        </w:tabs>
        <w:spacing w:before="20"/>
        <w:ind w:left="874" w:right="0" w:firstLine="0"/>
        <w:jc w:val="left"/>
        <w:rPr>
          <w:rFonts w:ascii="Arial"/>
          <w:sz w:val="16"/>
        </w:rPr>
      </w:pPr>
      <w:r>
        <w:rPr>
          <w:rFonts w:ascii="Arial"/>
          <w:sz w:val="16"/>
        </w:rPr>
        <w:t>Editais</w:t>
        <w:tab/>
        <w:t>184</w:t>
      </w:r>
    </w:p>
    <w:p>
      <w:pPr>
        <w:tabs>
          <w:tab w:pos="9991" w:val="right" w:leader="dot"/>
        </w:tabs>
        <w:spacing w:before="20"/>
        <w:ind w:left="874" w:right="0" w:firstLine="0"/>
        <w:jc w:val="left"/>
        <w:rPr>
          <w:rFonts w:ascii="Arial" w:hAnsi="Arial"/>
          <w:sz w:val="16"/>
        </w:rPr>
      </w:pPr>
      <w:r>
        <w:rPr>
          <w:rFonts w:ascii="Arial" w:hAnsi="Arial"/>
          <w:sz w:val="16"/>
        </w:rPr>
        <w:t>Intimações</w:t>
        <w:tab/>
        <w:t>184</w:t>
      </w:r>
    </w:p>
    <w:p>
      <w:pPr>
        <w:tabs>
          <w:tab w:pos="9991" w:val="right" w:leader="dot"/>
        </w:tabs>
        <w:spacing w:before="20"/>
        <w:ind w:left="514" w:right="0" w:firstLine="0"/>
        <w:jc w:val="left"/>
        <w:rPr>
          <w:rFonts w:ascii="Arial" w:hAnsi="Arial"/>
          <w:sz w:val="16"/>
        </w:rPr>
      </w:pPr>
      <w:r>
        <w:rPr>
          <w:rFonts w:ascii="Arial" w:hAnsi="Arial"/>
          <w:sz w:val="16"/>
        </w:rPr>
        <w:t>203ª Zona Eleitoral - EUNÁPOLIS</w:t>
        <w:tab/>
        <w:t>185</w:t>
      </w:r>
    </w:p>
    <w:p>
      <w:pPr>
        <w:tabs>
          <w:tab w:pos="9991" w:val="right" w:leader="dot"/>
        </w:tabs>
        <w:spacing w:before="20"/>
        <w:ind w:left="874" w:right="0" w:firstLine="0"/>
        <w:jc w:val="left"/>
        <w:rPr>
          <w:rFonts w:ascii="Arial"/>
          <w:sz w:val="16"/>
        </w:rPr>
      </w:pPr>
      <w:r>
        <w:rPr>
          <w:rFonts w:ascii="Arial"/>
          <w:sz w:val="16"/>
        </w:rPr>
        <w:t>Editais</w:t>
        <w:tab/>
        <w:t>185</w:t>
      </w:r>
    </w:p>
    <w:p>
      <w:pPr>
        <w:tabs>
          <w:tab w:pos="9991" w:val="right" w:leader="dot"/>
        </w:tabs>
        <w:spacing w:before="20"/>
        <w:ind w:left="154" w:right="0" w:firstLine="0"/>
        <w:jc w:val="left"/>
        <w:rPr>
          <w:rFonts w:ascii="Arial"/>
          <w:sz w:val="16"/>
        </w:rPr>
      </w:pPr>
      <w:r>
        <w:rPr>
          <w:rFonts w:ascii="Arial"/>
          <w:sz w:val="16"/>
        </w:rPr>
        <w:t>ANEXOS</w:t>
        <w:tab/>
        <w:t>228</w:t>
      </w:r>
    </w:p>
    <w:p>
      <w:pPr>
        <w:pStyle w:val="BodyText"/>
        <w:rPr>
          <w:rFonts w:ascii="Arial"/>
          <w:sz w:val="20"/>
        </w:rPr>
      </w:pPr>
    </w:p>
    <w:p>
      <w:pPr>
        <w:pStyle w:val="BodyText"/>
        <w:spacing w:before="7"/>
        <w:rPr>
          <w:rFonts w:ascii="Arial"/>
          <w:sz w:val="26"/>
        </w:rPr>
      </w:pPr>
      <w:r>
        <w:rPr/>
        <w:pict>
          <v:group style="position:absolute;margin-left:42.719997pt;margin-top:17.287447pt;width:509.9pt;height:15.75pt;mso-position-horizontal-relative:page;mso-position-vertical-relative:paragraph;z-index:-15726080;mso-wrap-distance-left:0;mso-wrap-distance-right:0" coordorigin="854,346" coordsize="10198,315">
            <v:rect style="position:absolute;left:854;top:345;width:10198;height:310" filled="true" fillcolor="#c0c0c0" stroked="false">
              <v:fill type="solid"/>
            </v:rect>
            <v:line style="position:absolute" from="854,655" to="11052,655" stroked="true" strokeweight=".48pt" strokecolor="#000000">
              <v:stroke dashstyle="solid"/>
            </v:line>
            <v:shapetype id="_x0000_t202" o:spt="202" coordsize="21600,21600" path="m,l,21600r21600,l21600,xe">
              <v:stroke joinstyle="miter"/>
              <v:path gradientshapeok="t" o:connecttype="rect"/>
            </v:shapetype>
            <v:shape style="position:absolute;left:854;top:345;width:10198;height:305" type="#_x0000_t202" filled="false" stroked="false">
              <v:textbox inset="0,0,0,0">
                <w:txbxContent>
                  <w:p>
                    <w:pPr>
                      <w:spacing w:before="54"/>
                      <w:ind w:left="0" w:right="0" w:firstLine="0"/>
                      <w:jc w:val="left"/>
                      <w:rPr>
                        <w:rFonts w:ascii="Arial" w:hAnsi="Arial"/>
                        <w:b/>
                        <w:sz w:val="16"/>
                      </w:rPr>
                    </w:pPr>
                    <w:r>
                      <w:rPr>
                        <w:rFonts w:ascii="Arial" w:hAnsi="Arial"/>
                        <w:b/>
                        <w:sz w:val="16"/>
                      </w:rPr>
                      <w:t>PRESIDÊNCIA</w:t>
                    </w:r>
                  </w:p>
                </w:txbxContent>
              </v:textbox>
              <w10:wrap type="none"/>
            </v:shape>
            <w10:wrap type="topAndBottom"/>
          </v:group>
        </w:pict>
      </w:r>
      <w:r>
        <w:rPr/>
        <w:pict>
          <v:shape style="position:absolute;margin-left:43.200001pt;margin-top:43.327446pt;width:508.95pt;height:16pt;mso-position-horizontal-relative:page;mso-position-vertical-relative:paragraph;z-index:-15725568;mso-wrap-distance-left:0;mso-wrap-distance-right:0" type="#_x0000_t202" filled="false" stroked="true" strokeweight=".96pt" strokecolor="#000000">
            <v:textbox inset="0,0,0,0">
              <w:txbxContent>
                <w:p>
                  <w:pPr>
                    <w:spacing w:before="54"/>
                    <w:ind w:left="84" w:right="0" w:firstLine="0"/>
                    <w:jc w:val="left"/>
                    <w:rPr>
                      <w:rFonts w:ascii="Arial"/>
                      <w:b/>
                      <w:sz w:val="16"/>
                    </w:rPr>
                  </w:pPr>
                  <w:r>
                    <w:rPr>
                      <w:rFonts w:ascii="Arial"/>
                      <w:b/>
                      <w:sz w:val="16"/>
                    </w:rPr>
                    <w:t>Atos do Presidente</w:t>
                  </w:r>
                </w:p>
              </w:txbxContent>
            </v:textbox>
            <v:stroke dashstyle="solid"/>
            <w10:wrap type="topAndBottom"/>
          </v:shape>
        </w:pict>
      </w:r>
    </w:p>
    <w:p>
      <w:pPr>
        <w:pStyle w:val="BodyText"/>
        <w:spacing w:before="1"/>
        <w:rPr>
          <w:rFonts w:ascii="Arial"/>
          <w:sz w:val="11"/>
        </w:rPr>
      </w:pPr>
    </w:p>
    <w:p>
      <w:pPr>
        <w:pStyle w:val="BodyText"/>
        <w:rPr>
          <w:rFonts w:ascii="Arial"/>
          <w:sz w:val="18"/>
        </w:rPr>
      </w:pPr>
    </w:p>
    <w:p>
      <w:pPr>
        <w:pStyle w:val="BodyText"/>
        <w:rPr>
          <w:rFonts w:ascii="Arial"/>
          <w:sz w:val="18"/>
        </w:rPr>
      </w:pPr>
    </w:p>
    <w:p>
      <w:pPr>
        <w:pStyle w:val="BodyText"/>
        <w:spacing w:before="8"/>
        <w:rPr>
          <w:rFonts w:ascii="Arial"/>
          <w:sz w:val="14"/>
        </w:rPr>
      </w:pPr>
    </w:p>
    <w:p>
      <w:pPr>
        <w:spacing w:before="0"/>
        <w:ind w:left="154" w:right="0" w:firstLine="0"/>
        <w:jc w:val="left"/>
        <w:rPr>
          <w:rFonts w:ascii="Arial"/>
          <w:b/>
          <w:sz w:val="16"/>
        </w:rPr>
      </w:pPr>
      <w:r>
        <w:rPr/>
        <w:pict>
          <v:rect style="position:absolute;margin-left:42.719997pt;margin-top:27.303869pt;width:509.879989pt;height:.96pt;mso-position-horizontal-relative:page;mso-position-vertical-relative:paragraph;z-index:15733760" filled="true" fillcolor="#808080" stroked="false">
            <v:fill type="solid"/>
            <w10:wrap type="none"/>
          </v:rect>
        </w:pict>
      </w:r>
      <w:r>
        <w:rPr>
          <w:rFonts w:ascii="Arial"/>
          <w:b/>
          <w:sz w:val="16"/>
        </w:rPr>
        <w:t>Portarias</w:t>
      </w:r>
    </w:p>
    <w:p>
      <w:pPr>
        <w:pStyle w:val="BodyText"/>
        <w:rPr>
          <w:rFonts w:ascii="Arial"/>
          <w:b/>
          <w:sz w:val="20"/>
        </w:rPr>
      </w:pPr>
    </w:p>
    <w:p>
      <w:pPr>
        <w:pStyle w:val="BodyText"/>
        <w:spacing w:before="1"/>
        <w:rPr>
          <w:rFonts w:ascii="Arial"/>
          <w:b/>
          <w:sz w:val="11"/>
        </w:rPr>
      </w:pPr>
      <w:r>
        <w:rPr/>
        <w:pict>
          <v:shape style="position:absolute;margin-left:40.7388pt;margin-top:7.604198pt;width:183.3pt;height:13.25pt;mso-position-horizontal-relative:page;mso-position-vertical-relative:paragraph;z-index:-15725056;mso-wrap-distance-left:0;mso-wrap-distance-right:0" type="#_x0000_t202" filled="true" fillcolor="#fdfd40" stroked="false">
            <v:textbox inset="0,0,0,0">
              <w:txbxContent>
                <w:p>
                  <w:pPr>
                    <w:spacing w:before="54"/>
                    <w:ind w:left="39" w:right="0" w:firstLine="0"/>
                    <w:jc w:val="left"/>
                    <w:rPr>
                      <w:rFonts w:ascii="Arial" w:hAnsi="Arial"/>
                      <w:b/>
                      <w:sz w:val="16"/>
                    </w:rPr>
                  </w:pPr>
                  <w:r>
                    <w:rPr>
                      <w:rFonts w:ascii="Arial" w:hAnsi="Arial"/>
                      <w:b/>
                      <w:sz w:val="16"/>
                    </w:rPr>
                    <w:t>PORTARIA Nº 297, DE 24 DE AGOSTO DE 2020</w:t>
                  </w:r>
                </w:p>
              </w:txbxContent>
            </v:textbox>
            <v:fill opacity="16712f" type="solid"/>
            <w10:wrap type="topAndBottom"/>
          </v:shape>
        </w:pict>
      </w:r>
    </w:p>
    <w:p>
      <w:pPr>
        <w:pStyle w:val="BodyText"/>
        <w:spacing w:before="8"/>
        <w:rPr>
          <w:rFonts w:ascii="Arial"/>
          <w:b/>
          <w:sz w:val="20"/>
        </w:rPr>
      </w:pPr>
    </w:p>
    <w:p>
      <w:pPr>
        <w:spacing w:before="95"/>
        <w:ind w:left="154" w:right="0" w:firstLine="0"/>
        <w:jc w:val="left"/>
        <w:rPr>
          <w:rFonts w:ascii="Arial" w:hAnsi="Arial"/>
          <w:sz w:val="16"/>
        </w:rPr>
      </w:pPr>
      <w:r>
        <w:rPr>
          <w:rFonts w:ascii="Arial" w:hAnsi="Arial"/>
          <w:b/>
          <w:sz w:val="16"/>
        </w:rPr>
        <w:t>O PRESIDENTE DO TRIBUNAL REGIONAL ELEITORAL DA BAHIA</w:t>
      </w:r>
      <w:r>
        <w:rPr>
          <w:rFonts w:ascii="Arial" w:hAnsi="Arial"/>
          <w:sz w:val="16"/>
        </w:rPr>
        <w:t>, no uso de suas atribuições legais e regimentais, e tendo em vista o constante no Processo Administrativo SEI nº 0136484-36.2020.6.05.8000,</w:t>
      </w:r>
    </w:p>
    <w:p>
      <w:pPr>
        <w:spacing w:before="117"/>
        <w:ind w:left="154" w:right="0" w:firstLine="0"/>
        <w:jc w:val="left"/>
        <w:rPr>
          <w:rFonts w:ascii="Arial"/>
          <w:sz w:val="16"/>
        </w:rPr>
      </w:pPr>
      <w:r>
        <w:rPr>
          <w:rFonts w:ascii="Arial"/>
          <w:sz w:val="16"/>
        </w:rPr>
        <w:t>RESOLVE:</w:t>
      </w:r>
    </w:p>
    <w:p>
      <w:pPr>
        <w:spacing w:before="116"/>
        <w:ind w:left="154" w:right="0" w:firstLine="0"/>
        <w:jc w:val="left"/>
        <w:rPr>
          <w:rFonts w:ascii="Arial" w:hAnsi="Arial"/>
          <w:sz w:val="16"/>
        </w:rPr>
      </w:pPr>
      <w:r>
        <w:rPr>
          <w:rFonts w:ascii="Arial" w:hAnsi="Arial"/>
          <w:sz w:val="16"/>
        </w:rPr>
        <w:t>Art. 1º Aprovar:</w:t>
      </w:r>
    </w:p>
    <w:p>
      <w:pPr>
        <w:spacing w:line="343" w:lineRule="auto" w:before="122"/>
        <w:ind w:left="154" w:right="2527" w:firstLine="0"/>
        <w:jc w:val="left"/>
        <w:rPr>
          <w:rFonts w:ascii="Arial" w:hAnsi="Arial"/>
          <w:sz w:val="16"/>
        </w:rPr>
      </w:pPr>
      <w:r>
        <w:rPr>
          <w:rFonts w:ascii="Arial" w:hAnsi="Arial"/>
          <w:sz w:val="16"/>
        </w:rPr>
        <w:t>I - A proposta de alteração do </w:t>
      </w:r>
      <w:r>
        <w:rPr>
          <w:rFonts w:ascii="Carlito" w:hAnsi="Carlito"/>
          <w:b/>
          <w:sz w:val="22"/>
        </w:rPr>
        <w:t>Plano Anual de Auditoria Interna – Exercício 2020 (PAA2020)</w:t>
      </w:r>
      <w:r>
        <w:rPr>
          <w:rFonts w:ascii="Arial" w:hAnsi="Arial"/>
          <w:sz w:val="16"/>
        </w:rPr>
        <w:t>; II - A proposta de alteração do </w:t>
      </w:r>
      <w:r>
        <w:rPr>
          <w:rFonts w:ascii="Carlito" w:hAnsi="Carlito"/>
          <w:b/>
          <w:sz w:val="22"/>
        </w:rPr>
        <w:t>Plano de Auditoria de Longo Prazo (PALP 2018-2021)</w:t>
      </w:r>
      <w:r>
        <w:rPr>
          <w:rFonts w:ascii="Arial" w:hAnsi="Arial"/>
          <w:sz w:val="16"/>
        </w:rPr>
        <w:t>;</w:t>
      </w:r>
    </w:p>
    <w:p>
      <w:pPr>
        <w:spacing w:line="179" w:lineRule="exact" w:before="0"/>
        <w:ind w:left="154" w:right="0" w:firstLine="0"/>
        <w:jc w:val="left"/>
        <w:rPr>
          <w:rFonts w:ascii="Arial" w:hAnsi="Arial"/>
          <w:sz w:val="16"/>
        </w:rPr>
      </w:pPr>
      <w:r>
        <w:rPr>
          <w:rFonts w:ascii="Arial" w:hAnsi="Arial"/>
          <w:sz w:val="16"/>
        </w:rPr>
        <w:t>III - A proposta de alteração do Plano Anual de Capacitação - exercício 2020</w:t>
      </w:r>
    </w:p>
    <w:p>
      <w:pPr>
        <w:spacing w:before="116"/>
        <w:ind w:left="154" w:right="186" w:firstLine="0"/>
        <w:jc w:val="left"/>
        <w:rPr>
          <w:rFonts w:ascii="Arial" w:hAnsi="Arial"/>
          <w:sz w:val="16"/>
        </w:rPr>
      </w:pPr>
      <w:r>
        <w:rPr>
          <w:rFonts w:ascii="Arial" w:hAnsi="Arial"/>
          <w:sz w:val="16"/>
        </w:rPr>
        <w:t>Art. 2º Caberá à Coordenadoria de Auditoria Interna disponibilizar no sítio eletrônico deste Regional, Intranet e Internet, os planos referidos no art. 1º desta portaria.</w:t>
      </w:r>
    </w:p>
    <w:p>
      <w:pPr>
        <w:spacing w:line="391" w:lineRule="auto" w:before="116"/>
        <w:ind w:left="154" w:right="7704" w:firstLine="0"/>
        <w:jc w:val="left"/>
        <w:rPr>
          <w:rFonts w:ascii="Arial" w:hAnsi="Arial"/>
          <w:sz w:val="16"/>
        </w:rPr>
      </w:pPr>
      <w:r>
        <w:rPr>
          <w:rFonts w:ascii="Arial" w:hAnsi="Arial"/>
          <w:sz w:val="16"/>
        </w:rPr>
        <w:t>Salvador, 24 de agosto de 2020. Des. JATAHY JÚNIOR</w:t>
      </w:r>
    </w:p>
    <w:p>
      <w:pPr>
        <w:spacing w:before="1"/>
        <w:ind w:left="154" w:right="0" w:firstLine="0"/>
        <w:jc w:val="left"/>
        <w:rPr>
          <w:rFonts w:ascii="Arial"/>
          <w:sz w:val="16"/>
        </w:rPr>
      </w:pPr>
      <w:r>
        <w:rPr>
          <w:rFonts w:ascii="Arial"/>
          <w:sz w:val="16"/>
        </w:rPr>
        <w:t>Presidente do Tribunal Regional Eleitoral da</w:t>
      </w:r>
      <w:r>
        <w:rPr>
          <w:rFonts w:ascii="Arial"/>
          <w:spacing w:val="1"/>
          <w:sz w:val="16"/>
        </w:rPr>
        <w:t> </w:t>
      </w:r>
      <w:r>
        <w:rPr>
          <w:rFonts w:ascii="Arial"/>
          <w:sz w:val="16"/>
        </w:rPr>
        <w:t>Bahia</w:t>
      </w:r>
    </w:p>
    <w:p>
      <w:pPr>
        <w:pStyle w:val="BodyText"/>
        <w:spacing w:before="6"/>
        <w:rPr>
          <w:rFonts w:ascii="Arial"/>
        </w:rPr>
      </w:pPr>
      <w:r>
        <w:rPr/>
        <w:pict>
          <v:rect style="position:absolute;margin-left:42.719997pt;margin-top:16.06513pt;width:509.879989pt;height:.96pt;mso-position-horizontal-relative:page;mso-position-vertical-relative:paragraph;z-index:-15724544;mso-wrap-distance-left:0;mso-wrap-distance-right:0" filled="true" fillcolor="#808080" stroked="false">
            <v:fill type="solid"/>
            <w10:wrap type="topAndBottom"/>
          </v:rect>
        </w:pict>
      </w:r>
    </w:p>
    <w:p>
      <w:pPr>
        <w:spacing w:before="25"/>
        <w:ind w:left="154" w:right="0" w:firstLine="0"/>
        <w:jc w:val="left"/>
        <w:rPr>
          <w:rFonts w:ascii="Arial" w:hAnsi="Arial"/>
          <w:b/>
          <w:sz w:val="16"/>
        </w:rPr>
      </w:pPr>
      <w:r>
        <w:rPr>
          <w:rFonts w:ascii="Arial" w:hAnsi="Arial"/>
          <w:b/>
          <w:sz w:val="16"/>
        </w:rPr>
        <w:t>PORTARIA Nº 274, DE 03 DE AGOSTO DE</w:t>
      </w:r>
      <w:r>
        <w:rPr>
          <w:rFonts w:ascii="Arial" w:hAnsi="Arial"/>
          <w:b/>
          <w:spacing w:val="-9"/>
          <w:sz w:val="16"/>
        </w:rPr>
        <w:t> </w:t>
      </w:r>
      <w:r>
        <w:rPr>
          <w:rFonts w:ascii="Arial" w:hAnsi="Arial"/>
          <w:b/>
          <w:sz w:val="16"/>
        </w:rPr>
        <w:t>2020</w:t>
      </w:r>
    </w:p>
    <w:p>
      <w:pPr>
        <w:spacing w:before="116"/>
        <w:ind w:left="154" w:right="0" w:firstLine="0"/>
        <w:jc w:val="left"/>
        <w:rPr>
          <w:rFonts w:ascii="Arial" w:hAnsi="Arial"/>
          <w:sz w:val="16"/>
        </w:rPr>
      </w:pPr>
      <w:r>
        <w:rPr>
          <w:rFonts w:ascii="Arial" w:hAnsi="Arial"/>
          <w:sz w:val="16"/>
        </w:rPr>
        <w:t>O PRESIDENTE DO TRIBUNAL REGIONAL ELEITORAL DA BAHIA, no uso de suas atribuições regimentais e tendo em vista o constante no Processo n.º 0096808-81.2020.6.05.8000,</w:t>
      </w:r>
    </w:p>
    <w:p>
      <w:pPr>
        <w:spacing w:before="116"/>
        <w:ind w:left="154" w:right="0" w:firstLine="0"/>
        <w:jc w:val="left"/>
        <w:rPr>
          <w:rFonts w:ascii="Arial"/>
          <w:sz w:val="16"/>
        </w:rPr>
      </w:pPr>
      <w:r>
        <w:rPr>
          <w:rFonts w:ascii="Arial"/>
          <w:sz w:val="16"/>
        </w:rPr>
        <w:t>RESOLVE:</w:t>
      </w:r>
    </w:p>
    <w:p>
      <w:pPr>
        <w:spacing w:before="116"/>
        <w:ind w:left="154" w:right="236" w:firstLine="0"/>
        <w:jc w:val="left"/>
        <w:rPr>
          <w:rFonts w:ascii="Arial" w:hAnsi="Arial"/>
          <w:sz w:val="16"/>
        </w:rPr>
      </w:pPr>
      <w:r>
        <w:rPr>
          <w:rFonts w:ascii="Arial" w:hAnsi="Arial"/>
          <w:sz w:val="16"/>
        </w:rPr>
        <w:t>Art. 1º Dispensar a servidora Carla Cristine de Sousa Santos da comissão de processo administrativo disciplinar,  instituída através da   Portaria n.º</w:t>
      </w:r>
      <w:r>
        <w:rPr>
          <w:rFonts w:ascii="Arial" w:hAnsi="Arial"/>
          <w:spacing w:val="-3"/>
          <w:sz w:val="16"/>
        </w:rPr>
        <w:t> </w:t>
      </w:r>
      <w:r>
        <w:rPr>
          <w:rFonts w:ascii="Arial" w:hAnsi="Arial"/>
          <w:sz w:val="16"/>
        </w:rPr>
        <w:t>212/2020.</w:t>
      </w:r>
    </w:p>
    <w:p>
      <w:pPr>
        <w:spacing w:line="391" w:lineRule="auto" w:before="117"/>
        <w:ind w:left="154" w:right="3368" w:firstLine="0"/>
        <w:jc w:val="left"/>
        <w:rPr>
          <w:rFonts w:ascii="Arial" w:hAnsi="Arial"/>
          <w:sz w:val="16"/>
        </w:rPr>
      </w:pPr>
      <w:r>
        <w:rPr>
          <w:rFonts w:ascii="Arial" w:hAnsi="Arial"/>
          <w:sz w:val="16"/>
        </w:rPr>
        <w:t>Art. 2º Designar a servidora Katianne Reis da Silva Carvalho para compor a referida comissão. Art. 3º Esta Portaria entrará em vigor na data de sua publicação.</w:t>
      </w:r>
    </w:p>
    <w:p>
      <w:pPr>
        <w:spacing w:line="391" w:lineRule="auto" w:before="1"/>
        <w:ind w:left="200" w:right="7704" w:hanging="2"/>
        <w:jc w:val="left"/>
        <w:rPr>
          <w:rFonts w:ascii="Arial"/>
          <w:sz w:val="16"/>
        </w:rPr>
      </w:pPr>
      <w:r>
        <w:rPr>
          <w:rFonts w:ascii="Arial"/>
          <w:sz w:val="16"/>
        </w:rPr>
        <w:t>Salvador, 03 de agosto de 2020. Des. JATAHY JUNIOR</w:t>
      </w:r>
    </w:p>
    <w:p>
      <w:pPr>
        <w:spacing w:before="0"/>
        <w:ind w:left="154" w:right="0" w:firstLine="0"/>
        <w:jc w:val="left"/>
        <w:rPr>
          <w:rFonts w:ascii="Arial"/>
          <w:sz w:val="16"/>
        </w:rPr>
      </w:pPr>
      <w:r>
        <w:rPr>
          <w:rFonts w:ascii="Arial"/>
          <w:sz w:val="16"/>
        </w:rPr>
        <w:t>Presidente do Tribunal Regional Eleitoral da Bahia</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9"/>
        <w:rPr>
          <w:rFonts w:ascii="Arial"/>
          <w:sz w:val="25"/>
        </w:rPr>
      </w:pPr>
      <w:r>
        <w:rPr/>
        <w:pict>
          <v:shape style="position:absolute;margin-left:42.719997pt;margin-top:16.792418pt;width:509.9pt;height:.1pt;mso-position-horizontal-relative:page;mso-position-vertical-relative:paragraph;z-index:-15724032;mso-wrap-distance-left:0;mso-wrap-distance-right:0" coordorigin="854,336" coordsize="10198,0" path="m854,336l11052,336e" filled="false" stroked="true" strokeweight="0pt" strokecolor="#000000">
            <v:path arrowok="t"/>
            <v:stroke dashstyle="solid"/>
            <w10:wrap type="topAndBottom"/>
          </v:shape>
        </w:pict>
      </w:r>
    </w:p>
    <w:p>
      <w:pPr>
        <w:spacing w:before="22"/>
        <w:ind w:left="1378" w:right="186" w:hanging="1116"/>
        <w:jc w:val="left"/>
        <w:rPr>
          <w:rFonts w:ascii="Arial" w:hAnsi="Arial"/>
          <w:sz w:val="14"/>
        </w:rPr>
      </w:pPr>
      <w:r>
        <w:rPr>
          <w:rFonts w:ascii="Arial" w:hAnsi="Arial"/>
          <w:b/>
          <w:sz w:val="14"/>
        </w:rPr>
        <w:t>Diário da Justiça Eleitoral - Tribunal Regional Eleitoral da Bahia. </w:t>
      </w:r>
      <w:r>
        <w:rPr>
          <w:rFonts w:ascii="Arial" w:hAnsi="Arial"/>
          <w:sz w:val="14"/>
        </w:rPr>
        <w:t>Documento assinado digitalmente conforme MP n. 2.200-2/2001 de 24.8.2001, que institui a Infra-estrutura de Chaves Públicas Brasileira - ICP-Brasil, podendo ser acessado no endereço eletrônico </w:t>
      </w:r>
      <w:hyperlink r:id="rId7">
        <w:r>
          <w:rPr>
            <w:rFonts w:ascii="Arial" w:hAnsi="Arial"/>
            <w:sz w:val="14"/>
          </w:rPr>
          <w:t>http://www.tse.gov.br</w:t>
        </w:r>
      </w:hyperlink>
    </w:p>
    <w:sectPr>
      <w:pgSz w:w="11920" w:h="16850"/>
      <w:pgMar w:top="680" w:bottom="280" w:left="70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rlito">
    <w:altName w:val="Carlito"/>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
    <w:multiLevelType w:val="hybridMultilevel"/>
    <w:lvl w:ilvl="0">
      <w:start w:val="6"/>
      <w:numFmt w:val="decimal"/>
      <w:lvlText w:val="%1"/>
      <w:lvlJc w:val="left"/>
      <w:pPr>
        <w:ind w:left="749" w:hanging="152"/>
        <w:jc w:val="left"/>
      </w:pPr>
      <w:rPr>
        <w:rFonts w:hint="default" w:ascii="Times New Roman" w:hAnsi="Times New Roman" w:eastAsia="Times New Roman" w:cs="Times New Roman"/>
        <w:w w:val="99"/>
        <w:sz w:val="20"/>
        <w:szCs w:val="20"/>
        <w:lang w:val="pt-PT" w:eastAsia="en-US" w:bidi="ar-SA"/>
      </w:rPr>
    </w:lvl>
    <w:lvl w:ilvl="1">
      <w:start w:val="0"/>
      <w:numFmt w:val="bullet"/>
      <w:lvlText w:val="•"/>
      <w:lvlJc w:val="left"/>
      <w:pPr>
        <w:ind w:left="2237" w:hanging="152"/>
      </w:pPr>
      <w:rPr>
        <w:rFonts w:hint="default"/>
        <w:lang w:val="pt-PT" w:eastAsia="en-US" w:bidi="ar-SA"/>
      </w:rPr>
    </w:lvl>
    <w:lvl w:ilvl="2">
      <w:start w:val="0"/>
      <w:numFmt w:val="bullet"/>
      <w:lvlText w:val="•"/>
      <w:lvlJc w:val="left"/>
      <w:pPr>
        <w:ind w:left="3735" w:hanging="152"/>
      </w:pPr>
      <w:rPr>
        <w:rFonts w:hint="default"/>
        <w:lang w:val="pt-PT" w:eastAsia="en-US" w:bidi="ar-SA"/>
      </w:rPr>
    </w:lvl>
    <w:lvl w:ilvl="3">
      <w:start w:val="0"/>
      <w:numFmt w:val="bullet"/>
      <w:lvlText w:val="•"/>
      <w:lvlJc w:val="left"/>
      <w:pPr>
        <w:ind w:left="5233" w:hanging="152"/>
      </w:pPr>
      <w:rPr>
        <w:rFonts w:hint="default"/>
        <w:lang w:val="pt-PT" w:eastAsia="en-US" w:bidi="ar-SA"/>
      </w:rPr>
    </w:lvl>
    <w:lvl w:ilvl="4">
      <w:start w:val="0"/>
      <w:numFmt w:val="bullet"/>
      <w:lvlText w:val="•"/>
      <w:lvlJc w:val="left"/>
      <w:pPr>
        <w:ind w:left="6731" w:hanging="152"/>
      </w:pPr>
      <w:rPr>
        <w:rFonts w:hint="default"/>
        <w:lang w:val="pt-PT" w:eastAsia="en-US" w:bidi="ar-SA"/>
      </w:rPr>
    </w:lvl>
    <w:lvl w:ilvl="5">
      <w:start w:val="0"/>
      <w:numFmt w:val="bullet"/>
      <w:lvlText w:val="•"/>
      <w:lvlJc w:val="left"/>
      <w:pPr>
        <w:ind w:left="8229" w:hanging="152"/>
      </w:pPr>
      <w:rPr>
        <w:rFonts w:hint="default"/>
        <w:lang w:val="pt-PT" w:eastAsia="en-US" w:bidi="ar-SA"/>
      </w:rPr>
    </w:lvl>
    <w:lvl w:ilvl="6">
      <w:start w:val="0"/>
      <w:numFmt w:val="bullet"/>
      <w:lvlText w:val="•"/>
      <w:lvlJc w:val="left"/>
      <w:pPr>
        <w:ind w:left="9727" w:hanging="152"/>
      </w:pPr>
      <w:rPr>
        <w:rFonts w:hint="default"/>
        <w:lang w:val="pt-PT" w:eastAsia="en-US" w:bidi="ar-SA"/>
      </w:rPr>
    </w:lvl>
    <w:lvl w:ilvl="7">
      <w:start w:val="0"/>
      <w:numFmt w:val="bullet"/>
      <w:lvlText w:val="•"/>
      <w:lvlJc w:val="left"/>
      <w:pPr>
        <w:ind w:left="11224" w:hanging="152"/>
      </w:pPr>
      <w:rPr>
        <w:rFonts w:hint="default"/>
        <w:lang w:val="pt-PT" w:eastAsia="en-US" w:bidi="ar-SA"/>
      </w:rPr>
    </w:lvl>
    <w:lvl w:ilvl="8">
      <w:start w:val="0"/>
      <w:numFmt w:val="bullet"/>
      <w:lvlText w:val="•"/>
      <w:lvlJc w:val="left"/>
      <w:pPr>
        <w:ind w:left="12722" w:hanging="152"/>
      </w:pPr>
      <w:rPr>
        <w:rFonts w:hint="default"/>
        <w:lang w:val="pt-PT" w:eastAsia="en-US" w:bidi="ar-SA"/>
      </w:rPr>
    </w:lvl>
  </w:abstractNum>
  <w:abstractNum w:abstractNumId="11">
    <w:multiLevelType w:val="hybridMultilevel"/>
    <w:lvl w:ilvl="0">
      <w:start w:val="1"/>
      <w:numFmt w:val="decimal"/>
      <w:lvlText w:val="%1"/>
      <w:lvlJc w:val="left"/>
      <w:pPr>
        <w:ind w:left="365" w:hanging="166"/>
        <w:jc w:val="left"/>
      </w:pPr>
      <w:rPr>
        <w:rFonts w:hint="default" w:ascii="Times New Roman" w:hAnsi="Times New Roman" w:eastAsia="Times New Roman" w:cs="Times New Roman"/>
        <w:w w:val="100"/>
        <w:sz w:val="22"/>
        <w:szCs w:val="22"/>
        <w:lang w:val="pt-PT" w:eastAsia="en-US" w:bidi="ar-SA"/>
      </w:rPr>
    </w:lvl>
    <w:lvl w:ilvl="1">
      <w:start w:val="0"/>
      <w:numFmt w:val="bullet"/>
      <w:lvlText w:val="•"/>
      <w:lvlJc w:val="left"/>
      <w:pPr>
        <w:ind w:left="1874" w:hanging="166"/>
      </w:pPr>
      <w:rPr>
        <w:rFonts w:hint="default"/>
        <w:lang w:val="pt-PT" w:eastAsia="en-US" w:bidi="ar-SA"/>
      </w:rPr>
    </w:lvl>
    <w:lvl w:ilvl="2">
      <w:start w:val="0"/>
      <w:numFmt w:val="bullet"/>
      <w:lvlText w:val="•"/>
      <w:lvlJc w:val="left"/>
      <w:pPr>
        <w:ind w:left="3388" w:hanging="166"/>
      </w:pPr>
      <w:rPr>
        <w:rFonts w:hint="default"/>
        <w:lang w:val="pt-PT" w:eastAsia="en-US" w:bidi="ar-SA"/>
      </w:rPr>
    </w:lvl>
    <w:lvl w:ilvl="3">
      <w:start w:val="0"/>
      <w:numFmt w:val="bullet"/>
      <w:lvlText w:val="•"/>
      <w:lvlJc w:val="left"/>
      <w:pPr>
        <w:ind w:left="4902" w:hanging="166"/>
      </w:pPr>
      <w:rPr>
        <w:rFonts w:hint="default"/>
        <w:lang w:val="pt-PT" w:eastAsia="en-US" w:bidi="ar-SA"/>
      </w:rPr>
    </w:lvl>
    <w:lvl w:ilvl="4">
      <w:start w:val="0"/>
      <w:numFmt w:val="bullet"/>
      <w:lvlText w:val="•"/>
      <w:lvlJc w:val="left"/>
      <w:pPr>
        <w:ind w:left="6416" w:hanging="166"/>
      </w:pPr>
      <w:rPr>
        <w:rFonts w:hint="default"/>
        <w:lang w:val="pt-PT" w:eastAsia="en-US" w:bidi="ar-SA"/>
      </w:rPr>
    </w:lvl>
    <w:lvl w:ilvl="5">
      <w:start w:val="0"/>
      <w:numFmt w:val="bullet"/>
      <w:lvlText w:val="•"/>
      <w:lvlJc w:val="left"/>
      <w:pPr>
        <w:ind w:left="7930" w:hanging="166"/>
      </w:pPr>
      <w:rPr>
        <w:rFonts w:hint="default"/>
        <w:lang w:val="pt-PT" w:eastAsia="en-US" w:bidi="ar-SA"/>
      </w:rPr>
    </w:lvl>
    <w:lvl w:ilvl="6">
      <w:start w:val="0"/>
      <w:numFmt w:val="bullet"/>
      <w:lvlText w:val="•"/>
      <w:lvlJc w:val="left"/>
      <w:pPr>
        <w:ind w:left="9444" w:hanging="166"/>
      </w:pPr>
      <w:rPr>
        <w:rFonts w:hint="default"/>
        <w:lang w:val="pt-PT" w:eastAsia="en-US" w:bidi="ar-SA"/>
      </w:rPr>
    </w:lvl>
    <w:lvl w:ilvl="7">
      <w:start w:val="0"/>
      <w:numFmt w:val="bullet"/>
      <w:lvlText w:val="•"/>
      <w:lvlJc w:val="left"/>
      <w:pPr>
        <w:ind w:left="10958" w:hanging="166"/>
      </w:pPr>
      <w:rPr>
        <w:rFonts w:hint="default"/>
        <w:lang w:val="pt-PT" w:eastAsia="en-US" w:bidi="ar-SA"/>
      </w:rPr>
    </w:lvl>
    <w:lvl w:ilvl="8">
      <w:start w:val="0"/>
      <w:numFmt w:val="bullet"/>
      <w:lvlText w:val="•"/>
      <w:lvlJc w:val="left"/>
      <w:pPr>
        <w:ind w:left="12472" w:hanging="166"/>
      </w:pPr>
      <w:rPr>
        <w:rFonts w:hint="default"/>
        <w:lang w:val="pt-PT" w:eastAsia="en-US" w:bidi="ar-SA"/>
      </w:rPr>
    </w:lvl>
  </w:abstractNum>
  <w:abstractNum w:abstractNumId="10">
    <w:multiLevelType w:val="hybridMultilevel"/>
    <w:lvl w:ilvl="0">
      <w:start w:val="1"/>
      <w:numFmt w:val="decimal"/>
      <w:lvlText w:val="%1"/>
      <w:lvlJc w:val="left"/>
      <w:pPr>
        <w:ind w:left="365" w:hanging="166"/>
        <w:jc w:val="left"/>
      </w:pPr>
      <w:rPr>
        <w:rFonts w:hint="default" w:ascii="Times New Roman" w:hAnsi="Times New Roman" w:eastAsia="Times New Roman" w:cs="Times New Roman"/>
        <w:w w:val="100"/>
        <w:sz w:val="22"/>
        <w:szCs w:val="22"/>
        <w:lang w:val="pt-PT" w:eastAsia="en-US" w:bidi="ar-SA"/>
      </w:rPr>
    </w:lvl>
    <w:lvl w:ilvl="1">
      <w:start w:val="0"/>
      <w:numFmt w:val="bullet"/>
      <w:lvlText w:val="•"/>
      <w:lvlJc w:val="left"/>
      <w:pPr>
        <w:ind w:left="1874" w:hanging="166"/>
      </w:pPr>
      <w:rPr>
        <w:rFonts w:hint="default"/>
        <w:lang w:val="pt-PT" w:eastAsia="en-US" w:bidi="ar-SA"/>
      </w:rPr>
    </w:lvl>
    <w:lvl w:ilvl="2">
      <w:start w:val="0"/>
      <w:numFmt w:val="bullet"/>
      <w:lvlText w:val="•"/>
      <w:lvlJc w:val="left"/>
      <w:pPr>
        <w:ind w:left="3388" w:hanging="166"/>
      </w:pPr>
      <w:rPr>
        <w:rFonts w:hint="default"/>
        <w:lang w:val="pt-PT" w:eastAsia="en-US" w:bidi="ar-SA"/>
      </w:rPr>
    </w:lvl>
    <w:lvl w:ilvl="3">
      <w:start w:val="0"/>
      <w:numFmt w:val="bullet"/>
      <w:lvlText w:val="•"/>
      <w:lvlJc w:val="left"/>
      <w:pPr>
        <w:ind w:left="4902" w:hanging="166"/>
      </w:pPr>
      <w:rPr>
        <w:rFonts w:hint="default"/>
        <w:lang w:val="pt-PT" w:eastAsia="en-US" w:bidi="ar-SA"/>
      </w:rPr>
    </w:lvl>
    <w:lvl w:ilvl="4">
      <w:start w:val="0"/>
      <w:numFmt w:val="bullet"/>
      <w:lvlText w:val="•"/>
      <w:lvlJc w:val="left"/>
      <w:pPr>
        <w:ind w:left="6416" w:hanging="166"/>
      </w:pPr>
      <w:rPr>
        <w:rFonts w:hint="default"/>
        <w:lang w:val="pt-PT" w:eastAsia="en-US" w:bidi="ar-SA"/>
      </w:rPr>
    </w:lvl>
    <w:lvl w:ilvl="5">
      <w:start w:val="0"/>
      <w:numFmt w:val="bullet"/>
      <w:lvlText w:val="•"/>
      <w:lvlJc w:val="left"/>
      <w:pPr>
        <w:ind w:left="7930" w:hanging="166"/>
      </w:pPr>
      <w:rPr>
        <w:rFonts w:hint="default"/>
        <w:lang w:val="pt-PT" w:eastAsia="en-US" w:bidi="ar-SA"/>
      </w:rPr>
    </w:lvl>
    <w:lvl w:ilvl="6">
      <w:start w:val="0"/>
      <w:numFmt w:val="bullet"/>
      <w:lvlText w:val="•"/>
      <w:lvlJc w:val="left"/>
      <w:pPr>
        <w:ind w:left="9444" w:hanging="166"/>
      </w:pPr>
      <w:rPr>
        <w:rFonts w:hint="default"/>
        <w:lang w:val="pt-PT" w:eastAsia="en-US" w:bidi="ar-SA"/>
      </w:rPr>
    </w:lvl>
    <w:lvl w:ilvl="7">
      <w:start w:val="0"/>
      <w:numFmt w:val="bullet"/>
      <w:lvlText w:val="•"/>
      <w:lvlJc w:val="left"/>
      <w:pPr>
        <w:ind w:left="10958" w:hanging="166"/>
      </w:pPr>
      <w:rPr>
        <w:rFonts w:hint="default"/>
        <w:lang w:val="pt-PT" w:eastAsia="en-US" w:bidi="ar-SA"/>
      </w:rPr>
    </w:lvl>
    <w:lvl w:ilvl="8">
      <w:start w:val="0"/>
      <w:numFmt w:val="bullet"/>
      <w:lvlText w:val="•"/>
      <w:lvlJc w:val="left"/>
      <w:pPr>
        <w:ind w:left="12472" w:hanging="166"/>
      </w:pPr>
      <w:rPr>
        <w:rFonts w:hint="default"/>
        <w:lang w:val="pt-PT" w:eastAsia="en-US" w:bidi="ar-SA"/>
      </w:rPr>
    </w:lvl>
  </w:abstractNum>
  <w:abstractNum w:abstractNumId="9">
    <w:multiLevelType w:val="hybridMultilevel"/>
    <w:lvl w:ilvl="0">
      <w:start w:val="1"/>
      <w:numFmt w:val="decimal"/>
      <w:lvlText w:val="%1"/>
      <w:lvlJc w:val="left"/>
      <w:pPr>
        <w:ind w:left="365" w:hanging="166"/>
        <w:jc w:val="left"/>
      </w:pPr>
      <w:rPr>
        <w:rFonts w:hint="default" w:ascii="Times New Roman" w:hAnsi="Times New Roman" w:eastAsia="Times New Roman" w:cs="Times New Roman"/>
        <w:w w:val="100"/>
        <w:sz w:val="22"/>
        <w:szCs w:val="22"/>
        <w:lang w:val="pt-PT" w:eastAsia="en-US" w:bidi="ar-SA"/>
      </w:rPr>
    </w:lvl>
    <w:lvl w:ilvl="1">
      <w:start w:val="0"/>
      <w:numFmt w:val="bullet"/>
      <w:lvlText w:val="•"/>
      <w:lvlJc w:val="left"/>
      <w:pPr>
        <w:ind w:left="1874" w:hanging="166"/>
      </w:pPr>
      <w:rPr>
        <w:rFonts w:hint="default"/>
        <w:lang w:val="pt-PT" w:eastAsia="en-US" w:bidi="ar-SA"/>
      </w:rPr>
    </w:lvl>
    <w:lvl w:ilvl="2">
      <w:start w:val="0"/>
      <w:numFmt w:val="bullet"/>
      <w:lvlText w:val="•"/>
      <w:lvlJc w:val="left"/>
      <w:pPr>
        <w:ind w:left="3388" w:hanging="166"/>
      </w:pPr>
      <w:rPr>
        <w:rFonts w:hint="default"/>
        <w:lang w:val="pt-PT" w:eastAsia="en-US" w:bidi="ar-SA"/>
      </w:rPr>
    </w:lvl>
    <w:lvl w:ilvl="3">
      <w:start w:val="0"/>
      <w:numFmt w:val="bullet"/>
      <w:lvlText w:val="•"/>
      <w:lvlJc w:val="left"/>
      <w:pPr>
        <w:ind w:left="4902" w:hanging="166"/>
      </w:pPr>
      <w:rPr>
        <w:rFonts w:hint="default"/>
        <w:lang w:val="pt-PT" w:eastAsia="en-US" w:bidi="ar-SA"/>
      </w:rPr>
    </w:lvl>
    <w:lvl w:ilvl="4">
      <w:start w:val="0"/>
      <w:numFmt w:val="bullet"/>
      <w:lvlText w:val="•"/>
      <w:lvlJc w:val="left"/>
      <w:pPr>
        <w:ind w:left="6416" w:hanging="166"/>
      </w:pPr>
      <w:rPr>
        <w:rFonts w:hint="default"/>
        <w:lang w:val="pt-PT" w:eastAsia="en-US" w:bidi="ar-SA"/>
      </w:rPr>
    </w:lvl>
    <w:lvl w:ilvl="5">
      <w:start w:val="0"/>
      <w:numFmt w:val="bullet"/>
      <w:lvlText w:val="•"/>
      <w:lvlJc w:val="left"/>
      <w:pPr>
        <w:ind w:left="7930" w:hanging="166"/>
      </w:pPr>
      <w:rPr>
        <w:rFonts w:hint="default"/>
        <w:lang w:val="pt-PT" w:eastAsia="en-US" w:bidi="ar-SA"/>
      </w:rPr>
    </w:lvl>
    <w:lvl w:ilvl="6">
      <w:start w:val="0"/>
      <w:numFmt w:val="bullet"/>
      <w:lvlText w:val="•"/>
      <w:lvlJc w:val="left"/>
      <w:pPr>
        <w:ind w:left="9444" w:hanging="166"/>
      </w:pPr>
      <w:rPr>
        <w:rFonts w:hint="default"/>
        <w:lang w:val="pt-PT" w:eastAsia="en-US" w:bidi="ar-SA"/>
      </w:rPr>
    </w:lvl>
    <w:lvl w:ilvl="7">
      <w:start w:val="0"/>
      <w:numFmt w:val="bullet"/>
      <w:lvlText w:val="•"/>
      <w:lvlJc w:val="left"/>
      <w:pPr>
        <w:ind w:left="10958" w:hanging="166"/>
      </w:pPr>
      <w:rPr>
        <w:rFonts w:hint="default"/>
        <w:lang w:val="pt-PT" w:eastAsia="en-US" w:bidi="ar-SA"/>
      </w:rPr>
    </w:lvl>
    <w:lvl w:ilvl="8">
      <w:start w:val="0"/>
      <w:numFmt w:val="bullet"/>
      <w:lvlText w:val="•"/>
      <w:lvlJc w:val="left"/>
      <w:pPr>
        <w:ind w:left="12472" w:hanging="166"/>
      </w:pPr>
      <w:rPr>
        <w:rFonts w:hint="default"/>
        <w:lang w:val="pt-PT" w:eastAsia="en-US" w:bidi="ar-SA"/>
      </w:rPr>
    </w:lvl>
  </w:abstractNum>
  <w:abstractNum w:abstractNumId="8">
    <w:multiLevelType w:val="hybridMultilevel"/>
    <w:lvl w:ilvl="0">
      <w:start w:val="4"/>
      <w:numFmt w:val="decimal"/>
      <w:lvlText w:val="%1"/>
      <w:lvlJc w:val="left"/>
      <w:pPr>
        <w:ind w:left="118" w:hanging="161"/>
        <w:jc w:val="left"/>
      </w:pPr>
      <w:rPr>
        <w:rFonts w:hint="default"/>
        <w:w w:val="99"/>
        <w:lang w:val="pt-PT" w:eastAsia="en-US" w:bidi="ar-SA"/>
      </w:rPr>
    </w:lvl>
    <w:lvl w:ilvl="1">
      <w:start w:val="1"/>
      <w:numFmt w:val="decimal"/>
      <w:lvlText w:val="%2"/>
      <w:lvlJc w:val="left"/>
      <w:pPr>
        <w:ind w:left="1026" w:hanging="152"/>
        <w:jc w:val="left"/>
      </w:pPr>
      <w:rPr>
        <w:rFonts w:hint="default" w:ascii="Times New Roman" w:hAnsi="Times New Roman" w:eastAsia="Times New Roman" w:cs="Times New Roman"/>
        <w:w w:val="99"/>
        <w:sz w:val="20"/>
        <w:szCs w:val="20"/>
        <w:lang w:val="pt-PT" w:eastAsia="en-US" w:bidi="ar-SA"/>
      </w:rPr>
    </w:lvl>
    <w:lvl w:ilvl="2">
      <w:start w:val="0"/>
      <w:numFmt w:val="bullet"/>
      <w:lvlText w:val="•"/>
      <w:lvlJc w:val="left"/>
      <w:pPr>
        <w:ind w:left="2000" w:hanging="152"/>
      </w:pPr>
      <w:rPr>
        <w:rFonts w:hint="default"/>
        <w:lang w:val="pt-PT" w:eastAsia="en-US" w:bidi="ar-SA"/>
      </w:rPr>
    </w:lvl>
    <w:lvl w:ilvl="3">
      <w:start w:val="0"/>
      <w:numFmt w:val="bullet"/>
      <w:lvlText w:val="•"/>
      <w:lvlJc w:val="left"/>
      <w:pPr>
        <w:ind w:left="2981" w:hanging="152"/>
      </w:pPr>
      <w:rPr>
        <w:rFonts w:hint="default"/>
        <w:lang w:val="pt-PT" w:eastAsia="en-US" w:bidi="ar-SA"/>
      </w:rPr>
    </w:lvl>
    <w:lvl w:ilvl="4">
      <w:start w:val="0"/>
      <w:numFmt w:val="bullet"/>
      <w:lvlText w:val="•"/>
      <w:lvlJc w:val="left"/>
      <w:pPr>
        <w:ind w:left="3962" w:hanging="152"/>
      </w:pPr>
      <w:rPr>
        <w:rFonts w:hint="default"/>
        <w:lang w:val="pt-PT" w:eastAsia="en-US" w:bidi="ar-SA"/>
      </w:rPr>
    </w:lvl>
    <w:lvl w:ilvl="5">
      <w:start w:val="0"/>
      <w:numFmt w:val="bullet"/>
      <w:lvlText w:val="•"/>
      <w:lvlJc w:val="left"/>
      <w:pPr>
        <w:ind w:left="4942" w:hanging="152"/>
      </w:pPr>
      <w:rPr>
        <w:rFonts w:hint="default"/>
        <w:lang w:val="pt-PT" w:eastAsia="en-US" w:bidi="ar-SA"/>
      </w:rPr>
    </w:lvl>
    <w:lvl w:ilvl="6">
      <w:start w:val="0"/>
      <w:numFmt w:val="bullet"/>
      <w:lvlText w:val="•"/>
      <w:lvlJc w:val="left"/>
      <w:pPr>
        <w:ind w:left="5923" w:hanging="152"/>
      </w:pPr>
      <w:rPr>
        <w:rFonts w:hint="default"/>
        <w:lang w:val="pt-PT" w:eastAsia="en-US" w:bidi="ar-SA"/>
      </w:rPr>
    </w:lvl>
    <w:lvl w:ilvl="7">
      <w:start w:val="0"/>
      <w:numFmt w:val="bullet"/>
      <w:lvlText w:val="•"/>
      <w:lvlJc w:val="left"/>
      <w:pPr>
        <w:ind w:left="6904" w:hanging="152"/>
      </w:pPr>
      <w:rPr>
        <w:rFonts w:hint="default"/>
        <w:lang w:val="pt-PT" w:eastAsia="en-US" w:bidi="ar-SA"/>
      </w:rPr>
    </w:lvl>
    <w:lvl w:ilvl="8">
      <w:start w:val="0"/>
      <w:numFmt w:val="bullet"/>
      <w:lvlText w:val="•"/>
      <w:lvlJc w:val="left"/>
      <w:pPr>
        <w:ind w:left="7884" w:hanging="152"/>
      </w:pPr>
      <w:rPr>
        <w:rFonts w:hint="default"/>
        <w:lang w:val="pt-PT" w:eastAsia="en-US" w:bidi="ar-SA"/>
      </w:rPr>
    </w:lvl>
  </w:abstractNum>
  <w:abstractNum w:abstractNumId="7">
    <w:multiLevelType w:val="hybridMultilevel"/>
    <w:lvl w:ilvl="0">
      <w:start w:val="3"/>
      <w:numFmt w:val="decimal"/>
      <w:lvlText w:val="%1"/>
      <w:lvlJc w:val="left"/>
      <w:pPr>
        <w:ind w:left="478" w:hanging="360"/>
        <w:jc w:val="left"/>
      </w:pPr>
      <w:rPr>
        <w:rFonts w:hint="default"/>
        <w:lang w:val="pt-PT" w:eastAsia="en-US" w:bidi="ar-SA"/>
      </w:rPr>
    </w:lvl>
    <w:lvl w:ilvl="1">
      <w:start w:val="2"/>
      <w:numFmt w:val="decimal"/>
      <w:lvlText w:val="%1.%2"/>
      <w:lvlJc w:val="left"/>
      <w:pPr>
        <w:ind w:left="478" w:hanging="360"/>
        <w:jc w:val="left"/>
      </w:pPr>
      <w:rPr>
        <w:rFonts w:hint="default" w:ascii="Times New Roman" w:hAnsi="Times New Roman" w:eastAsia="Times New Roman" w:cs="Times New Roman"/>
        <w:i/>
        <w:spacing w:val="-2"/>
        <w:w w:val="99"/>
        <w:sz w:val="24"/>
        <w:szCs w:val="24"/>
        <w:lang w:val="pt-PT" w:eastAsia="en-US" w:bidi="ar-SA"/>
      </w:rPr>
    </w:lvl>
    <w:lvl w:ilvl="2">
      <w:start w:val="1"/>
      <w:numFmt w:val="decimal"/>
      <w:lvlText w:val="%1.%2.%3"/>
      <w:lvlJc w:val="left"/>
      <w:pPr>
        <w:ind w:left="838" w:hanging="720"/>
        <w:jc w:val="left"/>
      </w:pPr>
      <w:rPr>
        <w:rFonts w:hint="default" w:ascii="Times New Roman" w:hAnsi="Times New Roman" w:eastAsia="Times New Roman" w:cs="Times New Roman"/>
        <w:spacing w:val="-2"/>
        <w:w w:val="99"/>
        <w:sz w:val="24"/>
        <w:szCs w:val="24"/>
        <w:lang w:val="pt-PT" w:eastAsia="en-US" w:bidi="ar-SA"/>
      </w:rPr>
    </w:lvl>
    <w:lvl w:ilvl="3">
      <w:start w:val="0"/>
      <w:numFmt w:val="bullet"/>
      <w:lvlText w:val="•"/>
      <w:lvlJc w:val="left"/>
      <w:pPr>
        <w:ind w:left="2841" w:hanging="720"/>
      </w:pPr>
      <w:rPr>
        <w:rFonts w:hint="default"/>
        <w:lang w:val="pt-PT" w:eastAsia="en-US" w:bidi="ar-SA"/>
      </w:rPr>
    </w:lvl>
    <w:lvl w:ilvl="4">
      <w:start w:val="0"/>
      <w:numFmt w:val="bullet"/>
      <w:lvlText w:val="•"/>
      <w:lvlJc w:val="left"/>
      <w:pPr>
        <w:ind w:left="3842" w:hanging="720"/>
      </w:pPr>
      <w:rPr>
        <w:rFonts w:hint="default"/>
        <w:lang w:val="pt-PT" w:eastAsia="en-US" w:bidi="ar-SA"/>
      </w:rPr>
    </w:lvl>
    <w:lvl w:ilvl="5">
      <w:start w:val="0"/>
      <w:numFmt w:val="bullet"/>
      <w:lvlText w:val="•"/>
      <w:lvlJc w:val="left"/>
      <w:pPr>
        <w:ind w:left="4842" w:hanging="720"/>
      </w:pPr>
      <w:rPr>
        <w:rFonts w:hint="default"/>
        <w:lang w:val="pt-PT" w:eastAsia="en-US" w:bidi="ar-SA"/>
      </w:rPr>
    </w:lvl>
    <w:lvl w:ilvl="6">
      <w:start w:val="0"/>
      <w:numFmt w:val="bullet"/>
      <w:lvlText w:val="•"/>
      <w:lvlJc w:val="left"/>
      <w:pPr>
        <w:ind w:left="5843" w:hanging="720"/>
      </w:pPr>
      <w:rPr>
        <w:rFonts w:hint="default"/>
        <w:lang w:val="pt-PT" w:eastAsia="en-US" w:bidi="ar-SA"/>
      </w:rPr>
    </w:lvl>
    <w:lvl w:ilvl="7">
      <w:start w:val="0"/>
      <w:numFmt w:val="bullet"/>
      <w:lvlText w:val="•"/>
      <w:lvlJc w:val="left"/>
      <w:pPr>
        <w:ind w:left="6844" w:hanging="720"/>
      </w:pPr>
      <w:rPr>
        <w:rFonts w:hint="default"/>
        <w:lang w:val="pt-PT" w:eastAsia="en-US" w:bidi="ar-SA"/>
      </w:rPr>
    </w:lvl>
    <w:lvl w:ilvl="8">
      <w:start w:val="0"/>
      <w:numFmt w:val="bullet"/>
      <w:lvlText w:val="•"/>
      <w:lvlJc w:val="left"/>
      <w:pPr>
        <w:ind w:left="7844" w:hanging="720"/>
      </w:pPr>
      <w:rPr>
        <w:rFonts w:hint="default"/>
        <w:lang w:val="pt-PT" w:eastAsia="en-US" w:bidi="ar-SA"/>
      </w:rPr>
    </w:lvl>
  </w:abstractNum>
  <w:abstractNum w:abstractNumId="6">
    <w:multiLevelType w:val="hybridMultilevel"/>
    <w:lvl w:ilvl="0">
      <w:start w:val="3"/>
      <w:numFmt w:val="decimal"/>
      <w:lvlText w:val="%1"/>
      <w:lvlJc w:val="left"/>
      <w:pPr>
        <w:ind w:left="1198" w:hanging="1080"/>
        <w:jc w:val="left"/>
      </w:pPr>
      <w:rPr>
        <w:rFonts w:hint="default"/>
        <w:lang w:val="pt-PT" w:eastAsia="en-US" w:bidi="ar-SA"/>
      </w:rPr>
    </w:lvl>
    <w:lvl w:ilvl="1">
      <w:start w:val="1"/>
      <w:numFmt w:val="decimal"/>
      <w:lvlText w:val="%1.%2"/>
      <w:lvlJc w:val="left"/>
      <w:pPr>
        <w:ind w:left="1198" w:hanging="1080"/>
        <w:jc w:val="left"/>
      </w:pPr>
      <w:rPr>
        <w:rFonts w:hint="default"/>
        <w:lang w:val="pt-PT" w:eastAsia="en-US" w:bidi="ar-SA"/>
      </w:rPr>
    </w:lvl>
    <w:lvl w:ilvl="2">
      <w:start w:val="1"/>
      <w:numFmt w:val="decimal"/>
      <w:lvlText w:val="%1.%2.%3"/>
      <w:lvlJc w:val="left"/>
      <w:pPr>
        <w:ind w:left="1198" w:hanging="1080"/>
        <w:jc w:val="left"/>
      </w:pPr>
      <w:rPr>
        <w:rFonts w:hint="default"/>
        <w:lang w:val="pt-PT" w:eastAsia="en-US" w:bidi="ar-SA"/>
      </w:rPr>
    </w:lvl>
    <w:lvl w:ilvl="3">
      <w:start w:val="4"/>
      <w:numFmt w:val="decimal"/>
      <w:lvlText w:val="%1.%2.%3.%4"/>
      <w:lvlJc w:val="left"/>
      <w:pPr>
        <w:ind w:left="1198" w:hanging="1080"/>
        <w:jc w:val="left"/>
      </w:pPr>
      <w:rPr>
        <w:rFonts w:hint="default"/>
        <w:lang w:val="pt-PT" w:eastAsia="en-US" w:bidi="ar-SA"/>
      </w:rPr>
    </w:lvl>
    <w:lvl w:ilvl="4">
      <w:start w:val="3"/>
      <w:numFmt w:val="decimal"/>
      <w:lvlText w:val="%1.%2.%3.%4.%5"/>
      <w:lvlJc w:val="left"/>
      <w:pPr>
        <w:ind w:left="1198" w:hanging="1080"/>
        <w:jc w:val="left"/>
      </w:pPr>
      <w:rPr>
        <w:rFonts w:hint="default" w:ascii="Times New Roman" w:hAnsi="Times New Roman" w:eastAsia="Times New Roman" w:cs="Times New Roman"/>
        <w:spacing w:val="-11"/>
        <w:w w:val="99"/>
        <w:sz w:val="24"/>
        <w:szCs w:val="24"/>
        <w:lang w:val="pt-PT" w:eastAsia="en-US" w:bidi="ar-SA"/>
      </w:rPr>
    </w:lvl>
    <w:lvl w:ilvl="5">
      <w:start w:val="1"/>
      <w:numFmt w:val="decimal"/>
      <w:lvlText w:val="%1.%2.%3.%4.%5.%6"/>
      <w:lvlJc w:val="left"/>
      <w:pPr>
        <w:ind w:left="1198" w:hanging="1080"/>
        <w:jc w:val="left"/>
      </w:pPr>
      <w:rPr>
        <w:rFonts w:hint="default" w:ascii="Times New Roman" w:hAnsi="Times New Roman" w:eastAsia="Times New Roman" w:cs="Times New Roman"/>
        <w:spacing w:val="-20"/>
        <w:w w:val="99"/>
        <w:sz w:val="24"/>
        <w:szCs w:val="24"/>
        <w:lang w:val="pt-PT" w:eastAsia="en-US" w:bidi="ar-SA"/>
      </w:rPr>
    </w:lvl>
    <w:lvl w:ilvl="6">
      <w:start w:val="0"/>
      <w:numFmt w:val="bullet"/>
      <w:lvlText w:val="•"/>
      <w:lvlJc w:val="left"/>
      <w:pPr>
        <w:ind w:left="6387" w:hanging="1080"/>
      </w:pPr>
      <w:rPr>
        <w:rFonts w:hint="default"/>
        <w:lang w:val="pt-PT" w:eastAsia="en-US" w:bidi="ar-SA"/>
      </w:rPr>
    </w:lvl>
    <w:lvl w:ilvl="7">
      <w:start w:val="0"/>
      <w:numFmt w:val="bullet"/>
      <w:lvlText w:val="•"/>
      <w:lvlJc w:val="left"/>
      <w:pPr>
        <w:ind w:left="7252" w:hanging="1080"/>
      </w:pPr>
      <w:rPr>
        <w:rFonts w:hint="default"/>
        <w:lang w:val="pt-PT" w:eastAsia="en-US" w:bidi="ar-SA"/>
      </w:rPr>
    </w:lvl>
    <w:lvl w:ilvl="8">
      <w:start w:val="0"/>
      <w:numFmt w:val="bullet"/>
      <w:lvlText w:val="•"/>
      <w:lvlJc w:val="left"/>
      <w:pPr>
        <w:ind w:left="8117" w:hanging="1080"/>
      </w:pPr>
      <w:rPr>
        <w:rFonts w:hint="default"/>
        <w:lang w:val="pt-PT" w:eastAsia="en-US" w:bidi="ar-SA"/>
      </w:rPr>
    </w:lvl>
  </w:abstractNum>
  <w:abstractNum w:abstractNumId="5">
    <w:multiLevelType w:val="hybridMultilevel"/>
    <w:lvl w:ilvl="0">
      <w:start w:val="3"/>
      <w:numFmt w:val="decimal"/>
      <w:lvlText w:val="%1"/>
      <w:lvlJc w:val="left"/>
      <w:pPr>
        <w:ind w:left="1198" w:hanging="1080"/>
        <w:jc w:val="left"/>
      </w:pPr>
      <w:rPr>
        <w:rFonts w:hint="default"/>
        <w:lang w:val="pt-PT" w:eastAsia="en-US" w:bidi="ar-SA"/>
      </w:rPr>
    </w:lvl>
    <w:lvl w:ilvl="1">
      <w:start w:val="1"/>
      <w:numFmt w:val="decimal"/>
      <w:lvlText w:val="%1.%2"/>
      <w:lvlJc w:val="left"/>
      <w:pPr>
        <w:ind w:left="1198" w:hanging="1080"/>
        <w:jc w:val="left"/>
      </w:pPr>
      <w:rPr>
        <w:rFonts w:hint="default"/>
        <w:lang w:val="pt-PT" w:eastAsia="en-US" w:bidi="ar-SA"/>
      </w:rPr>
    </w:lvl>
    <w:lvl w:ilvl="2">
      <w:start w:val="1"/>
      <w:numFmt w:val="decimal"/>
      <w:lvlText w:val="%1.%2.%3"/>
      <w:lvlJc w:val="left"/>
      <w:pPr>
        <w:ind w:left="1198" w:hanging="1080"/>
        <w:jc w:val="left"/>
      </w:pPr>
      <w:rPr>
        <w:rFonts w:hint="default"/>
        <w:lang w:val="pt-PT" w:eastAsia="en-US" w:bidi="ar-SA"/>
      </w:rPr>
    </w:lvl>
    <w:lvl w:ilvl="3">
      <w:start w:val="3"/>
      <w:numFmt w:val="decimal"/>
      <w:lvlText w:val="%1.%2.%3.%4"/>
      <w:lvlJc w:val="left"/>
      <w:pPr>
        <w:ind w:left="1198" w:hanging="1080"/>
        <w:jc w:val="left"/>
      </w:pPr>
      <w:rPr>
        <w:rFonts w:hint="default"/>
        <w:lang w:val="pt-PT" w:eastAsia="en-US" w:bidi="ar-SA"/>
      </w:rPr>
    </w:lvl>
    <w:lvl w:ilvl="4">
      <w:start w:val="3"/>
      <w:numFmt w:val="decimal"/>
      <w:lvlText w:val="%1.%2.%3.%4.%5"/>
      <w:lvlJc w:val="left"/>
      <w:pPr>
        <w:ind w:left="1198" w:hanging="1080"/>
        <w:jc w:val="left"/>
      </w:pPr>
      <w:rPr>
        <w:rFonts w:hint="default" w:ascii="Times New Roman" w:hAnsi="Times New Roman" w:eastAsia="Times New Roman" w:cs="Times New Roman"/>
        <w:spacing w:val="-23"/>
        <w:w w:val="36"/>
        <w:sz w:val="24"/>
        <w:szCs w:val="24"/>
        <w:lang w:val="pt-PT" w:eastAsia="en-US" w:bidi="ar-SA"/>
      </w:rPr>
    </w:lvl>
    <w:lvl w:ilvl="5">
      <w:start w:val="1"/>
      <w:numFmt w:val="decimal"/>
      <w:lvlText w:val="%1.%2.%3.%4.%5.%6"/>
      <w:lvlJc w:val="left"/>
      <w:pPr>
        <w:ind w:left="1198" w:hanging="1080"/>
        <w:jc w:val="left"/>
      </w:pPr>
      <w:rPr>
        <w:rFonts w:hint="default" w:ascii="Times New Roman" w:hAnsi="Times New Roman" w:eastAsia="Times New Roman" w:cs="Times New Roman"/>
        <w:spacing w:val="-20"/>
        <w:w w:val="99"/>
        <w:sz w:val="24"/>
        <w:szCs w:val="24"/>
        <w:lang w:val="pt-PT" w:eastAsia="en-US" w:bidi="ar-SA"/>
      </w:rPr>
    </w:lvl>
    <w:lvl w:ilvl="6">
      <w:start w:val="0"/>
      <w:numFmt w:val="bullet"/>
      <w:lvlText w:val="•"/>
      <w:lvlJc w:val="left"/>
      <w:pPr>
        <w:ind w:left="6387" w:hanging="1080"/>
      </w:pPr>
      <w:rPr>
        <w:rFonts w:hint="default"/>
        <w:lang w:val="pt-PT" w:eastAsia="en-US" w:bidi="ar-SA"/>
      </w:rPr>
    </w:lvl>
    <w:lvl w:ilvl="7">
      <w:start w:val="0"/>
      <w:numFmt w:val="bullet"/>
      <w:lvlText w:val="•"/>
      <w:lvlJc w:val="left"/>
      <w:pPr>
        <w:ind w:left="7252" w:hanging="1080"/>
      </w:pPr>
      <w:rPr>
        <w:rFonts w:hint="default"/>
        <w:lang w:val="pt-PT" w:eastAsia="en-US" w:bidi="ar-SA"/>
      </w:rPr>
    </w:lvl>
    <w:lvl w:ilvl="8">
      <w:start w:val="0"/>
      <w:numFmt w:val="bullet"/>
      <w:lvlText w:val="•"/>
      <w:lvlJc w:val="left"/>
      <w:pPr>
        <w:ind w:left="8117" w:hanging="1080"/>
      </w:pPr>
      <w:rPr>
        <w:rFonts w:hint="default"/>
        <w:lang w:val="pt-PT" w:eastAsia="en-US" w:bidi="ar-SA"/>
      </w:rPr>
    </w:lvl>
  </w:abstractNum>
  <w:abstractNum w:abstractNumId="4">
    <w:multiLevelType w:val="hybridMultilevel"/>
    <w:lvl w:ilvl="0">
      <w:start w:val="3"/>
      <w:numFmt w:val="decimal"/>
      <w:lvlText w:val="%1"/>
      <w:lvlJc w:val="left"/>
      <w:pPr>
        <w:ind w:left="1198" w:hanging="1080"/>
        <w:jc w:val="left"/>
      </w:pPr>
      <w:rPr>
        <w:rFonts w:hint="default"/>
        <w:lang w:val="pt-PT" w:eastAsia="en-US" w:bidi="ar-SA"/>
      </w:rPr>
    </w:lvl>
    <w:lvl w:ilvl="1">
      <w:start w:val="1"/>
      <w:numFmt w:val="decimal"/>
      <w:lvlText w:val="%1.%2"/>
      <w:lvlJc w:val="left"/>
      <w:pPr>
        <w:ind w:left="1198" w:hanging="1080"/>
        <w:jc w:val="left"/>
      </w:pPr>
      <w:rPr>
        <w:rFonts w:hint="default"/>
        <w:lang w:val="pt-PT" w:eastAsia="en-US" w:bidi="ar-SA"/>
      </w:rPr>
    </w:lvl>
    <w:lvl w:ilvl="2">
      <w:start w:val="1"/>
      <w:numFmt w:val="decimal"/>
      <w:lvlText w:val="%1.%2.%3"/>
      <w:lvlJc w:val="left"/>
      <w:pPr>
        <w:ind w:left="1198" w:hanging="1080"/>
        <w:jc w:val="left"/>
      </w:pPr>
      <w:rPr>
        <w:rFonts w:hint="default"/>
        <w:lang w:val="pt-PT" w:eastAsia="en-US" w:bidi="ar-SA"/>
      </w:rPr>
    </w:lvl>
    <w:lvl w:ilvl="3">
      <w:start w:val="2"/>
      <w:numFmt w:val="decimal"/>
      <w:lvlText w:val="%1.%2.%3.%4"/>
      <w:lvlJc w:val="left"/>
      <w:pPr>
        <w:ind w:left="1198" w:hanging="1080"/>
        <w:jc w:val="left"/>
      </w:pPr>
      <w:rPr>
        <w:rFonts w:hint="default"/>
        <w:lang w:val="pt-PT" w:eastAsia="en-US" w:bidi="ar-SA"/>
      </w:rPr>
    </w:lvl>
    <w:lvl w:ilvl="4">
      <w:start w:val="3"/>
      <w:numFmt w:val="decimal"/>
      <w:lvlText w:val="%1.%2.%3.%4.%5"/>
      <w:lvlJc w:val="left"/>
      <w:pPr>
        <w:ind w:left="1198" w:hanging="1080"/>
        <w:jc w:val="left"/>
      </w:pPr>
      <w:rPr>
        <w:rFonts w:hint="default" w:ascii="Times New Roman" w:hAnsi="Times New Roman" w:eastAsia="Times New Roman" w:cs="Times New Roman"/>
        <w:spacing w:val="-11"/>
        <w:w w:val="36"/>
        <w:sz w:val="24"/>
        <w:szCs w:val="24"/>
        <w:lang w:val="pt-PT" w:eastAsia="en-US" w:bidi="ar-SA"/>
      </w:rPr>
    </w:lvl>
    <w:lvl w:ilvl="5">
      <w:start w:val="1"/>
      <w:numFmt w:val="decimal"/>
      <w:lvlText w:val="%1.%2.%3.%4.%5.%6"/>
      <w:lvlJc w:val="left"/>
      <w:pPr>
        <w:ind w:left="1198" w:hanging="1080"/>
        <w:jc w:val="left"/>
      </w:pPr>
      <w:rPr>
        <w:rFonts w:hint="default" w:ascii="Times New Roman" w:hAnsi="Times New Roman" w:eastAsia="Times New Roman" w:cs="Times New Roman"/>
        <w:spacing w:val="-20"/>
        <w:w w:val="99"/>
        <w:sz w:val="24"/>
        <w:szCs w:val="24"/>
        <w:lang w:val="pt-PT" w:eastAsia="en-US" w:bidi="ar-SA"/>
      </w:rPr>
    </w:lvl>
    <w:lvl w:ilvl="6">
      <w:start w:val="0"/>
      <w:numFmt w:val="bullet"/>
      <w:lvlText w:val="•"/>
      <w:lvlJc w:val="left"/>
      <w:pPr>
        <w:ind w:left="6387" w:hanging="1080"/>
      </w:pPr>
      <w:rPr>
        <w:rFonts w:hint="default"/>
        <w:lang w:val="pt-PT" w:eastAsia="en-US" w:bidi="ar-SA"/>
      </w:rPr>
    </w:lvl>
    <w:lvl w:ilvl="7">
      <w:start w:val="0"/>
      <w:numFmt w:val="bullet"/>
      <w:lvlText w:val="•"/>
      <w:lvlJc w:val="left"/>
      <w:pPr>
        <w:ind w:left="7252" w:hanging="1080"/>
      </w:pPr>
      <w:rPr>
        <w:rFonts w:hint="default"/>
        <w:lang w:val="pt-PT" w:eastAsia="en-US" w:bidi="ar-SA"/>
      </w:rPr>
    </w:lvl>
    <w:lvl w:ilvl="8">
      <w:start w:val="0"/>
      <w:numFmt w:val="bullet"/>
      <w:lvlText w:val="•"/>
      <w:lvlJc w:val="left"/>
      <w:pPr>
        <w:ind w:left="8117" w:hanging="1080"/>
      </w:pPr>
      <w:rPr>
        <w:rFonts w:hint="default"/>
        <w:lang w:val="pt-PT" w:eastAsia="en-US" w:bidi="ar-SA"/>
      </w:rPr>
    </w:lvl>
  </w:abstractNum>
  <w:abstractNum w:abstractNumId="3">
    <w:multiLevelType w:val="hybridMultilevel"/>
    <w:lvl w:ilvl="0">
      <w:start w:val="1"/>
      <w:numFmt w:val="decimal"/>
      <w:lvlText w:val="%1"/>
      <w:lvlJc w:val="left"/>
      <w:pPr>
        <w:ind w:left="118" w:hanging="185"/>
        <w:jc w:val="left"/>
      </w:pPr>
      <w:rPr>
        <w:rFonts w:hint="default"/>
        <w:w w:val="99"/>
        <w:lang w:val="pt-PT" w:eastAsia="en-US" w:bidi="ar-SA"/>
      </w:rPr>
    </w:lvl>
    <w:lvl w:ilvl="1">
      <w:start w:val="0"/>
      <w:numFmt w:val="bullet"/>
      <w:lvlText w:val="•"/>
      <w:lvlJc w:val="left"/>
      <w:pPr>
        <w:ind w:left="1092" w:hanging="185"/>
      </w:pPr>
      <w:rPr>
        <w:rFonts w:hint="default"/>
        <w:lang w:val="pt-PT" w:eastAsia="en-US" w:bidi="ar-SA"/>
      </w:rPr>
    </w:lvl>
    <w:lvl w:ilvl="2">
      <w:start w:val="0"/>
      <w:numFmt w:val="bullet"/>
      <w:lvlText w:val="•"/>
      <w:lvlJc w:val="left"/>
      <w:pPr>
        <w:ind w:left="2065" w:hanging="185"/>
      </w:pPr>
      <w:rPr>
        <w:rFonts w:hint="default"/>
        <w:lang w:val="pt-PT" w:eastAsia="en-US" w:bidi="ar-SA"/>
      </w:rPr>
    </w:lvl>
    <w:lvl w:ilvl="3">
      <w:start w:val="0"/>
      <w:numFmt w:val="bullet"/>
      <w:lvlText w:val="•"/>
      <w:lvlJc w:val="left"/>
      <w:pPr>
        <w:ind w:left="3037" w:hanging="185"/>
      </w:pPr>
      <w:rPr>
        <w:rFonts w:hint="default"/>
        <w:lang w:val="pt-PT" w:eastAsia="en-US" w:bidi="ar-SA"/>
      </w:rPr>
    </w:lvl>
    <w:lvl w:ilvl="4">
      <w:start w:val="0"/>
      <w:numFmt w:val="bullet"/>
      <w:lvlText w:val="•"/>
      <w:lvlJc w:val="left"/>
      <w:pPr>
        <w:ind w:left="4010" w:hanging="185"/>
      </w:pPr>
      <w:rPr>
        <w:rFonts w:hint="default"/>
        <w:lang w:val="pt-PT" w:eastAsia="en-US" w:bidi="ar-SA"/>
      </w:rPr>
    </w:lvl>
    <w:lvl w:ilvl="5">
      <w:start w:val="0"/>
      <w:numFmt w:val="bullet"/>
      <w:lvlText w:val="•"/>
      <w:lvlJc w:val="left"/>
      <w:pPr>
        <w:ind w:left="4983" w:hanging="185"/>
      </w:pPr>
      <w:rPr>
        <w:rFonts w:hint="default"/>
        <w:lang w:val="pt-PT" w:eastAsia="en-US" w:bidi="ar-SA"/>
      </w:rPr>
    </w:lvl>
    <w:lvl w:ilvl="6">
      <w:start w:val="0"/>
      <w:numFmt w:val="bullet"/>
      <w:lvlText w:val="•"/>
      <w:lvlJc w:val="left"/>
      <w:pPr>
        <w:ind w:left="5955" w:hanging="185"/>
      </w:pPr>
      <w:rPr>
        <w:rFonts w:hint="default"/>
        <w:lang w:val="pt-PT" w:eastAsia="en-US" w:bidi="ar-SA"/>
      </w:rPr>
    </w:lvl>
    <w:lvl w:ilvl="7">
      <w:start w:val="0"/>
      <w:numFmt w:val="bullet"/>
      <w:lvlText w:val="•"/>
      <w:lvlJc w:val="left"/>
      <w:pPr>
        <w:ind w:left="6928" w:hanging="185"/>
      </w:pPr>
      <w:rPr>
        <w:rFonts w:hint="default"/>
        <w:lang w:val="pt-PT" w:eastAsia="en-US" w:bidi="ar-SA"/>
      </w:rPr>
    </w:lvl>
    <w:lvl w:ilvl="8">
      <w:start w:val="0"/>
      <w:numFmt w:val="bullet"/>
      <w:lvlText w:val="•"/>
      <w:lvlJc w:val="left"/>
      <w:pPr>
        <w:ind w:left="7901" w:hanging="185"/>
      </w:pPr>
      <w:rPr>
        <w:rFonts w:hint="default"/>
        <w:lang w:val="pt-PT" w:eastAsia="en-US" w:bidi="ar-SA"/>
      </w:rPr>
    </w:lvl>
  </w:abstractNum>
  <w:abstractNum w:abstractNumId="2">
    <w:multiLevelType w:val="hybridMultilevel"/>
    <w:lvl w:ilvl="0">
      <w:start w:val="1"/>
      <w:numFmt w:val="decimal"/>
      <w:lvlText w:val="%1."/>
      <w:lvlJc w:val="left"/>
      <w:pPr>
        <w:ind w:left="476" w:hanging="358"/>
        <w:jc w:val="left"/>
      </w:pPr>
      <w:rPr>
        <w:rFonts w:hint="default" w:ascii="Times New Roman" w:hAnsi="Times New Roman" w:eastAsia="Times New Roman" w:cs="Times New Roman"/>
        <w:b/>
        <w:bCs/>
        <w:spacing w:val="-3"/>
        <w:w w:val="99"/>
        <w:sz w:val="24"/>
        <w:szCs w:val="24"/>
        <w:lang w:val="pt-PT" w:eastAsia="en-US" w:bidi="ar-SA"/>
      </w:rPr>
    </w:lvl>
    <w:lvl w:ilvl="1">
      <w:start w:val="1"/>
      <w:numFmt w:val="decimal"/>
      <w:lvlText w:val="%1.%2"/>
      <w:lvlJc w:val="left"/>
      <w:pPr>
        <w:ind w:left="685" w:hanging="567"/>
        <w:jc w:val="left"/>
      </w:pPr>
      <w:rPr>
        <w:rFonts w:hint="default"/>
        <w:spacing w:val="-13"/>
        <w:w w:val="99"/>
        <w:lang w:val="pt-PT" w:eastAsia="en-US" w:bidi="ar-SA"/>
      </w:rPr>
    </w:lvl>
    <w:lvl w:ilvl="2">
      <w:start w:val="1"/>
      <w:numFmt w:val="decimal"/>
      <w:lvlText w:val="%1.%2.%3"/>
      <w:lvlJc w:val="left"/>
      <w:pPr>
        <w:ind w:left="838" w:hanging="567"/>
        <w:jc w:val="left"/>
      </w:pPr>
      <w:rPr>
        <w:rFonts w:hint="default" w:ascii="Times New Roman" w:hAnsi="Times New Roman" w:eastAsia="Times New Roman" w:cs="Times New Roman"/>
        <w:spacing w:val="-6"/>
        <w:w w:val="99"/>
        <w:sz w:val="24"/>
        <w:szCs w:val="24"/>
        <w:lang w:val="pt-PT" w:eastAsia="en-US" w:bidi="ar-SA"/>
      </w:rPr>
    </w:lvl>
    <w:lvl w:ilvl="3">
      <w:start w:val="1"/>
      <w:numFmt w:val="decimal"/>
      <w:lvlText w:val="%1.%2.%3.%4"/>
      <w:lvlJc w:val="left"/>
      <w:pPr>
        <w:ind w:left="838" w:hanging="567"/>
        <w:jc w:val="left"/>
      </w:pPr>
      <w:rPr>
        <w:rFonts w:hint="default" w:ascii="Times New Roman" w:hAnsi="Times New Roman" w:eastAsia="Times New Roman" w:cs="Times New Roman"/>
        <w:spacing w:val="-5"/>
        <w:w w:val="100"/>
        <w:sz w:val="24"/>
        <w:szCs w:val="24"/>
        <w:lang w:val="pt-PT" w:eastAsia="en-US" w:bidi="ar-SA"/>
      </w:rPr>
    </w:lvl>
    <w:lvl w:ilvl="4">
      <w:start w:val="1"/>
      <w:numFmt w:val="decimal"/>
      <w:lvlText w:val="%1.%2.%3.%4.%5"/>
      <w:lvlJc w:val="left"/>
      <w:pPr>
        <w:ind w:left="1198" w:hanging="567"/>
        <w:jc w:val="left"/>
      </w:pPr>
      <w:rPr>
        <w:rFonts w:hint="default" w:ascii="Times New Roman" w:hAnsi="Times New Roman" w:eastAsia="Times New Roman" w:cs="Times New Roman"/>
        <w:spacing w:val="-5"/>
        <w:w w:val="99"/>
        <w:sz w:val="24"/>
        <w:szCs w:val="24"/>
        <w:lang w:val="pt-PT" w:eastAsia="en-US" w:bidi="ar-SA"/>
      </w:rPr>
    </w:lvl>
    <w:lvl w:ilvl="5">
      <w:start w:val="1"/>
      <w:numFmt w:val="decimal"/>
      <w:lvlText w:val="%1.%2.%3.%4.%5.%6"/>
      <w:lvlJc w:val="left"/>
      <w:pPr>
        <w:ind w:left="1198" w:hanging="567"/>
        <w:jc w:val="left"/>
      </w:pPr>
      <w:rPr>
        <w:rFonts w:hint="default" w:ascii="Times New Roman" w:hAnsi="Times New Roman" w:eastAsia="Times New Roman" w:cs="Times New Roman"/>
        <w:spacing w:val="-20"/>
        <w:w w:val="99"/>
        <w:sz w:val="24"/>
        <w:szCs w:val="24"/>
        <w:lang w:val="pt-PT" w:eastAsia="en-US" w:bidi="ar-SA"/>
      </w:rPr>
    </w:lvl>
    <w:lvl w:ilvl="6">
      <w:start w:val="0"/>
      <w:numFmt w:val="bullet"/>
      <w:lvlText w:val="•"/>
      <w:lvlJc w:val="left"/>
      <w:pPr>
        <w:ind w:left="4082" w:hanging="567"/>
      </w:pPr>
      <w:rPr>
        <w:rFonts w:hint="default"/>
        <w:lang w:val="pt-PT" w:eastAsia="en-US" w:bidi="ar-SA"/>
      </w:rPr>
    </w:lvl>
    <w:lvl w:ilvl="7">
      <w:start w:val="0"/>
      <w:numFmt w:val="bullet"/>
      <w:lvlText w:val="•"/>
      <w:lvlJc w:val="left"/>
      <w:pPr>
        <w:ind w:left="5523" w:hanging="567"/>
      </w:pPr>
      <w:rPr>
        <w:rFonts w:hint="default"/>
        <w:lang w:val="pt-PT" w:eastAsia="en-US" w:bidi="ar-SA"/>
      </w:rPr>
    </w:lvl>
    <w:lvl w:ilvl="8">
      <w:start w:val="0"/>
      <w:numFmt w:val="bullet"/>
      <w:lvlText w:val="•"/>
      <w:lvlJc w:val="left"/>
      <w:pPr>
        <w:ind w:left="6964" w:hanging="567"/>
      </w:pPr>
      <w:rPr>
        <w:rFonts w:hint="default"/>
        <w:lang w:val="pt-PT" w:eastAsia="en-US" w:bidi="ar-SA"/>
      </w:rPr>
    </w:lvl>
  </w:abstractNum>
  <w:abstractNum w:abstractNumId="1">
    <w:multiLevelType w:val="hybridMultilevel"/>
    <w:lvl w:ilvl="0">
      <w:start w:val="1"/>
      <w:numFmt w:val="decimal"/>
      <w:lvlText w:val="%1."/>
      <w:lvlJc w:val="left"/>
      <w:pPr>
        <w:ind w:left="546" w:hanging="428"/>
        <w:jc w:val="left"/>
      </w:pPr>
      <w:rPr>
        <w:rFonts w:hint="default" w:ascii="Times New Roman" w:hAnsi="Times New Roman" w:eastAsia="Times New Roman" w:cs="Times New Roman"/>
        <w:spacing w:val="-30"/>
        <w:w w:val="99"/>
        <w:sz w:val="24"/>
        <w:szCs w:val="24"/>
        <w:lang w:val="pt-PT" w:eastAsia="en-US" w:bidi="ar-SA"/>
      </w:rPr>
    </w:lvl>
    <w:lvl w:ilvl="1">
      <w:start w:val="0"/>
      <w:numFmt w:val="bullet"/>
      <w:lvlText w:val="•"/>
      <w:lvlJc w:val="left"/>
      <w:pPr>
        <w:ind w:left="1470" w:hanging="428"/>
      </w:pPr>
      <w:rPr>
        <w:rFonts w:hint="default"/>
        <w:lang w:val="pt-PT" w:eastAsia="en-US" w:bidi="ar-SA"/>
      </w:rPr>
    </w:lvl>
    <w:lvl w:ilvl="2">
      <w:start w:val="0"/>
      <w:numFmt w:val="bullet"/>
      <w:lvlText w:val="•"/>
      <w:lvlJc w:val="left"/>
      <w:pPr>
        <w:ind w:left="2401" w:hanging="428"/>
      </w:pPr>
      <w:rPr>
        <w:rFonts w:hint="default"/>
        <w:lang w:val="pt-PT" w:eastAsia="en-US" w:bidi="ar-SA"/>
      </w:rPr>
    </w:lvl>
    <w:lvl w:ilvl="3">
      <w:start w:val="0"/>
      <w:numFmt w:val="bullet"/>
      <w:lvlText w:val="•"/>
      <w:lvlJc w:val="left"/>
      <w:pPr>
        <w:ind w:left="3331" w:hanging="428"/>
      </w:pPr>
      <w:rPr>
        <w:rFonts w:hint="default"/>
        <w:lang w:val="pt-PT" w:eastAsia="en-US" w:bidi="ar-SA"/>
      </w:rPr>
    </w:lvl>
    <w:lvl w:ilvl="4">
      <w:start w:val="0"/>
      <w:numFmt w:val="bullet"/>
      <w:lvlText w:val="•"/>
      <w:lvlJc w:val="left"/>
      <w:pPr>
        <w:ind w:left="4262" w:hanging="428"/>
      </w:pPr>
      <w:rPr>
        <w:rFonts w:hint="default"/>
        <w:lang w:val="pt-PT" w:eastAsia="en-US" w:bidi="ar-SA"/>
      </w:rPr>
    </w:lvl>
    <w:lvl w:ilvl="5">
      <w:start w:val="0"/>
      <w:numFmt w:val="bullet"/>
      <w:lvlText w:val="•"/>
      <w:lvlJc w:val="left"/>
      <w:pPr>
        <w:ind w:left="5193" w:hanging="428"/>
      </w:pPr>
      <w:rPr>
        <w:rFonts w:hint="default"/>
        <w:lang w:val="pt-PT" w:eastAsia="en-US" w:bidi="ar-SA"/>
      </w:rPr>
    </w:lvl>
    <w:lvl w:ilvl="6">
      <w:start w:val="0"/>
      <w:numFmt w:val="bullet"/>
      <w:lvlText w:val="•"/>
      <w:lvlJc w:val="left"/>
      <w:pPr>
        <w:ind w:left="6123" w:hanging="428"/>
      </w:pPr>
      <w:rPr>
        <w:rFonts w:hint="default"/>
        <w:lang w:val="pt-PT" w:eastAsia="en-US" w:bidi="ar-SA"/>
      </w:rPr>
    </w:lvl>
    <w:lvl w:ilvl="7">
      <w:start w:val="0"/>
      <w:numFmt w:val="bullet"/>
      <w:lvlText w:val="•"/>
      <w:lvlJc w:val="left"/>
      <w:pPr>
        <w:ind w:left="7054" w:hanging="428"/>
      </w:pPr>
      <w:rPr>
        <w:rFonts w:hint="default"/>
        <w:lang w:val="pt-PT" w:eastAsia="en-US" w:bidi="ar-SA"/>
      </w:rPr>
    </w:lvl>
    <w:lvl w:ilvl="8">
      <w:start w:val="0"/>
      <w:numFmt w:val="bullet"/>
      <w:lvlText w:val="•"/>
      <w:lvlJc w:val="left"/>
      <w:pPr>
        <w:ind w:left="7985" w:hanging="428"/>
      </w:pPr>
      <w:rPr>
        <w:rFonts w:hint="default"/>
        <w:lang w:val="pt-PT" w:eastAsia="en-US" w:bidi="ar-SA"/>
      </w:rPr>
    </w:lvl>
  </w:abstractNum>
  <w:abstractNum w:abstractNumId="0">
    <w:multiLevelType w:val="hybridMultilevel"/>
    <w:lvl w:ilvl="0">
      <w:start w:val="1"/>
      <w:numFmt w:val="decimal"/>
      <w:lvlText w:val="%1."/>
      <w:lvlJc w:val="left"/>
      <w:pPr>
        <w:ind w:left="558" w:hanging="440"/>
        <w:jc w:val="left"/>
      </w:pPr>
      <w:rPr>
        <w:rFonts w:hint="default" w:ascii="Times New Roman" w:hAnsi="Times New Roman" w:eastAsia="Times New Roman" w:cs="Times New Roman"/>
        <w:spacing w:val="-2"/>
        <w:w w:val="99"/>
        <w:sz w:val="24"/>
        <w:szCs w:val="24"/>
        <w:lang w:val="pt-PT" w:eastAsia="en-US" w:bidi="ar-SA"/>
      </w:rPr>
    </w:lvl>
    <w:lvl w:ilvl="1">
      <w:start w:val="0"/>
      <w:numFmt w:val="bullet"/>
      <w:lvlText w:val="•"/>
      <w:lvlJc w:val="left"/>
      <w:pPr>
        <w:ind w:left="1488" w:hanging="440"/>
      </w:pPr>
      <w:rPr>
        <w:rFonts w:hint="default"/>
        <w:lang w:val="pt-PT" w:eastAsia="en-US" w:bidi="ar-SA"/>
      </w:rPr>
    </w:lvl>
    <w:lvl w:ilvl="2">
      <w:start w:val="0"/>
      <w:numFmt w:val="bullet"/>
      <w:lvlText w:val="•"/>
      <w:lvlJc w:val="left"/>
      <w:pPr>
        <w:ind w:left="2417" w:hanging="440"/>
      </w:pPr>
      <w:rPr>
        <w:rFonts w:hint="default"/>
        <w:lang w:val="pt-PT" w:eastAsia="en-US" w:bidi="ar-SA"/>
      </w:rPr>
    </w:lvl>
    <w:lvl w:ilvl="3">
      <w:start w:val="0"/>
      <w:numFmt w:val="bullet"/>
      <w:lvlText w:val="•"/>
      <w:lvlJc w:val="left"/>
      <w:pPr>
        <w:ind w:left="3345" w:hanging="440"/>
      </w:pPr>
      <w:rPr>
        <w:rFonts w:hint="default"/>
        <w:lang w:val="pt-PT" w:eastAsia="en-US" w:bidi="ar-SA"/>
      </w:rPr>
    </w:lvl>
    <w:lvl w:ilvl="4">
      <w:start w:val="0"/>
      <w:numFmt w:val="bullet"/>
      <w:lvlText w:val="•"/>
      <w:lvlJc w:val="left"/>
      <w:pPr>
        <w:ind w:left="4274" w:hanging="440"/>
      </w:pPr>
      <w:rPr>
        <w:rFonts w:hint="default"/>
        <w:lang w:val="pt-PT" w:eastAsia="en-US" w:bidi="ar-SA"/>
      </w:rPr>
    </w:lvl>
    <w:lvl w:ilvl="5">
      <w:start w:val="0"/>
      <w:numFmt w:val="bullet"/>
      <w:lvlText w:val="•"/>
      <w:lvlJc w:val="left"/>
      <w:pPr>
        <w:ind w:left="5203" w:hanging="440"/>
      </w:pPr>
      <w:rPr>
        <w:rFonts w:hint="default"/>
        <w:lang w:val="pt-PT" w:eastAsia="en-US" w:bidi="ar-SA"/>
      </w:rPr>
    </w:lvl>
    <w:lvl w:ilvl="6">
      <w:start w:val="0"/>
      <w:numFmt w:val="bullet"/>
      <w:lvlText w:val="•"/>
      <w:lvlJc w:val="left"/>
      <w:pPr>
        <w:ind w:left="6131" w:hanging="440"/>
      </w:pPr>
      <w:rPr>
        <w:rFonts w:hint="default"/>
        <w:lang w:val="pt-PT" w:eastAsia="en-US" w:bidi="ar-SA"/>
      </w:rPr>
    </w:lvl>
    <w:lvl w:ilvl="7">
      <w:start w:val="0"/>
      <w:numFmt w:val="bullet"/>
      <w:lvlText w:val="•"/>
      <w:lvlJc w:val="left"/>
      <w:pPr>
        <w:ind w:left="7060" w:hanging="440"/>
      </w:pPr>
      <w:rPr>
        <w:rFonts w:hint="default"/>
        <w:lang w:val="pt-PT" w:eastAsia="en-US" w:bidi="ar-SA"/>
      </w:rPr>
    </w:lvl>
    <w:lvl w:ilvl="8">
      <w:start w:val="0"/>
      <w:numFmt w:val="bullet"/>
      <w:lvlText w:val="•"/>
      <w:lvlJc w:val="left"/>
      <w:pPr>
        <w:ind w:left="7989" w:hanging="440"/>
      </w:pPr>
      <w:rPr>
        <w:rFonts w:hint="default"/>
        <w:lang w:val="pt-PT" w:eastAsia="en-US" w:bidi="ar-SA"/>
      </w:rPr>
    </w:lvl>
  </w:abstract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pt-PT" w:eastAsia="en-US" w:bidi="ar-SA"/>
    </w:rPr>
  </w:style>
  <w:style w:styleId="TOC1" w:type="paragraph">
    <w:name w:val="TOC 1"/>
    <w:basedOn w:val="Normal"/>
    <w:uiPriority w:val="1"/>
    <w:qFormat/>
    <w:pPr>
      <w:spacing w:before="122"/>
      <w:ind w:left="558" w:hanging="441"/>
    </w:pPr>
    <w:rPr>
      <w:rFonts w:ascii="Times New Roman" w:hAnsi="Times New Roman" w:eastAsia="Times New Roman" w:cs="Times New Roman"/>
      <w:sz w:val="24"/>
      <w:szCs w:val="24"/>
      <w:lang w:val="pt-PT"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pt-PT" w:eastAsia="en-US" w:bidi="ar-SA"/>
    </w:rPr>
  </w:style>
  <w:style w:styleId="Heading1" w:type="paragraph">
    <w:name w:val="Heading 1"/>
    <w:basedOn w:val="Normal"/>
    <w:uiPriority w:val="1"/>
    <w:qFormat/>
    <w:pPr>
      <w:spacing w:before="90"/>
      <w:ind w:left="4658"/>
      <w:jc w:val="center"/>
      <w:outlineLvl w:val="1"/>
    </w:pPr>
    <w:rPr>
      <w:rFonts w:ascii="Times New Roman" w:hAnsi="Times New Roman" w:eastAsia="Times New Roman" w:cs="Times New Roman"/>
      <w:b/>
      <w:bCs/>
      <w:sz w:val="24"/>
      <w:szCs w:val="24"/>
      <w:lang w:val="pt-PT" w:eastAsia="en-US" w:bidi="ar-SA"/>
    </w:rPr>
  </w:style>
  <w:style w:styleId="ListParagraph" w:type="paragraph">
    <w:name w:val="List Paragraph"/>
    <w:basedOn w:val="Normal"/>
    <w:uiPriority w:val="1"/>
    <w:qFormat/>
    <w:pPr>
      <w:ind w:left="1198" w:hanging="567"/>
      <w:jc w:val="both"/>
    </w:pPr>
    <w:rPr>
      <w:rFonts w:ascii="Times New Roman" w:hAnsi="Times New Roman" w:eastAsia="Times New Roman" w:cs="Times New Roman"/>
      <w:lang w:val="pt-PT" w:eastAsia="en-US" w:bidi="ar-SA"/>
    </w:rPr>
  </w:style>
  <w:style w:styleId="TableParagraph" w:type="paragraph">
    <w:name w:val="Table Paragraph"/>
    <w:basedOn w:val="Normal"/>
    <w:uiPriority w:val="1"/>
    <w:qFormat/>
    <w:pPr>
      <w:spacing w:before="59"/>
    </w:pPr>
    <w:rPr>
      <w:rFonts w:ascii="Times New Roman" w:hAnsi="Times New Roman" w:eastAsia="Times New Roman" w:cs="Times New Roman"/>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hyperlink" Target="http://www.tse.gov.br/" TargetMode="Externa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2021-05-12T21:40:11Z</dcterms:created>
  <dcterms:modified xsi:type="dcterms:W3CDTF">2021-05-12T21:40:11Z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2020-09-11T00:00:00Z</vt:filetime>
  </property>
  <property fmtid="{D5CDD505-2E9C-101B-9397-08002B2CF9AE}" pid="3" name="LastSaved">
    <vt:filetime>2021-05-12T00:00:00Z</vt:filetime>
  </property>
</Properties>
</file>