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C72" w:rsidRPr="00E960B0" w:rsidRDefault="008F1C72" w:rsidP="008F1C72">
      <w:pPr>
        <w:widowControl w:val="0"/>
        <w:tabs>
          <w:tab w:val="left" w:pos="214"/>
        </w:tabs>
        <w:spacing w:before="120"/>
        <w:jc w:val="center"/>
        <w:rPr>
          <w:rFonts w:ascii="Times New Roman" w:hAnsi="Times New Roman" w:cs="Times New Roman"/>
          <w:b/>
          <w:color w:val="000000" w:themeColor="text1"/>
          <w:sz w:val="24"/>
          <w:szCs w:val="24"/>
        </w:rPr>
      </w:pPr>
    </w:p>
    <w:p w:rsidR="008F1C72" w:rsidRPr="00E960B0" w:rsidRDefault="008F1C72" w:rsidP="008F1C72">
      <w:pPr>
        <w:widowControl w:val="0"/>
        <w:tabs>
          <w:tab w:val="left" w:pos="214"/>
        </w:tabs>
        <w:spacing w:before="120"/>
        <w:jc w:val="center"/>
        <w:rPr>
          <w:rFonts w:ascii="Times New Roman" w:hAnsi="Times New Roman" w:cs="Times New Roman"/>
          <w:b/>
          <w:color w:val="000000" w:themeColor="text1"/>
          <w:sz w:val="24"/>
          <w:szCs w:val="24"/>
        </w:rPr>
      </w:pPr>
    </w:p>
    <w:p w:rsidR="008F1C72" w:rsidRPr="00E960B0" w:rsidRDefault="008F1C72" w:rsidP="008F1C72">
      <w:pPr>
        <w:widowControl w:val="0"/>
        <w:tabs>
          <w:tab w:val="left" w:pos="214"/>
        </w:tabs>
        <w:spacing w:before="120"/>
        <w:jc w:val="center"/>
        <w:rPr>
          <w:rFonts w:ascii="Times New Roman" w:hAnsi="Times New Roman" w:cs="Times New Roman"/>
          <w:b/>
          <w:color w:val="000000" w:themeColor="text1"/>
          <w:sz w:val="24"/>
          <w:szCs w:val="24"/>
        </w:rPr>
      </w:pPr>
    </w:p>
    <w:p w:rsidR="008F1C72" w:rsidRPr="00E960B0" w:rsidRDefault="008F1C72" w:rsidP="008F1C72">
      <w:pPr>
        <w:widowControl w:val="0"/>
        <w:tabs>
          <w:tab w:val="left" w:pos="214"/>
        </w:tabs>
        <w:spacing w:before="120"/>
        <w:jc w:val="center"/>
        <w:rPr>
          <w:rFonts w:ascii="Times New Roman" w:hAnsi="Times New Roman" w:cs="Times New Roman"/>
          <w:b/>
          <w:color w:val="000000" w:themeColor="text1"/>
          <w:sz w:val="24"/>
          <w:szCs w:val="24"/>
        </w:rPr>
      </w:pPr>
    </w:p>
    <w:p w:rsidR="008F1C72" w:rsidRPr="00E960B0" w:rsidRDefault="008F1C72" w:rsidP="00215797">
      <w:pPr>
        <w:rPr>
          <w:rFonts w:ascii="Times New Roman" w:hAnsi="Times New Roman" w:cs="Times New Roman"/>
          <w:b/>
          <w:color w:val="000000" w:themeColor="text1"/>
          <w:sz w:val="24"/>
          <w:szCs w:val="24"/>
        </w:rPr>
      </w:pPr>
    </w:p>
    <w:p w:rsidR="008F1C72" w:rsidRPr="00E960B0" w:rsidRDefault="008F1C72" w:rsidP="008F1C72">
      <w:pPr>
        <w:widowControl w:val="0"/>
        <w:tabs>
          <w:tab w:val="left" w:pos="214"/>
        </w:tabs>
        <w:spacing w:before="120"/>
        <w:jc w:val="center"/>
        <w:rPr>
          <w:rFonts w:ascii="Times New Roman" w:hAnsi="Times New Roman" w:cs="Times New Roman"/>
          <w:b/>
          <w:color w:val="000000" w:themeColor="text1"/>
          <w:sz w:val="24"/>
          <w:szCs w:val="24"/>
        </w:rPr>
      </w:pPr>
    </w:p>
    <w:p w:rsidR="00C50119" w:rsidRPr="00E960B0" w:rsidRDefault="00C50119" w:rsidP="008F1C72">
      <w:pPr>
        <w:widowControl w:val="0"/>
        <w:tabs>
          <w:tab w:val="left" w:pos="214"/>
        </w:tabs>
        <w:spacing w:before="120"/>
        <w:jc w:val="center"/>
        <w:rPr>
          <w:rFonts w:ascii="Times New Roman" w:hAnsi="Times New Roman" w:cs="Times New Roman"/>
          <w:b/>
          <w:color w:val="000000" w:themeColor="text1"/>
          <w:sz w:val="24"/>
          <w:szCs w:val="24"/>
        </w:rPr>
      </w:pPr>
    </w:p>
    <w:p w:rsidR="00C50119" w:rsidRPr="00E960B0" w:rsidRDefault="00C50119" w:rsidP="008F1C72">
      <w:pPr>
        <w:widowControl w:val="0"/>
        <w:tabs>
          <w:tab w:val="left" w:pos="214"/>
        </w:tabs>
        <w:spacing w:before="120"/>
        <w:jc w:val="center"/>
        <w:rPr>
          <w:rFonts w:ascii="Times New Roman" w:hAnsi="Times New Roman" w:cs="Times New Roman"/>
          <w:b/>
          <w:color w:val="000000" w:themeColor="text1"/>
          <w:sz w:val="24"/>
          <w:szCs w:val="24"/>
        </w:rPr>
      </w:pPr>
    </w:p>
    <w:p w:rsidR="008F1C72" w:rsidRPr="00E960B0" w:rsidRDefault="008F1C72" w:rsidP="008F1C72">
      <w:pPr>
        <w:widowControl w:val="0"/>
        <w:tabs>
          <w:tab w:val="left" w:pos="214"/>
        </w:tabs>
        <w:spacing w:before="120"/>
        <w:jc w:val="center"/>
        <w:rPr>
          <w:rFonts w:ascii="Times New Roman" w:hAnsi="Times New Roman" w:cs="Times New Roman"/>
          <w:b/>
          <w:color w:val="000000" w:themeColor="text1"/>
          <w:sz w:val="24"/>
          <w:szCs w:val="24"/>
        </w:rPr>
      </w:pPr>
    </w:p>
    <w:p w:rsidR="000A17BF" w:rsidRPr="00E960B0" w:rsidRDefault="000A17BF" w:rsidP="008F1C72">
      <w:pPr>
        <w:widowControl w:val="0"/>
        <w:tabs>
          <w:tab w:val="left" w:pos="214"/>
        </w:tabs>
        <w:spacing w:before="120"/>
        <w:jc w:val="center"/>
        <w:rPr>
          <w:rFonts w:ascii="Times New Roman" w:hAnsi="Times New Roman" w:cs="Times New Roman"/>
          <w:b/>
          <w:color w:val="000000" w:themeColor="text1"/>
          <w:sz w:val="24"/>
          <w:szCs w:val="24"/>
        </w:rPr>
      </w:pPr>
    </w:p>
    <w:p w:rsidR="008F1C72" w:rsidRPr="00E960B0" w:rsidRDefault="008F1C72" w:rsidP="008F1C72">
      <w:pPr>
        <w:widowControl w:val="0"/>
        <w:tabs>
          <w:tab w:val="left" w:pos="214"/>
        </w:tabs>
        <w:spacing w:before="120"/>
        <w:jc w:val="center"/>
        <w:rPr>
          <w:rFonts w:ascii="Times New Roman" w:hAnsi="Times New Roman" w:cs="Times New Roman"/>
          <w:b/>
          <w:color w:val="000000" w:themeColor="text1"/>
          <w:sz w:val="24"/>
          <w:szCs w:val="24"/>
        </w:rPr>
      </w:pPr>
    </w:p>
    <w:p w:rsidR="008F1C72" w:rsidRPr="00621E67" w:rsidRDefault="008F1C72" w:rsidP="008F1C72">
      <w:pPr>
        <w:widowControl w:val="0"/>
        <w:tabs>
          <w:tab w:val="left" w:pos="214"/>
        </w:tabs>
        <w:spacing w:before="120"/>
        <w:jc w:val="center"/>
        <w:rPr>
          <w:rFonts w:ascii="Times New Roman" w:hAnsi="Times New Roman" w:cs="Times New Roman"/>
          <w:b/>
          <w:sz w:val="24"/>
          <w:szCs w:val="24"/>
        </w:rPr>
      </w:pPr>
      <w:r w:rsidRPr="00621E67">
        <w:rPr>
          <w:rFonts w:ascii="Times New Roman" w:hAnsi="Times New Roman" w:cs="Times New Roman"/>
          <w:b/>
          <w:sz w:val="24"/>
          <w:szCs w:val="24"/>
        </w:rPr>
        <w:t xml:space="preserve">RELATÓRIO </w:t>
      </w:r>
      <w:r w:rsidR="001744F2">
        <w:rPr>
          <w:rFonts w:ascii="Times New Roman" w:hAnsi="Times New Roman" w:cs="Times New Roman"/>
          <w:b/>
          <w:sz w:val="24"/>
          <w:szCs w:val="24"/>
        </w:rPr>
        <w:t>CONCLUSIVO</w:t>
      </w:r>
      <w:r w:rsidRPr="00621E67">
        <w:rPr>
          <w:rFonts w:ascii="Times New Roman" w:hAnsi="Times New Roman" w:cs="Times New Roman"/>
          <w:b/>
          <w:sz w:val="24"/>
          <w:szCs w:val="24"/>
        </w:rPr>
        <w:t xml:space="preserve"> DA AUDITORIA</w:t>
      </w:r>
      <w:r w:rsidR="00E06BEC" w:rsidRPr="00621E67">
        <w:rPr>
          <w:rFonts w:ascii="Times New Roman" w:hAnsi="Times New Roman" w:cs="Times New Roman"/>
          <w:b/>
          <w:sz w:val="24"/>
          <w:szCs w:val="24"/>
        </w:rPr>
        <w:t xml:space="preserve"> </w:t>
      </w:r>
      <w:r w:rsidR="00EA4F7E" w:rsidRPr="00621E67">
        <w:rPr>
          <w:rFonts w:ascii="Times New Roman" w:hAnsi="Times New Roman" w:cs="Times New Roman"/>
          <w:b/>
          <w:sz w:val="24"/>
          <w:szCs w:val="24"/>
        </w:rPr>
        <w:t xml:space="preserve">INTEGRADA </w:t>
      </w:r>
      <w:r w:rsidR="002D2D81">
        <w:rPr>
          <w:rFonts w:ascii="Times New Roman" w:hAnsi="Times New Roman" w:cs="Times New Roman"/>
          <w:b/>
          <w:sz w:val="24"/>
          <w:szCs w:val="24"/>
        </w:rPr>
        <w:t>TSE/</w:t>
      </w:r>
      <w:proofErr w:type="spellStart"/>
      <w:r w:rsidR="002D2D81">
        <w:rPr>
          <w:rFonts w:ascii="Times New Roman" w:hAnsi="Times New Roman" w:cs="Times New Roman"/>
          <w:b/>
          <w:sz w:val="24"/>
          <w:szCs w:val="24"/>
        </w:rPr>
        <w:t>TREs</w:t>
      </w:r>
      <w:proofErr w:type="spellEnd"/>
      <w:r w:rsidR="00EA4F7E" w:rsidRPr="00621E67">
        <w:rPr>
          <w:rFonts w:ascii="Times New Roman" w:hAnsi="Times New Roman" w:cs="Times New Roman"/>
          <w:b/>
          <w:sz w:val="24"/>
          <w:szCs w:val="24"/>
        </w:rPr>
        <w:t xml:space="preserve"> – </w:t>
      </w:r>
      <w:r w:rsidR="002D2D81">
        <w:rPr>
          <w:rFonts w:ascii="Times New Roman" w:hAnsi="Times New Roman" w:cs="Times New Roman"/>
          <w:b/>
          <w:sz w:val="24"/>
          <w:szCs w:val="24"/>
        </w:rPr>
        <w:t>GESTÃO DA FORÇA DE TRABALHO/</w:t>
      </w:r>
      <w:r w:rsidR="00EA4F7E" w:rsidRPr="00621E67">
        <w:rPr>
          <w:rFonts w:ascii="Times New Roman" w:hAnsi="Times New Roman" w:cs="Times New Roman"/>
          <w:b/>
          <w:sz w:val="24"/>
          <w:szCs w:val="24"/>
        </w:rPr>
        <w:t xml:space="preserve">DIMENSIONAMENTO DA FORÇA DE TRABALHO </w:t>
      </w:r>
      <w:r w:rsidR="00543C3B" w:rsidRPr="00621E67">
        <w:rPr>
          <w:rFonts w:ascii="Times New Roman" w:hAnsi="Times New Roman" w:cs="Times New Roman"/>
          <w:b/>
          <w:sz w:val="24"/>
          <w:szCs w:val="24"/>
        </w:rPr>
        <w:t>–</w:t>
      </w:r>
      <w:r w:rsidRPr="00621E67">
        <w:rPr>
          <w:rFonts w:ascii="Times New Roman" w:hAnsi="Times New Roman" w:cs="Times New Roman"/>
          <w:b/>
          <w:sz w:val="24"/>
          <w:szCs w:val="24"/>
        </w:rPr>
        <w:t xml:space="preserve"> </w:t>
      </w:r>
      <w:r w:rsidR="00543C3B" w:rsidRPr="00621E67">
        <w:rPr>
          <w:rFonts w:ascii="Times New Roman" w:hAnsi="Times New Roman" w:cs="Times New Roman"/>
          <w:b/>
          <w:sz w:val="24"/>
          <w:szCs w:val="24"/>
        </w:rPr>
        <w:t>E</w:t>
      </w:r>
      <w:r w:rsidRPr="00621E67">
        <w:rPr>
          <w:rFonts w:ascii="Times New Roman" w:hAnsi="Times New Roman" w:cs="Times New Roman"/>
          <w:b/>
          <w:sz w:val="24"/>
          <w:szCs w:val="24"/>
        </w:rPr>
        <w:t xml:space="preserve">XERCÍCIO </w:t>
      </w:r>
      <w:r w:rsidR="00C66F58" w:rsidRPr="00C66F58">
        <w:rPr>
          <w:rFonts w:ascii="Times New Roman" w:hAnsi="Times New Roman" w:cs="Times New Roman"/>
          <w:b/>
          <w:color w:val="1D1B11" w:themeColor="background2" w:themeShade="1A"/>
          <w:sz w:val="24"/>
          <w:szCs w:val="24"/>
        </w:rPr>
        <w:t>201</w:t>
      </w:r>
      <w:r w:rsidR="00901198">
        <w:rPr>
          <w:rFonts w:ascii="Times New Roman" w:hAnsi="Times New Roman" w:cs="Times New Roman"/>
          <w:b/>
          <w:color w:val="1D1B11" w:themeColor="background2" w:themeShade="1A"/>
          <w:sz w:val="24"/>
          <w:szCs w:val="24"/>
        </w:rPr>
        <w:t>8</w:t>
      </w:r>
      <w:r w:rsidR="00C66F58">
        <w:rPr>
          <w:rFonts w:ascii="Times New Roman" w:hAnsi="Times New Roman" w:cs="Times New Roman"/>
          <w:b/>
          <w:color w:val="1D1B11" w:themeColor="background2" w:themeShade="1A"/>
          <w:sz w:val="24"/>
          <w:szCs w:val="24"/>
        </w:rPr>
        <w:t xml:space="preserve"> </w:t>
      </w:r>
      <w:r w:rsidR="00CA3445" w:rsidRPr="00621E67">
        <w:rPr>
          <w:rFonts w:ascii="Times New Roman" w:hAnsi="Times New Roman" w:cs="Times New Roman"/>
          <w:b/>
          <w:sz w:val="24"/>
          <w:szCs w:val="24"/>
        </w:rPr>
        <w:t>(PAA201</w:t>
      </w:r>
      <w:r w:rsidR="005A2682" w:rsidRPr="00621E67">
        <w:rPr>
          <w:rFonts w:ascii="Times New Roman" w:hAnsi="Times New Roman" w:cs="Times New Roman"/>
          <w:b/>
          <w:sz w:val="24"/>
          <w:szCs w:val="24"/>
        </w:rPr>
        <w:t>8</w:t>
      </w:r>
      <w:r w:rsidR="00CA3445" w:rsidRPr="00621E67">
        <w:rPr>
          <w:rFonts w:ascii="Times New Roman" w:hAnsi="Times New Roman" w:cs="Times New Roman"/>
          <w:b/>
          <w:sz w:val="24"/>
          <w:szCs w:val="24"/>
        </w:rPr>
        <w:t>)</w:t>
      </w:r>
    </w:p>
    <w:p w:rsidR="008F1C72" w:rsidRPr="005C0EBA" w:rsidRDefault="008F1C72" w:rsidP="008F1C72">
      <w:pPr>
        <w:widowControl w:val="0"/>
        <w:tabs>
          <w:tab w:val="left" w:pos="214"/>
        </w:tabs>
        <w:spacing w:before="120"/>
        <w:jc w:val="center"/>
        <w:rPr>
          <w:rFonts w:ascii="Times New Roman" w:hAnsi="Times New Roman" w:cs="Times New Roman"/>
          <w:b/>
          <w:color w:val="0070C0"/>
          <w:sz w:val="24"/>
          <w:szCs w:val="24"/>
        </w:rPr>
      </w:pPr>
    </w:p>
    <w:p w:rsidR="008F1C72" w:rsidRPr="005C0EBA" w:rsidRDefault="008F1C72" w:rsidP="008F1C72">
      <w:pPr>
        <w:widowControl w:val="0"/>
        <w:tabs>
          <w:tab w:val="left" w:pos="214"/>
        </w:tabs>
        <w:spacing w:before="120"/>
        <w:jc w:val="center"/>
        <w:rPr>
          <w:rFonts w:ascii="Times New Roman" w:hAnsi="Times New Roman" w:cs="Times New Roman"/>
          <w:b/>
          <w:color w:val="0070C0"/>
          <w:sz w:val="24"/>
          <w:szCs w:val="24"/>
        </w:rPr>
      </w:pPr>
    </w:p>
    <w:p w:rsidR="008F1C72" w:rsidRPr="005C0EBA" w:rsidRDefault="008F1C72" w:rsidP="008F1C72">
      <w:pPr>
        <w:widowControl w:val="0"/>
        <w:tabs>
          <w:tab w:val="left" w:pos="214"/>
        </w:tabs>
        <w:spacing w:before="120"/>
        <w:jc w:val="center"/>
        <w:rPr>
          <w:rFonts w:ascii="Times New Roman" w:hAnsi="Times New Roman" w:cs="Times New Roman"/>
          <w:b/>
          <w:color w:val="0070C0"/>
          <w:sz w:val="24"/>
          <w:szCs w:val="24"/>
        </w:rPr>
      </w:pPr>
    </w:p>
    <w:p w:rsidR="008F1C72" w:rsidRPr="005C0EBA" w:rsidRDefault="008F1C72" w:rsidP="008F1C72">
      <w:pPr>
        <w:widowControl w:val="0"/>
        <w:tabs>
          <w:tab w:val="left" w:pos="214"/>
        </w:tabs>
        <w:spacing w:before="120"/>
        <w:jc w:val="center"/>
        <w:rPr>
          <w:rFonts w:ascii="Times New Roman" w:hAnsi="Times New Roman" w:cs="Times New Roman"/>
          <w:b/>
          <w:color w:val="0070C0"/>
          <w:sz w:val="24"/>
          <w:szCs w:val="24"/>
        </w:rPr>
      </w:pPr>
    </w:p>
    <w:p w:rsidR="008F1C72" w:rsidRPr="005C0EBA" w:rsidRDefault="008F1C72" w:rsidP="008F1C72">
      <w:pPr>
        <w:widowControl w:val="0"/>
        <w:tabs>
          <w:tab w:val="left" w:pos="214"/>
        </w:tabs>
        <w:spacing w:before="120"/>
        <w:jc w:val="center"/>
        <w:rPr>
          <w:rFonts w:ascii="Times New Roman" w:hAnsi="Times New Roman" w:cs="Times New Roman"/>
          <w:b/>
          <w:color w:val="0070C0"/>
          <w:sz w:val="24"/>
          <w:szCs w:val="24"/>
        </w:rPr>
      </w:pPr>
    </w:p>
    <w:p w:rsidR="008F1C72" w:rsidRPr="005C0EBA" w:rsidRDefault="008F1C72" w:rsidP="008F1C72">
      <w:pPr>
        <w:widowControl w:val="0"/>
        <w:tabs>
          <w:tab w:val="left" w:pos="214"/>
        </w:tabs>
        <w:spacing w:before="120"/>
        <w:jc w:val="center"/>
        <w:rPr>
          <w:rFonts w:ascii="Times New Roman" w:hAnsi="Times New Roman" w:cs="Times New Roman"/>
          <w:b/>
          <w:color w:val="0070C0"/>
          <w:sz w:val="24"/>
          <w:szCs w:val="24"/>
        </w:rPr>
      </w:pPr>
    </w:p>
    <w:p w:rsidR="00C50119" w:rsidRPr="005C0EBA" w:rsidRDefault="00C50119" w:rsidP="008F1C72">
      <w:pPr>
        <w:widowControl w:val="0"/>
        <w:tabs>
          <w:tab w:val="left" w:pos="214"/>
        </w:tabs>
        <w:spacing w:before="120"/>
        <w:jc w:val="center"/>
        <w:rPr>
          <w:rFonts w:ascii="Times New Roman" w:hAnsi="Times New Roman" w:cs="Times New Roman"/>
          <w:b/>
          <w:color w:val="0070C0"/>
          <w:sz w:val="24"/>
          <w:szCs w:val="24"/>
        </w:rPr>
      </w:pPr>
    </w:p>
    <w:p w:rsidR="00C50119" w:rsidRPr="005C0EBA" w:rsidRDefault="00C50119" w:rsidP="008F1C72">
      <w:pPr>
        <w:widowControl w:val="0"/>
        <w:tabs>
          <w:tab w:val="left" w:pos="214"/>
        </w:tabs>
        <w:spacing w:before="120"/>
        <w:jc w:val="center"/>
        <w:rPr>
          <w:rFonts w:ascii="Times New Roman" w:hAnsi="Times New Roman" w:cs="Times New Roman"/>
          <w:b/>
          <w:color w:val="0070C0"/>
          <w:sz w:val="24"/>
          <w:szCs w:val="24"/>
        </w:rPr>
      </w:pPr>
    </w:p>
    <w:p w:rsidR="00C50119" w:rsidRPr="005C0EBA" w:rsidRDefault="00C50119" w:rsidP="008F1C72">
      <w:pPr>
        <w:widowControl w:val="0"/>
        <w:tabs>
          <w:tab w:val="left" w:pos="214"/>
        </w:tabs>
        <w:spacing w:before="120"/>
        <w:jc w:val="center"/>
        <w:rPr>
          <w:rFonts w:ascii="Times New Roman" w:hAnsi="Times New Roman" w:cs="Times New Roman"/>
          <w:b/>
          <w:color w:val="0070C0"/>
          <w:sz w:val="24"/>
          <w:szCs w:val="24"/>
        </w:rPr>
      </w:pPr>
    </w:p>
    <w:p w:rsidR="00C50119" w:rsidRPr="005C0EBA" w:rsidRDefault="00C50119" w:rsidP="008F1C72">
      <w:pPr>
        <w:widowControl w:val="0"/>
        <w:tabs>
          <w:tab w:val="left" w:pos="214"/>
        </w:tabs>
        <w:spacing w:before="120"/>
        <w:jc w:val="center"/>
        <w:rPr>
          <w:rFonts w:ascii="Times New Roman" w:hAnsi="Times New Roman" w:cs="Times New Roman"/>
          <w:b/>
          <w:color w:val="0070C0"/>
          <w:sz w:val="24"/>
          <w:szCs w:val="24"/>
        </w:rPr>
      </w:pPr>
    </w:p>
    <w:p w:rsidR="008F1C72" w:rsidRPr="00621E67" w:rsidRDefault="008F1C72" w:rsidP="008F1C72">
      <w:pPr>
        <w:widowControl w:val="0"/>
        <w:tabs>
          <w:tab w:val="left" w:pos="214"/>
        </w:tabs>
        <w:spacing w:after="0" w:line="240" w:lineRule="auto"/>
        <w:jc w:val="center"/>
        <w:rPr>
          <w:rFonts w:ascii="Times New Roman" w:hAnsi="Times New Roman" w:cs="Times New Roman"/>
          <w:sz w:val="24"/>
          <w:szCs w:val="24"/>
        </w:rPr>
      </w:pPr>
      <w:r w:rsidRPr="00621E67">
        <w:rPr>
          <w:rFonts w:ascii="Times New Roman" w:hAnsi="Times New Roman" w:cs="Times New Roman"/>
          <w:sz w:val="24"/>
          <w:szCs w:val="24"/>
        </w:rPr>
        <w:t>Salvador – BA</w:t>
      </w:r>
    </w:p>
    <w:p w:rsidR="000A17BF" w:rsidRDefault="001744F2" w:rsidP="008F1C72">
      <w:pPr>
        <w:widowControl w:val="0"/>
        <w:tabs>
          <w:tab w:val="left" w:pos="214"/>
        </w:tabs>
        <w:spacing w:after="0" w:line="240" w:lineRule="auto"/>
        <w:jc w:val="center"/>
        <w:rPr>
          <w:rFonts w:ascii="Times New Roman" w:hAnsi="Times New Roman" w:cs="Times New Roman"/>
          <w:sz w:val="24"/>
          <w:szCs w:val="24"/>
        </w:rPr>
        <w:sectPr w:rsidR="000A17BF" w:rsidSect="00CC073A">
          <w:headerReference w:type="default" r:id="rId9"/>
          <w:footerReference w:type="default" r:id="rId10"/>
          <w:footerReference w:type="first" r:id="rId11"/>
          <w:pgSz w:w="11906" w:h="16838"/>
          <w:pgMar w:top="2100" w:right="1701" w:bottom="1417" w:left="1701" w:header="708" w:footer="708" w:gutter="0"/>
          <w:pgNumType w:start="3"/>
          <w:cols w:space="708"/>
          <w:docGrid w:linePitch="360"/>
        </w:sectPr>
      </w:pPr>
      <w:r>
        <w:rPr>
          <w:rFonts w:ascii="Times New Roman" w:hAnsi="Times New Roman" w:cs="Times New Roman"/>
          <w:sz w:val="24"/>
          <w:szCs w:val="24"/>
        </w:rPr>
        <w:t>Agosto</w:t>
      </w:r>
      <w:r w:rsidR="008F1C72" w:rsidRPr="00621E67">
        <w:rPr>
          <w:rFonts w:ascii="Times New Roman" w:hAnsi="Times New Roman" w:cs="Times New Roman"/>
          <w:sz w:val="24"/>
          <w:szCs w:val="24"/>
        </w:rPr>
        <w:t>/201</w:t>
      </w:r>
      <w:r w:rsidR="00C824B1" w:rsidRPr="00621E67">
        <w:rPr>
          <w:rFonts w:ascii="Times New Roman" w:hAnsi="Times New Roman" w:cs="Times New Roman"/>
          <w:sz w:val="24"/>
          <w:szCs w:val="24"/>
        </w:rPr>
        <w:t>8</w:t>
      </w:r>
    </w:p>
    <w:p w:rsidR="008F1C72" w:rsidRPr="00F608EB" w:rsidRDefault="008F1C72" w:rsidP="008F1C72">
      <w:pPr>
        <w:widowControl w:val="0"/>
        <w:tabs>
          <w:tab w:val="left" w:pos="214"/>
        </w:tabs>
        <w:spacing w:before="120"/>
        <w:jc w:val="center"/>
        <w:rPr>
          <w:rFonts w:ascii="Times New Roman" w:hAnsi="Times New Roman" w:cs="Times New Roman"/>
          <w:b/>
          <w:sz w:val="28"/>
          <w:szCs w:val="28"/>
        </w:rPr>
      </w:pPr>
    </w:p>
    <w:p w:rsidR="00AA4D7F" w:rsidRDefault="00AA4D7F" w:rsidP="008F1C72">
      <w:pPr>
        <w:widowControl w:val="0"/>
        <w:tabs>
          <w:tab w:val="left" w:pos="214"/>
        </w:tabs>
        <w:spacing w:before="120"/>
        <w:jc w:val="center"/>
        <w:rPr>
          <w:rFonts w:ascii="Times New Roman" w:hAnsi="Times New Roman" w:cs="Times New Roman"/>
          <w:b/>
          <w:sz w:val="28"/>
          <w:szCs w:val="28"/>
        </w:rPr>
      </w:pPr>
    </w:p>
    <w:p w:rsidR="00AA4D7F" w:rsidRDefault="00AA4D7F" w:rsidP="008F1C72">
      <w:pPr>
        <w:widowControl w:val="0"/>
        <w:tabs>
          <w:tab w:val="left" w:pos="214"/>
        </w:tabs>
        <w:spacing w:before="120"/>
        <w:jc w:val="center"/>
        <w:rPr>
          <w:rFonts w:ascii="Times New Roman" w:hAnsi="Times New Roman" w:cs="Times New Roman"/>
          <w:b/>
          <w:sz w:val="28"/>
          <w:szCs w:val="28"/>
        </w:rPr>
      </w:pPr>
    </w:p>
    <w:p w:rsidR="00971AD9" w:rsidRDefault="00971AD9" w:rsidP="008F1C72">
      <w:pPr>
        <w:widowControl w:val="0"/>
        <w:tabs>
          <w:tab w:val="left" w:pos="214"/>
        </w:tabs>
        <w:spacing w:before="120"/>
        <w:jc w:val="center"/>
        <w:rPr>
          <w:rFonts w:ascii="Times New Roman" w:hAnsi="Times New Roman" w:cs="Times New Roman"/>
          <w:b/>
          <w:sz w:val="28"/>
          <w:szCs w:val="28"/>
        </w:rPr>
      </w:pPr>
    </w:p>
    <w:p w:rsidR="00AA4D7F" w:rsidRDefault="00AA4D7F" w:rsidP="008F1C72">
      <w:pPr>
        <w:widowControl w:val="0"/>
        <w:tabs>
          <w:tab w:val="left" w:pos="214"/>
        </w:tabs>
        <w:spacing w:before="120"/>
        <w:jc w:val="center"/>
        <w:rPr>
          <w:rFonts w:ascii="Times New Roman" w:hAnsi="Times New Roman" w:cs="Times New Roman"/>
          <w:b/>
          <w:sz w:val="28"/>
          <w:szCs w:val="28"/>
        </w:rPr>
      </w:pPr>
    </w:p>
    <w:p w:rsidR="00AA4D7F" w:rsidRDefault="00AA4D7F" w:rsidP="008F1C72">
      <w:pPr>
        <w:widowControl w:val="0"/>
        <w:tabs>
          <w:tab w:val="left" w:pos="214"/>
        </w:tabs>
        <w:spacing w:before="120"/>
        <w:jc w:val="center"/>
        <w:rPr>
          <w:rFonts w:ascii="Times New Roman" w:hAnsi="Times New Roman" w:cs="Times New Roman"/>
          <w:b/>
          <w:sz w:val="28"/>
          <w:szCs w:val="28"/>
        </w:rPr>
      </w:pPr>
    </w:p>
    <w:p w:rsidR="00AA4D7F" w:rsidRDefault="00AA4D7F" w:rsidP="008F1C72">
      <w:pPr>
        <w:widowControl w:val="0"/>
        <w:tabs>
          <w:tab w:val="left" w:pos="214"/>
        </w:tabs>
        <w:spacing w:before="120"/>
        <w:jc w:val="center"/>
        <w:rPr>
          <w:rFonts w:ascii="Times New Roman" w:hAnsi="Times New Roman" w:cs="Times New Roman"/>
          <w:b/>
          <w:sz w:val="28"/>
          <w:szCs w:val="28"/>
        </w:rPr>
      </w:pPr>
    </w:p>
    <w:p w:rsidR="008F1C72" w:rsidRPr="00621E67" w:rsidRDefault="005A2682" w:rsidP="00B17F39">
      <w:pPr>
        <w:widowControl w:val="0"/>
        <w:tabs>
          <w:tab w:val="left" w:pos="214"/>
        </w:tabs>
        <w:spacing w:before="120"/>
        <w:jc w:val="center"/>
        <w:rPr>
          <w:rFonts w:ascii="Times New Roman" w:hAnsi="Times New Roman" w:cs="Times New Roman"/>
          <w:b/>
          <w:sz w:val="24"/>
          <w:szCs w:val="24"/>
        </w:rPr>
      </w:pPr>
      <w:r w:rsidRPr="00621E67">
        <w:rPr>
          <w:rFonts w:ascii="Times New Roman" w:hAnsi="Times New Roman" w:cs="Times New Roman"/>
          <w:b/>
          <w:sz w:val="24"/>
          <w:szCs w:val="24"/>
        </w:rPr>
        <w:t xml:space="preserve">RELATÓRIO </w:t>
      </w:r>
      <w:r w:rsidR="001744F2">
        <w:rPr>
          <w:rFonts w:ascii="Times New Roman" w:hAnsi="Times New Roman" w:cs="Times New Roman"/>
          <w:b/>
          <w:sz w:val="24"/>
          <w:szCs w:val="24"/>
        </w:rPr>
        <w:t>CONCLUSIVO</w:t>
      </w:r>
      <w:r w:rsidRPr="00621E67">
        <w:rPr>
          <w:rFonts w:ascii="Times New Roman" w:hAnsi="Times New Roman" w:cs="Times New Roman"/>
          <w:b/>
          <w:sz w:val="24"/>
          <w:szCs w:val="24"/>
        </w:rPr>
        <w:t xml:space="preserve"> DA AUDITORIA </w:t>
      </w:r>
      <w:r w:rsidR="00EA4F7E" w:rsidRPr="00621E67">
        <w:rPr>
          <w:rFonts w:ascii="Times New Roman" w:hAnsi="Times New Roman" w:cs="Times New Roman"/>
          <w:b/>
          <w:sz w:val="24"/>
          <w:szCs w:val="24"/>
        </w:rPr>
        <w:t xml:space="preserve">INTEGRADA JUSTIÇA ELEITORAL – DIMENSIONAMENTO DA FORÇA DE TRABALHO </w:t>
      </w:r>
      <w:r w:rsidR="00543C3B" w:rsidRPr="00621E67">
        <w:rPr>
          <w:rFonts w:ascii="Times New Roman" w:hAnsi="Times New Roman" w:cs="Times New Roman"/>
          <w:b/>
          <w:sz w:val="24"/>
          <w:szCs w:val="24"/>
        </w:rPr>
        <w:t xml:space="preserve">– </w:t>
      </w:r>
      <w:r w:rsidRPr="00621E67">
        <w:rPr>
          <w:rFonts w:ascii="Times New Roman" w:hAnsi="Times New Roman" w:cs="Times New Roman"/>
          <w:b/>
          <w:sz w:val="24"/>
          <w:szCs w:val="24"/>
        </w:rPr>
        <w:t xml:space="preserve">EXERCÍCIO </w:t>
      </w:r>
      <w:r w:rsidR="00C66F58" w:rsidRPr="00C66F58">
        <w:rPr>
          <w:rFonts w:ascii="Times New Roman" w:hAnsi="Times New Roman" w:cs="Times New Roman"/>
          <w:b/>
          <w:sz w:val="24"/>
          <w:szCs w:val="24"/>
        </w:rPr>
        <w:t>2018</w:t>
      </w:r>
      <w:r w:rsidRPr="00621E67">
        <w:rPr>
          <w:rFonts w:ascii="Times New Roman" w:hAnsi="Times New Roman" w:cs="Times New Roman"/>
          <w:b/>
          <w:sz w:val="24"/>
          <w:szCs w:val="24"/>
        </w:rPr>
        <w:t>(PAA2018)</w:t>
      </w:r>
    </w:p>
    <w:p w:rsidR="00971AD9" w:rsidRDefault="00971AD9" w:rsidP="007D7CE6">
      <w:pPr>
        <w:spacing w:after="0" w:line="240" w:lineRule="auto"/>
        <w:ind w:left="2268"/>
        <w:jc w:val="both"/>
        <w:rPr>
          <w:rFonts w:ascii="Times New Roman" w:hAnsi="Times New Roman" w:cs="Times New Roman"/>
          <w:sz w:val="24"/>
          <w:szCs w:val="24"/>
        </w:rPr>
      </w:pPr>
    </w:p>
    <w:p w:rsidR="007D7CE6" w:rsidRPr="00621E67" w:rsidRDefault="007D7CE6" w:rsidP="007D7CE6">
      <w:pPr>
        <w:spacing w:after="0" w:line="240" w:lineRule="auto"/>
        <w:ind w:left="2268"/>
        <w:jc w:val="both"/>
        <w:rPr>
          <w:rFonts w:ascii="Times New Roman" w:hAnsi="Times New Roman" w:cs="Times New Roman"/>
          <w:sz w:val="24"/>
          <w:szCs w:val="24"/>
        </w:rPr>
      </w:pPr>
      <w:r w:rsidRPr="00621E67">
        <w:rPr>
          <w:rFonts w:ascii="Times New Roman" w:hAnsi="Times New Roman" w:cs="Times New Roman"/>
          <w:sz w:val="24"/>
          <w:szCs w:val="24"/>
        </w:rPr>
        <w:t xml:space="preserve">Relatório </w:t>
      </w:r>
      <w:r w:rsidR="00AF706F">
        <w:rPr>
          <w:rFonts w:ascii="Times New Roman" w:hAnsi="Times New Roman" w:cs="Times New Roman"/>
          <w:sz w:val="24"/>
          <w:szCs w:val="24"/>
        </w:rPr>
        <w:t>conclusivo</w:t>
      </w:r>
      <w:r w:rsidRPr="00621E67">
        <w:rPr>
          <w:rFonts w:ascii="Times New Roman" w:hAnsi="Times New Roman" w:cs="Times New Roman"/>
          <w:sz w:val="24"/>
          <w:szCs w:val="24"/>
        </w:rPr>
        <w:t xml:space="preserve"> da </w:t>
      </w:r>
      <w:r w:rsidR="002727D8" w:rsidRPr="00621E67">
        <w:rPr>
          <w:rFonts w:ascii="Times New Roman" w:hAnsi="Times New Roman" w:cs="Times New Roman"/>
          <w:sz w:val="24"/>
          <w:szCs w:val="24"/>
        </w:rPr>
        <w:t>Auditoria Integrada TSE/</w:t>
      </w:r>
      <w:proofErr w:type="spellStart"/>
      <w:r w:rsidR="002727D8" w:rsidRPr="00621E67">
        <w:rPr>
          <w:rFonts w:ascii="Times New Roman" w:hAnsi="Times New Roman" w:cs="Times New Roman"/>
          <w:sz w:val="24"/>
          <w:szCs w:val="24"/>
        </w:rPr>
        <w:t>TREs</w:t>
      </w:r>
      <w:proofErr w:type="spellEnd"/>
      <w:r w:rsidR="002727D8" w:rsidRPr="00621E67">
        <w:rPr>
          <w:rFonts w:ascii="Times New Roman" w:hAnsi="Times New Roman" w:cs="Times New Roman"/>
          <w:sz w:val="24"/>
          <w:szCs w:val="24"/>
        </w:rPr>
        <w:t xml:space="preserve"> - Gestão da força de trabalho/Dimensionamento da força de trabalho</w:t>
      </w:r>
      <w:r w:rsidRPr="00621E67">
        <w:rPr>
          <w:rFonts w:ascii="Times New Roman" w:hAnsi="Times New Roman" w:cs="Times New Roman"/>
          <w:sz w:val="24"/>
          <w:szCs w:val="24"/>
        </w:rPr>
        <w:t xml:space="preserve">, </w:t>
      </w:r>
      <w:r w:rsidR="000A17BF">
        <w:rPr>
          <w:rFonts w:ascii="Times New Roman" w:hAnsi="Times New Roman" w:cs="Times New Roman"/>
          <w:sz w:val="24"/>
          <w:szCs w:val="24"/>
        </w:rPr>
        <w:t xml:space="preserve">realizada </w:t>
      </w:r>
      <w:r w:rsidRPr="00621E67">
        <w:rPr>
          <w:rFonts w:ascii="Times New Roman" w:hAnsi="Times New Roman" w:cs="Times New Roman"/>
          <w:sz w:val="24"/>
          <w:szCs w:val="24"/>
        </w:rPr>
        <w:t>consoante previsão inserta no Plano Anual de Auditoria da Coordenadoria de Auditoria (COAUD)</w:t>
      </w:r>
      <w:r w:rsidR="002727D8" w:rsidRPr="00621E67">
        <w:rPr>
          <w:rFonts w:ascii="Times New Roman" w:hAnsi="Times New Roman" w:cs="Times New Roman"/>
          <w:sz w:val="24"/>
          <w:szCs w:val="24"/>
        </w:rPr>
        <w:t>,</w:t>
      </w:r>
      <w:r w:rsidRPr="00621E67">
        <w:rPr>
          <w:rFonts w:ascii="Times New Roman" w:hAnsi="Times New Roman" w:cs="Times New Roman"/>
          <w:sz w:val="24"/>
          <w:szCs w:val="24"/>
        </w:rPr>
        <w:t xml:space="preserve"> referente a 2018 (PAA2018), aprovado por meio da Portaria da Presidência desta Casa nº 602, de 27 de novembro de 2017, de forma compartilhada, pelas Seções de Auditoria de Governança e Gestão Organizacional (SEAGO) e de Auditoria de Pessoal (SEAPE), com o objetivo de avaliar a efetividade da metodologia ou critérios utilizados e respectivos controles internos adotados no processo de gestão da força de trabalho como resposta aos riscos inerentes ao </w:t>
      </w:r>
      <w:proofErr w:type="spellStart"/>
      <w:r w:rsidRPr="00621E67">
        <w:rPr>
          <w:rFonts w:ascii="Times New Roman" w:hAnsi="Times New Roman" w:cs="Times New Roman"/>
          <w:sz w:val="24"/>
          <w:szCs w:val="24"/>
        </w:rPr>
        <w:t>subprocesso</w:t>
      </w:r>
      <w:proofErr w:type="spellEnd"/>
      <w:r w:rsidRPr="00621E67">
        <w:rPr>
          <w:rFonts w:ascii="Times New Roman" w:hAnsi="Times New Roman" w:cs="Times New Roman"/>
          <w:sz w:val="24"/>
          <w:szCs w:val="24"/>
        </w:rPr>
        <w:t xml:space="preserve"> de dimensionamento quantitativo e qualitativo da força de trabalho.</w:t>
      </w:r>
    </w:p>
    <w:p w:rsidR="007D7CE6" w:rsidRPr="00621E67" w:rsidRDefault="007D7CE6" w:rsidP="007D7CE6">
      <w:pPr>
        <w:autoSpaceDE w:val="0"/>
        <w:autoSpaceDN w:val="0"/>
        <w:adjustRightInd w:val="0"/>
        <w:spacing w:after="0" w:line="240" w:lineRule="auto"/>
        <w:ind w:left="2268"/>
        <w:jc w:val="both"/>
        <w:rPr>
          <w:rFonts w:ascii="Times New Roman" w:hAnsi="Times New Roman" w:cs="Times New Roman"/>
          <w:sz w:val="24"/>
          <w:szCs w:val="24"/>
        </w:rPr>
      </w:pPr>
    </w:p>
    <w:p w:rsidR="007D7CE6" w:rsidRPr="00621E67" w:rsidRDefault="007D7CE6" w:rsidP="007D7CE6">
      <w:pPr>
        <w:autoSpaceDE w:val="0"/>
        <w:autoSpaceDN w:val="0"/>
        <w:adjustRightInd w:val="0"/>
        <w:spacing w:after="0" w:line="240" w:lineRule="auto"/>
        <w:ind w:left="2268"/>
        <w:jc w:val="both"/>
        <w:rPr>
          <w:rFonts w:ascii="Times New Roman" w:hAnsi="Times New Roman" w:cs="Times New Roman"/>
          <w:sz w:val="24"/>
          <w:szCs w:val="24"/>
        </w:rPr>
      </w:pPr>
      <w:r w:rsidRPr="00621E67">
        <w:rPr>
          <w:rFonts w:ascii="Times New Roman" w:hAnsi="Times New Roman" w:cs="Times New Roman"/>
          <w:sz w:val="24"/>
          <w:szCs w:val="24"/>
        </w:rPr>
        <w:t xml:space="preserve">Elaboração: SEAGO e </w:t>
      </w:r>
      <w:bookmarkStart w:id="1" w:name="_GoBack"/>
      <w:bookmarkEnd w:id="1"/>
      <w:r w:rsidRPr="00621E67">
        <w:rPr>
          <w:rFonts w:ascii="Times New Roman" w:hAnsi="Times New Roman" w:cs="Times New Roman"/>
          <w:sz w:val="24"/>
          <w:szCs w:val="24"/>
        </w:rPr>
        <w:t>SEAPE.</w:t>
      </w:r>
    </w:p>
    <w:p w:rsidR="007D7CE6" w:rsidRPr="00621E67" w:rsidRDefault="007D7CE6" w:rsidP="007D7CE6">
      <w:pPr>
        <w:autoSpaceDE w:val="0"/>
        <w:autoSpaceDN w:val="0"/>
        <w:adjustRightInd w:val="0"/>
        <w:spacing w:after="0" w:line="240" w:lineRule="auto"/>
        <w:ind w:left="2268"/>
        <w:jc w:val="both"/>
        <w:rPr>
          <w:rFonts w:ascii="Times New Roman" w:hAnsi="Times New Roman" w:cs="Times New Roman"/>
          <w:sz w:val="24"/>
          <w:szCs w:val="24"/>
        </w:rPr>
      </w:pPr>
    </w:p>
    <w:p w:rsidR="007D7CE6" w:rsidRPr="000A17BF" w:rsidRDefault="000A17BF" w:rsidP="007D7CE6">
      <w:pPr>
        <w:autoSpaceDE w:val="0"/>
        <w:autoSpaceDN w:val="0"/>
        <w:adjustRightInd w:val="0"/>
        <w:spacing w:after="0" w:line="240" w:lineRule="auto"/>
        <w:ind w:left="4111" w:hanging="1843"/>
        <w:jc w:val="both"/>
        <w:rPr>
          <w:rFonts w:ascii="Times New Roman" w:hAnsi="Times New Roman" w:cs="Times New Roman"/>
          <w:sz w:val="24"/>
          <w:szCs w:val="24"/>
        </w:rPr>
      </w:pPr>
      <w:r>
        <w:rPr>
          <w:rFonts w:ascii="Times New Roman" w:hAnsi="Times New Roman" w:cs="Times New Roman"/>
          <w:sz w:val="24"/>
          <w:szCs w:val="24"/>
        </w:rPr>
        <w:t>Auditores Internos:</w:t>
      </w:r>
      <w:proofErr w:type="gramStart"/>
      <w:r>
        <w:rPr>
          <w:rFonts w:ascii="Times New Roman" w:hAnsi="Times New Roman" w:cs="Times New Roman"/>
          <w:sz w:val="24"/>
          <w:szCs w:val="24"/>
        </w:rPr>
        <w:t xml:space="preserve"> </w:t>
      </w:r>
      <w:r w:rsidR="00D25D34">
        <w:rPr>
          <w:rFonts w:ascii="Times New Roman" w:hAnsi="Times New Roman" w:cs="Times New Roman"/>
          <w:sz w:val="24"/>
          <w:szCs w:val="24"/>
        </w:rPr>
        <w:t xml:space="preserve"> </w:t>
      </w:r>
      <w:proofErr w:type="gramEnd"/>
      <w:r w:rsidR="007D7CE6" w:rsidRPr="00621E67">
        <w:rPr>
          <w:rFonts w:ascii="Times New Roman" w:hAnsi="Times New Roman" w:cs="Times New Roman"/>
          <w:sz w:val="24"/>
          <w:szCs w:val="24"/>
        </w:rPr>
        <w:t xml:space="preserve">Andréa Barbosa de </w:t>
      </w:r>
      <w:proofErr w:type="spellStart"/>
      <w:r w:rsidR="007D7CE6" w:rsidRPr="00621E67">
        <w:rPr>
          <w:rFonts w:ascii="Times New Roman" w:hAnsi="Times New Roman" w:cs="Times New Roman"/>
          <w:sz w:val="24"/>
          <w:szCs w:val="24"/>
        </w:rPr>
        <w:t>Argôlo</w:t>
      </w:r>
      <w:proofErr w:type="spellEnd"/>
      <w:r w:rsidR="007D7CE6" w:rsidRPr="005C0EBA">
        <w:rPr>
          <w:rFonts w:ascii="Times New Roman" w:hAnsi="Times New Roman" w:cs="Times New Roman"/>
          <w:color w:val="0070C0"/>
          <w:sz w:val="24"/>
          <w:szCs w:val="24"/>
        </w:rPr>
        <w:t>;</w:t>
      </w:r>
    </w:p>
    <w:p w:rsidR="007D7CE6" w:rsidRPr="00621E67" w:rsidRDefault="007D7CE6" w:rsidP="007D7CE6">
      <w:pPr>
        <w:autoSpaceDE w:val="0"/>
        <w:autoSpaceDN w:val="0"/>
        <w:adjustRightInd w:val="0"/>
        <w:spacing w:after="0" w:line="240" w:lineRule="auto"/>
        <w:ind w:left="4253"/>
        <w:jc w:val="both"/>
        <w:rPr>
          <w:rFonts w:ascii="Times New Roman" w:hAnsi="Times New Roman" w:cs="Times New Roman"/>
          <w:sz w:val="24"/>
          <w:szCs w:val="24"/>
        </w:rPr>
      </w:pPr>
      <w:r w:rsidRPr="00621E67">
        <w:rPr>
          <w:rFonts w:ascii="Times New Roman" w:hAnsi="Times New Roman" w:cs="Times New Roman"/>
          <w:sz w:val="24"/>
          <w:szCs w:val="24"/>
        </w:rPr>
        <w:t>Arlete Alves Ribeiro de Carvalho;</w:t>
      </w:r>
    </w:p>
    <w:p w:rsidR="007D7CE6" w:rsidRPr="00621E67" w:rsidRDefault="007D7CE6" w:rsidP="007D7CE6">
      <w:pPr>
        <w:autoSpaceDE w:val="0"/>
        <w:autoSpaceDN w:val="0"/>
        <w:adjustRightInd w:val="0"/>
        <w:spacing w:after="0" w:line="240" w:lineRule="auto"/>
        <w:ind w:left="4253"/>
        <w:jc w:val="both"/>
        <w:rPr>
          <w:rFonts w:ascii="Times New Roman" w:hAnsi="Times New Roman" w:cs="Times New Roman"/>
          <w:sz w:val="24"/>
          <w:szCs w:val="24"/>
        </w:rPr>
      </w:pPr>
      <w:proofErr w:type="spellStart"/>
      <w:r w:rsidRPr="00621E67">
        <w:rPr>
          <w:rFonts w:ascii="Times New Roman" w:hAnsi="Times New Roman" w:cs="Times New Roman"/>
          <w:sz w:val="24"/>
          <w:szCs w:val="24"/>
        </w:rPr>
        <w:t>Camille</w:t>
      </w:r>
      <w:proofErr w:type="spellEnd"/>
      <w:r w:rsidRPr="00621E67">
        <w:rPr>
          <w:rFonts w:ascii="Times New Roman" w:hAnsi="Times New Roman" w:cs="Times New Roman"/>
          <w:sz w:val="24"/>
          <w:szCs w:val="24"/>
        </w:rPr>
        <w:t xml:space="preserve"> Pedreira Bastos;</w:t>
      </w:r>
    </w:p>
    <w:p w:rsidR="007D7CE6" w:rsidRPr="00621E67" w:rsidRDefault="007D7CE6" w:rsidP="007D7CE6">
      <w:pPr>
        <w:autoSpaceDE w:val="0"/>
        <w:autoSpaceDN w:val="0"/>
        <w:adjustRightInd w:val="0"/>
        <w:spacing w:after="0" w:line="240" w:lineRule="auto"/>
        <w:ind w:left="4253"/>
        <w:jc w:val="both"/>
        <w:rPr>
          <w:rFonts w:ascii="Times New Roman" w:hAnsi="Times New Roman" w:cs="Times New Roman"/>
          <w:sz w:val="24"/>
          <w:szCs w:val="24"/>
        </w:rPr>
      </w:pPr>
      <w:r w:rsidRPr="00621E67">
        <w:rPr>
          <w:rFonts w:ascii="Times New Roman" w:hAnsi="Times New Roman" w:cs="Times New Roman"/>
          <w:sz w:val="24"/>
          <w:szCs w:val="24"/>
        </w:rPr>
        <w:t xml:space="preserve">Ricardo Nascimento </w:t>
      </w:r>
      <w:proofErr w:type="spellStart"/>
      <w:r w:rsidRPr="00621E67">
        <w:rPr>
          <w:rFonts w:ascii="Times New Roman" w:hAnsi="Times New Roman" w:cs="Times New Roman"/>
          <w:sz w:val="24"/>
          <w:szCs w:val="24"/>
        </w:rPr>
        <w:t>Cantharino</w:t>
      </w:r>
      <w:proofErr w:type="spellEnd"/>
      <w:r w:rsidRPr="00621E67">
        <w:rPr>
          <w:rFonts w:ascii="Times New Roman" w:hAnsi="Times New Roman" w:cs="Times New Roman"/>
          <w:sz w:val="24"/>
          <w:szCs w:val="24"/>
        </w:rPr>
        <w:t>;</w:t>
      </w:r>
    </w:p>
    <w:p w:rsidR="007D7CE6" w:rsidRPr="00621E67" w:rsidRDefault="007D7CE6" w:rsidP="007D7CE6">
      <w:pPr>
        <w:autoSpaceDE w:val="0"/>
        <w:autoSpaceDN w:val="0"/>
        <w:adjustRightInd w:val="0"/>
        <w:spacing w:after="0" w:line="240" w:lineRule="auto"/>
        <w:ind w:left="4253"/>
        <w:jc w:val="both"/>
        <w:rPr>
          <w:rFonts w:ascii="Times New Roman" w:hAnsi="Times New Roman" w:cs="Times New Roman"/>
          <w:sz w:val="24"/>
          <w:szCs w:val="24"/>
        </w:rPr>
      </w:pPr>
      <w:proofErr w:type="spellStart"/>
      <w:r w:rsidRPr="00621E67">
        <w:rPr>
          <w:rFonts w:ascii="Times New Roman" w:hAnsi="Times New Roman" w:cs="Times New Roman"/>
          <w:sz w:val="24"/>
          <w:szCs w:val="24"/>
        </w:rPr>
        <w:t>Záide</w:t>
      </w:r>
      <w:proofErr w:type="spellEnd"/>
      <w:r w:rsidRPr="00621E67">
        <w:rPr>
          <w:rFonts w:ascii="Times New Roman" w:hAnsi="Times New Roman" w:cs="Times New Roman"/>
          <w:sz w:val="24"/>
          <w:szCs w:val="24"/>
        </w:rPr>
        <w:t xml:space="preserve"> </w:t>
      </w:r>
      <w:proofErr w:type="spellStart"/>
      <w:r w:rsidRPr="00621E67">
        <w:rPr>
          <w:rFonts w:ascii="Times New Roman" w:hAnsi="Times New Roman" w:cs="Times New Roman"/>
          <w:sz w:val="24"/>
          <w:szCs w:val="24"/>
        </w:rPr>
        <w:t>Checcucci</w:t>
      </w:r>
      <w:proofErr w:type="spellEnd"/>
      <w:r w:rsidRPr="00621E67">
        <w:rPr>
          <w:rFonts w:ascii="Times New Roman" w:hAnsi="Times New Roman" w:cs="Times New Roman"/>
          <w:sz w:val="24"/>
          <w:szCs w:val="24"/>
        </w:rPr>
        <w:t xml:space="preserve"> Junqueira Ayres; </w:t>
      </w:r>
      <w:proofErr w:type="gramStart"/>
      <w:r w:rsidRPr="00621E67">
        <w:rPr>
          <w:rFonts w:ascii="Times New Roman" w:hAnsi="Times New Roman" w:cs="Times New Roman"/>
          <w:sz w:val="24"/>
          <w:szCs w:val="24"/>
        </w:rPr>
        <w:t>e</w:t>
      </w:r>
      <w:proofErr w:type="gramEnd"/>
    </w:p>
    <w:p w:rsidR="007D7CE6" w:rsidRPr="00621E67" w:rsidRDefault="007D7CE6" w:rsidP="007D7CE6">
      <w:pPr>
        <w:autoSpaceDE w:val="0"/>
        <w:autoSpaceDN w:val="0"/>
        <w:adjustRightInd w:val="0"/>
        <w:spacing w:after="0" w:line="240" w:lineRule="auto"/>
        <w:ind w:left="4253"/>
        <w:jc w:val="both"/>
        <w:rPr>
          <w:rFonts w:ascii="Times New Roman" w:hAnsi="Times New Roman" w:cs="Times New Roman"/>
          <w:sz w:val="24"/>
          <w:szCs w:val="24"/>
        </w:rPr>
      </w:pPr>
      <w:proofErr w:type="spellStart"/>
      <w:r w:rsidRPr="00621E67">
        <w:rPr>
          <w:rFonts w:ascii="Times New Roman" w:hAnsi="Times New Roman" w:cs="Times New Roman"/>
          <w:sz w:val="24"/>
          <w:szCs w:val="24"/>
        </w:rPr>
        <w:t>Zulene</w:t>
      </w:r>
      <w:proofErr w:type="spellEnd"/>
      <w:r w:rsidRPr="00621E67">
        <w:rPr>
          <w:rFonts w:ascii="Times New Roman" w:hAnsi="Times New Roman" w:cs="Times New Roman"/>
          <w:sz w:val="24"/>
          <w:szCs w:val="24"/>
        </w:rPr>
        <w:t xml:space="preserve"> de Carvalho Alves.</w:t>
      </w:r>
    </w:p>
    <w:p w:rsidR="007D7CE6" w:rsidRPr="000A17BF" w:rsidRDefault="007D7CE6" w:rsidP="007D7CE6">
      <w:pPr>
        <w:autoSpaceDE w:val="0"/>
        <w:autoSpaceDN w:val="0"/>
        <w:adjustRightInd w:val="0"/>
        <w:spacing w:after="0" w:line="240" w:lineRule="auto"/>
        <w:ind w:left="4253"/>
        <w:jc w:val="both"/>
        <w:rPr>
          <w:rFonts w:ascii="Times New Roman" w:hAnsi="Times New Roman" w:cs="Times New Roman"/>
          <w:sz w:val="24"/>
          <w:szCs w:val="24"/>
        </w:rPr>
      </w:pPr>
    </w:p>
    <w:p w:rsidR="007D7CE6" w:rsidRPr="000A17BF" w:rsidRDefault="007D7CE6" w:rsidP="007D7CE6">
      <w:pPr>
        <w:autoSpaceDE w:val="0"/>
        <w:autoSpaceDN w:val="0"/>
        <w:adjustRightInd w:val="0"/>
        <w:spacing w:after="0" w:line="240" w:lineRule="auto"/>
        <w:ind w:left="4253"/>
        <w:jc w:val="both"/>
        <w:rPr>
          <w:rFonts w:ascii="Times New Roman" w:hAnsi="Times New Roman" w:cs="Times New Roman"/>
          <w:sz w:val="24"/>
          <w:szCs w:val="24"/>
        </w:rPr>
      </w:pPr>
    </w:p>
    <w:p w:rsidR="007D7CE6" w:rsidRPr="000A17BF" w:rsidRDefault="007D7CE6" w:rsidP="007D7CE6">
      <w:pPr>
        <w:autoSpaceDE w:val="0"/>
        <w:autoSpaceDN w:val="0"/>
        <w:adjustRightInd w:val="0"/>
        <w:spacing w:after="0" w:line="240" w:lineRule="auto"/>
        <w:ind w:left="4111"/>
        <w:jc w:val="both"/>
        <w:rPr>
          <w:rFonts w:ascii="Times New Roman" w:hAnsi="Times New Roman" w:cs="Times New Roman"/>
          <w:sz w:val="24"/>
          <w:szCs w:val="24"/>
        </w:rPr>
      </w:pPr>
    </w:p>
    <w:p w:rsidR="007D7CE6" w:rsidRPr="000A17BF" w:rsidRDefault="007D7CE6" w:rsidP="007D7CE6">
      <w:pPr>
        <w:autoSpaceDE w:val="0"/>
        <w:autoSpaceDN w:val="0"/>
        <w:adjustRightInd w:val="0"/>
        <w:spacing w:after="0" w:line="240" w:lineRule="auto"/>
        <w:ind w:left="4111"/>
        <w:jc w:val="both"/>
        <w:rPr>
          <w:rFonts w:ascii="Times New Roman" w:hAnsi="Times New Roman" w:cs="Times New Roman"/>
          <w:sz w:val="24"/>
          <w:szCs w:val="24"/>
        </w:rPr>
      </w:pPr>
      <w:r w:rsidRPr="000A17BF">
        <w:rPr>
          <w:rFonts w:ascii="Times New Roman" w:hAnsi="Times New Roman" w:cs="Times New Roman"/>
          <w:sz w:val="24"/>
          <w:szCs w:val="24"/>
        </w:rPr>
        <w:t xml:space="preserve">  </w:t>
      </w:r>
    </w:p>
    <w:p w:rsidR="007D7CE6" w:rsidRPr="009D2573" w:rsidRDefault="007D7CE6" w:rsidP="007D7CE6">
      <w:pPr>
        <w:widowControl w:val="0"/>
        <w:tabs>
          <w:tab w:val="left" w:pos="214"/>
        </w:tabs>
        <w:spacing w:after="0" w:line="240" w:lineRule="auto"/>
        <w:jc w:val="center"/>
        <w:rPr>
          <w:rFonts w:ascii="Times New Roman" w:hAnsi="Times New Roman" w:cs="Times New Roman"/>
          <w:color w:val="0D0D0D" w:themeColor="text1" w:themeTint="F2"/>
          <w:sz w:val="24"/>
          <w:szCs w:val="24"/>
        </w:rPr>
      </w:pPr>
      <w:r w:rsidRPr="009D2573">
        <w:rPr>
          <w:rFonts w:ascii="Times New Roman" w:hAnsi="Times New Roman" w:cs="Times New Roman"/>
          <w:color w:val="0D0D0D" w:themeColor="text1" w:themeTint="F2"/>
          <w:sz w:val="24"/>
          <w:szCs w:val="24"/>
        </w:rPr>
        <w:t>Salvador – BA</w:t>
      </w:r>
    </w:p>
    <w:p w:rsidR="008F1C72" w:rsidRPr="009D2573" w:rsidRDefault="001744F2" w:rsidP="007D7CE6">
      <w:pPr>
        <w:widowControl w:val="0"/>
        <w:tabs>
          <w:tab w:val="left" w:pos="214"/>
        </w:tabs>
        <w:spacing w:after="0" w:line="240" w:lineRule="auto"/>
        <w:jc w:val="center"/>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Agosto</w:t>
      </w:r>
      <w:r w:rsidR="007D7CE6" w:rsidRPr="009D2573">
        <w:rPr>
          <w:rFonts w:ascii="Times New Roman" w:hAnsi="Times New Roman" w:cs="Times New Roman"/>
          <w:color w:val="0D0D0D" w:themeColor="text1" w:themeTint="F2"/>
          <w:sz w:val="24"/>
          <w:szCs w:val="24"/>
        </w:rPr>
        <w:t>/2018</w:t>
      </w:r>
    </w:p>
    <w:p w:rsidR="008F1C72" w:rsidRPr="005C0EBA" w:rsidRDefault="008F1C72" w:rsidP="008F1C72">
      <w:pPr>
        <w:widowControl w:val="0"/>
        <w:tabs>
          <w:tab w:val="left" w:pos="214"/>
        </w:tabs>
        <w:spacing w:after="0" w:line="240" w:lineRule="auto"/>
        <w:jc w:val="center"/>
        <w:rPr>
          <w:rFonts w:ascii="Times New Roman" w:hAnsi="Times New Roman" w:cs="Times New Roman"/>
          <w:color w:val="0070C0"/>
          <w:sz w:val="24"/>
          <w:szCs w:val="24"/>
        </w:rPr>
        <w:sectPr w:rsidR="008F1C72" w:rsidRPr="005C0EBA" w:rsidSect="00971AD9">
          <w:pgSz w:w="11906" w:h="16838"/>
          <w:pgMar w:top="1418" w:right="1134" w:bottom="1701" w:left="1418" w:header="709" w:footer="709" w:gutter="0"/>
          <w:pgNumType w:start="3"/>
          <w:cols w:space="708"/>
          <w:docGrid w:linePitch="360"/>
        </w:sectPr>
      </w:pPr>
    </w:p>
    <w:p w:rsidR="000A17BF" w:rsidRPr="000A17BF" w:rsidRDefault="000A17BF" w:rsidP="000A17BF">
      <w:pPr>
        <w:widowControl w:val="0"/>
        <w:tabs>
          <w:tab w:val="left" w:pos="214"/>
        </w:tabs>
        <w:spacing w:before="120"/>
        <w:jc w:val="center"/>
        <w:rPr>
          <w:rFonts w:ascii="Times New Roman" w:hAnsi="Times New Roman" w:cs="Times New Roman"/>
          <w:b/>
          <w:sz w:val="28"/>
          <w:szCs w:val="28"/>
        </w:rPr>
      </w:pPr>
      <w:bookmarkStart w:id="2" w:name="_Toc511288049"/>
      <w:r w:rsidRPr="000A17BF">
        <w:rPr>
          <w:rFonts w:ascii="Times New Roman" w:hAnsi="Times New Roman" w:cs="Times New Roman"/>
          <w:b/>
          <w:sz w:val="28"/>
          <w:szCs w:val="28"/>
        </w:rPr>
        <w:lastRenderedPageBreak/>
        <w:t>Preâmbulo</w:t>
      </w:r>
    </w:p>
    <w:p w:rsidR="000A17BF" w:rsidRPr="000A17BF" w:rsidRDefault="000A17BF" w:rsidP="000A17BF">
      <w:pPr>
        <w:widowControl w:val="0"/>
        <w:tabs>
          <w:tab w:val="left" w:pos="214"/>
        </w:tabs>
        <w:spacing w:before="120"/>
        <w:jc w:val="center"/>
        <w:rPr>
          <w:rFonts w:ascii="Times New Roman" w:hAnsi="Times New Roman" w:cs="Times New Roman"/>
          <w:b/>
          <w:sz w:val="24"/>
          <w:szCs w:val="24"/>
        </w:rPr>
      </w:pPr>
    </w:p>
    <w:p w:rsidR="000A17BF" w:rsidRPr="00250761" w:rsidRDefault="000A17BF" w:rsidP="00250761">
      <w:pPr>
        <w:widowControl w:val="0"/>
        <w:tabs>
          <w:tab w:val="left" w:pos="214"/>
        </w:tabs>
        <w:spacing w:before="120" w:after="120" w:line="240" w:lineRule="auto"/>
        <w:jc w:val="both"/>
        <w:rPr>
          <w:rFonts w:ascii="Times New Roman" w:hAnsi="Times New Roman" w:cs="Times New Roman"/>
          <w:b/>
          <w:sz w:val="24"/>
          <w:szCs w:val="24"/>
        </w:rPr>
      </w:pPr>
      <w:r w:rsidRPr="00250761">
        <w:rPr>
          <w:rFonts w:ascii="Times New Roman" w:hAnsi="Times New Roman" w:cs="Times New Roman"/>
          <w:b/>
          <w:sz w:val="24"/>
          <w:szCs w:val="24"/>
        </w:rPr>
        <w:t xml:space="preserve">Processo: </w:t>
      </w:r>
      <w:r w:rsidRPr="00250761">
        <w:rPr>
          <w:rFonts w:ascii="Times New Roman" w:hAnsi="Times New Roman" w:cs="Times New Roman"/>
          <w:sz w:val="24"/>
          <w:szCs w:val="24"/>
        </w:rPr>
        <w:t>PAD nº 6.532/2018.</w:t>
      </w:r>
    </w:p>
    <w:p w:rsidR="000A17BF" w:rsidRPr="00250761" w:rsidRDefault="000A17BF" w:rsidP="00250761">
      <w:pPr>
        <w:widowControl w:val="0"/>
        <w:tabs>
          <w:tab w:val="left" w:pos="214"/>
        </w:tabs>
        <w:spacing w:before="120" w:after="120" w:line="240" w:lineRule="auto"/>
        <w:jc w:val="both"/>
        <w:rPr>
          <w:rFonts w:ascii="Times New Roman" w:hAnsi="Times New Roman" w:cs="Times New Roman"/>
          <w:sz w:val="24"/>
          <w:szCs w:val="24"/>
        </w:rPr>
      </w:pPr>
      <w:r w:rsidRPr="00250761">
        <w:rPr>
          <w:rFonts w:ascii="Times New Roman" w:hAnsi="Times New Roman" w:cs="Times New Roman"/>
          <w:b/>
          <w:sz w:val="24"/>
          <w:szCs w:val="24"/>
        </w:rPr>
        <w:t xml:space="preserve">Ato Originário: </w:t>
      </w:r>
      <w:r w:rsidRPr="00250761">
        <w:rPr>
          <w:rFonts w:ascii="Times New Roman" w:hAnsi="Times New Roman" w:cs="Times New Roman"/>
          <w:sz w:val="24"/>
          <w:szCs w:val="24"/>
        </w:rPr>
        <w:t>Plano Anual de Auditoria da COAUD, referente a 2018 (PAA2018), aprovado por meio da Portaria da Presidência do TRE-BA nº 602, de 27 de novembro de 2017.</w:t>
      </w:r>
    </w:p>
    <w:p w:rsidR="000A17BF" w:rsidRPr="00250761" w:rsidRDefault="000A17BF" w:rsidP="00250761">
      <w:pPr>
        <w:widowControl w:val="0"/>
        <w:tabs>
          <w:tab w:val="left" w:pos="214"/>
        </w:tabs>
        <w:spacing w:before="120" w:after="120" w:line="240" w:lineRule="auto"/>
        <w:ind w:right="-1"/>
        <w:jc w:val="both"/>
        <w:rPr>
          <w:rFonts w:ascii="Times New Roman" w:hAnsi="Times New Roman" w:cs="Times New Roman"/>
          <w:b/>
          <w:sz w:val="24"/>
          <w:szCs w:val="24"/>
        </w:rPr>
      </w:pPr>
      <w:r w:rsidRPr="00250761">
        <w:rPr>
          <w:rFonts w:ascii="Times New Roman" w:hAnsi="Times New Roman" w:cs="Times New Roman"/>
          <w:b/>
          <w:sz w:val="24"/>
          <w:szCs w:val="24"/>
        </w:rPr>
        <w:t xml:space="preserve">Objetivo: </w:t>
      </w:r>
      <w:r w:rsidRPr="00250761">
        <w:rPr>
          <w:rFonts w:ascii="Times New Roman" w:hAnsi="Times New Roman" w:cs="Times New Roman"/>
          <w:sz w:val="24"/>
          <w:szCs w:val="24"/>
        </w:rPr>
        <w:t xml:space="preserve">avaliar a efetividade da metodologia ou critérios utilizados e respectivos controles internos adotados no processo de gestão da força de trabalho como resposta aos riscos inerentes ao </w:t>
      </w:r>
      <w:proofErr w:type="spellStart"/>
      <w:r w:rsidRPr="00250761">
        <w:rPr>
          <w:rFonts w:ascii="Times New Roman" w:hAnsi="Times New Roman" w:cs="Times New Roman"/>
          <w:sz w:val="24"/>
          <w:szCs w:val="24"/>
        </w:rPr>
        <w:t>subprocesso</w:t>
      </w:r>
      <w:proofErr w:type="spellEnd"/>
      <w:r w:rsidRPr="00250761">
        <w:rPr>
          <w:rFonts w:ascii="Times New Roman" w:hAnsi="Times New Roman" w:cs="Times New Roman"/>
          <w:sz w:val="24"/>
          <w:szCs w:val="24"/>
        </w:rPr>
        <w:t xml:space="preserve"> de dimensionamento quantitativo e qualitativo da força de trabalho.</w:t>
      </w:r>
    </w:p>
    <w:p w:rsidR="000A17BF" w:rsidRPr="00250761" w:rsidRDefault="000A17BF" w:rsidP="00250761">
      <w:pPr>
        <w:widowControl w:val="0"/>
        <w:tabs>
          <w:tab w:val="left" w:pos="214"/>
        </w:tabs>
        <w:spacing w:before="120" w:after="120" w:line="240" w:lineRule="auto"/>
        <w:jc w:val="both"/>
        <w:rPr>
          <w:rFonts w:ascii="Times New Roman" w:hAnsi="Times New Roman" w:cs="Times New Roman"/>
          <w:sz w:val="24"/>
          <w:szCs w:val="24"/>
        </w:rPr>
      </w:pPr>
      <w:r w:rsidRPr="00250761">
        <w:rPr>
          <w:rFonts w:ascii="Times New Roman" w:hAnsi="Times New Roman" w:cs="Times New Roman"/>
          <w:b/>
          <w:sz w:val="24"/>
          <w:szCs w:val="24"/>
        </w:rPr>
        <w:t>Ato de designação</w:t>
      </w:r>
      <w:r w:rsidRPr="00250761">
        <w:rPr>
          <w:rFonts w:ascii="Times New Roman" w:hAnsi="Times New Roman" w:cs="Times New Roman"/>
          <w:sz w:val="24"/>
          <w:szCs w:val="24"/>
        </w:rPr>
        <w:t>: Comunicado Circular de Auditoria nº 1/2018/COGES/SCI.</w:t>
      </w:r>
    </w:p>
    <w:p w:rsidR="000A17BF" w:rsidRPr="00250761" w:rsidRDefault="000A17BF" w:rsidP="00250761">
      <w:pPr>
        <w:widowControl w:val="0"/>
        <w:tabs>
          <w:tab w:val="left" w:pos="214"/>
        </w:tabs>
        <w:spacing w:before="120" w:after="120" w:line="240" w:lineRule="auto"/>
        <w:jc w:val="both"/>
        <w:rPr>
          <w:rFonts w:ascii="Times New Roman" w:hAnsi="Times New Roman" w:cs="Times New Roman"/>
          <w:b/>
          <w:sz w:val="24"/>
          <w:szCs w:val="24"/>
        </w:rPr>
      </w:pPr>
      <w:r w:rsidRPr="00250761">
        <w:rPr>
          <w:rFonts w:ascii="Times New Roman" w:hAnsi="Times New Roman" w:cs="Times New Roman"/>
          <w:b/>
          <w:sz w:val="24"/>
          <w:szCs w:val="24"/>
        </w:rPr>
        <w:t xml:space="preserve">Período abrangido pela auditoria: </w:t>
      </w:r>
      <w:r w:rsidRPr="00250761">
        <w:rPr>
          <w:rFonts w:ascii="Times New Roman" w:hAnsi="Times New Roman" w:cs="Times New Roman"/>
          <w:sz w:val="24"/>
          <w:szCs w:val="24"/>
        </w:rPr>
        <w:t>27/3 a 7/8/2018.</w:t>
      </w:r>
    </w:p>
    <w:p w:rsidR="000A17BF" w:rsidRPr="00250761" w:rsidRDefault="000A17BF" w:rsidP="00250761">
      <w:pPr>
        <w:widowControl w:val="0"/>
        <w:tabs>
          <w:tab w:val="left" w:pos="214"/>
        </w:tabs>
        <w:spacing w:before="120" w:after="120" w:line="240" w:lineRule="auto"/>
        <w:jc w:val="both"/>
        <w:rPr>
          <w:rFonts w:ascii="Times New Roman" w:hAnsi="Times New Roman" w:cs="Times New Roman"/>
          <w:sz w:val="24"/>
          <w:szCs w:val="24"/>
        </w:rPr>
      </w:pPr>
      <w:r w:rsidRPr="00250761">
        <w:rPr>
          <w:rFonts w:ascii="Times New Roman" w:hAnsi="Times New Roman" w:cs="Times New Roman"/>
          <w:b/>
          <w:sz w:val="24"/>
          <w:szCs w:val="24"/>
        </w:rPr>
        <w:t xml:space="preserve">Período de realização da auditoria: </w:t>
      </w:r>
      <w:r w:rsidRPr="00250761">
        <w:rPr>
          <w:rFonts w:ascii="Times New Roman" w:hAnsi="Times New Roman" w:cs="Times New Roman"/>
          <w:sz w:val="24"/>
          <w:szCs w:val="24"/>
        </w:rPr>
        <w:t xml:space="preserve">Planejamento – 27/3 a 4/6/2018; Execução – 5/6 a 23/7/2018; e Relatório – 24/7 a 7/8/2018. </w:t>
      </w:r>
    </w:p>
    <w:p w:rsidR="000A17BF" w:rsidRPr="00250761" w:rsidRDefault="000A17BF" w:rsidP="00250761">
      <w:pPr>
        <w:widowControl w:val="0"/>
        <w:tabs>
          <w:tab w:val="left" w:pos="214"/>
        </w:tabs>
        <w:spacing w:before="120" w:after="120" w:line="240" w:lineRule="auto"/>
        <w:jc w:val="both"/>
        <w:rPr>
          <w:rFonts w:ascii="Times New Roman" w:hAnsi="Times New Roman" w:cs="Times New Roman"/>
          <w:sz w:val="24"/>
          <w:szCs w:val="24"/>
        </w:rPr>
      </w:pPr>
      <w:r w:rsidRPr="00250761">
        <w:rPr>
          <w:rFonts w:ascii="Times New Roman" w:hAnsi="Times New Roman" w:cs="Times New Roman"/>
          <w:b/>
          <w:sz w:val="24"/>
          <w:szCs w:val="24"/>
        </w:rPr>
        <w:t xml:space="preserve">Unidade Auditada: </w:t>
      </w:r>
      <w:r w:rsidRPr="00250761">
        <w:rPr>
          <w:rFonts w:ascii="Times New Roman" w:hAnsi="Times New Roman" w:cs="Times New Roman"/>
          <w:sz w:val="24"/>
          <w:szCs w:val="24"/>
        </w:rPr>
        <w:t>Secretaria de Gestão de Pessoas (SGP).</w:t>
      </w:r>
    </w:p>
    <w:p w:rsidR="00250761" w:rsidRPr="00250761" w:rsidRDefault="00250761" w:rsidP="00250761">
      <w:pPr>
        <w:widowControl w:val="0"/>
        <w:tabs>
          <w:tab w:val="left" w:pos="214"/>
        </w:tabs>
        <w:spacing w:before="120" w:after="120" w:line="240" w:lineRule="auto"/>
        <w:jc w:val="both"/>
        <w:rPr>
          <w:rFonts w:ascii="Times New Roman" w:hAnsi="Times New Roman" w:cs="Times New Roman"/>
          <w:sz w:val="24"/>
          <w:szCs w:val="24"/>
        </w:rPr>
        <w:sectPr w:rsidR="00250761" w:rsidRPr="00250761" w:rsidSect="00971AD9">
          <w:headerReference w:type="default" r:id="rId12"/>
          <w:footerReference w:type="default" r:id="rId13"/>
          <w:headerReference w:type="first" r:id="rId14"/>
          <w:footerReference w:type="first" r:id="rId15"/>
          <w:type w:val="continuous"/>
          <w:pgSz w:w="11906" w:h="16838" w:code="9"/>
          <w:pgMar w:top="1701" w:right="1134" w:bottom="1701" w:left="1418" w:header="709" w:footer="709" w:gutter="0"/>
          <w:pgNumType w:start="3"/>
          <w:cols w:space="708"/>
          <w:titlePg/>
          <w:docGrid w:linePitch="360"/>
        </w:sectPr>
      </w:pPr>
    </w:p>
    <w:p w:rsidR="008F1C72" w:rsidRPr="007F0120" w:rsidRDefault="008F1C72" w:rsidP="008459B7">
      <w:pPr>
        <w:pStyle w:val="PargrafodaLista"/>
        <w:numPr>
          <w:ilvl w:val="0"/>
          <w:numId w:val="0"/>
        </w:numPr>
        <w:tabs>
          <w:tab w:val="left" w:pos="-1985"/>
          <w:tab w:val="left" w:pos="0"/>
          <w:tab w:val="left" w:pos="1418"/>
        </w:tabs>
        <w:spacing w:before="0" w:after="240"/>
        <w:contextualSpacing w:val="0"/>
        <w:jc w:val="center"/>
        <w:rPr>
          <w:sz w:val="24"/>
          <w:szCs w:val="24"/>
        </w:rPr>
      </w:pPr>
      <w:bookmarkStart w:id="3" w:name="_Toc520362034"/>
      <w:bookmarkStart w:id="4" w:name="_Toc520405186"/>
      <w:r w:rsidRPr="007F0120">
        <w:rPr>
          <w:sz w:val="24"/>
          <w:szCs w:val="24"/>
        </w:rPr>
        <w:lastRenderedPageBreak/>
        <w:t>RESUMO</w:t>
      </w:r>
      <w:bookmarkEnd w:id="2"/>
      <w:bookmarkEnd w:id="3"/>
      <w:bookmarkEnd w:id="4"/>
    </w:p>
    <w:p w:rsidR="007D7CE6" w:rsidRPr="00D529E8" w:rsidRDefault="007D7CE6" w:rsidP="007D7CE6">
      <w:pPr>
        <w:pStyle w:val="PargrafodaLista"/>
        <w:numPr>
          <w:ilvl w:val="0"/>
          <w:numId w:val="2"/>
        </w:numPr>
        <w:tabs>
          <w:tab w:val="left" w:pos="-1985"/>
          <w:tab w:val="left" w:pos="0"/>
          <w:tab w:val="left" w:pos="1418"/>
        </w:tabs>
        <w:spacing w:before="120"/>
        <w:ind w:left="284" w:hanging="284"/>
        <w:contextualSpacing w:val="0"/>
        <w:jc w:val="both"/>
        <w:rPr>
          <w:b w:val="0"/>
          <w:color w:val="0D0D0D" w:themeColor="text1" w:themeTint="F2"/>
        </w:rPr>
      </w:pPr>
      <w:bookmarkStart w:id="5" w:name="_Toc511288050"/>
      <w:bookmarkStart w:id="6" w:name="_Toc520362035"/>
      <w:bookmarkStart w:id="7" w:name="_Toc520405187"/>
      <w:r w:rsidRPr="00D529E8">
        <w:rPr>
          <w:b w:val="0"/>
          <w:color w:val="0D0D0D" w:themeColor="text1" w:themeTint="F2"/>
          <w:spacing w:val="-2"/>
          <w:sz w:val="24"/>
          <w:szCs w:val="24"/>
        </w:rPr>
        <w:t xml:space="preserve">A Secretaria de Auditoria </w:t>
      </w:r>
      <w:r w:rsidR="000A17BF" w:rsidRPr="0004546D">
        <w:rPr>
          <w:b w:val="0"/>
          <w:spacing w:val="-2"/>
          <w:sz w:val="24"/>
          <w:szCs w:val="24"/>
        </w:rPr>
        <w:t>Interna</w:t>
      </w:r>
      <w:r w:rsidR="000A17BF">
        <w:rPr>
          <w:b w:val="0"/>
          <w:color w:val="0D0D0D" w:themeColor="text1" w:themeTint="F2"/>
          <w:spacing w:val="-2"/>
          <w:sz w:val="24"/>
          <w:szCs w:val="24"/>
        </w:rPr>
        <w:t xml:space="preserve"> </w:t>
      </w:r>
      <w:r w:rsidRPr="00D529E8">
        <w:rPr>
          <w:b w:val="0"/>
          <w:color w:val="0D0D0D" w:themeColor="text1" w:themeTint="F2"/>
          <w:spacing w:val="-2"/>
          <w:sz w:val="24"/>
          <w:szCs w:val="24"/>
        </w:rPr>
        <w:t xml:space="preserve">(SAU), por intermédio da Coordenadoria de Auditoria (COAUD) e das Seções de Auditoria de Governança e Gestão Organizacional (SEAGO) e de Auditoria de Pessoal (SEAPE), realizou, no período compreendido entre </w:t>
      </w:r>
      <w:r w:rsidR="00CB34B1" w:rsidRPr="00D529E8">
        <w:rPr>
          <w:b w:val="0"/>
          <w:color w:val="0D0D0D" w:themeColor="text1" w:themeTint="F2"/>
          <w:spacing w:val="-2"/>
          <w:sz w:val="24"/>
          <w:szCs w:val="24"/>
        </w:rPr>
        <w:t>27/3</w:t>
      </w:r>
      <w:r w:rsidRPr="00D529E8">
        <w:rPr>
          <w:b w:val="0"/>
          <w:color w:val="0D0D0D" w:themeColor="text1" w:themeTint="F2"/>
          <w:spacing w:val="-2"/>
          <w:sz w:val="24"/>
          <w:szCs w:val="24"/>
        </w:rPr>
        <w:t xml:space="preserve"> e 7/8/2018, a </w:t>
      </w:r>
      <w:r w:rsidR="002727D8" w:rsidRPr="00D529E8">
        <w:rPr>
          <w:b w:val="0"/>
          <w:color w:val="0D0D0D" w:themeColor="text1" w:themeTint="F2"/>
          <w:sz w:val="24"/>
          <w:szCs w:val="24"/>
        </w:rPr>
        <w:t>Auditoria Integrada TSE/</w:t>
      </w:r>
      <w:proofErr w:type="spellStart"/>
      <w:r w:rsidR="002727D8" w:rsidRPr="00D529E8">
        <w:rPr>
          <w:b w:val="0"/>
          <w:color w:val="0D0D0D" w:themeColor="text1" w:themeTint="F2"/>
          <w:sz w:val="24"/>
          <w:szCs w:val="24"/>
        </w:rPr>
        <w:t>TREs</w:t>
      </w:r>
      <w:proofErr w:type="spellEnd"/>
      <w:r w:rsidR="002727D8" w:rsidRPr="00D529E8">
        <w:rPr>
          <w:b w:val="0"/>
          <w:color w:val="0D0D0D" w:themeColor="text1" w:themeTint="F2"/>
          <w:sz w:val="24"/>
          <w:szCs w:val="24"/>
        </w:rPr>
        <w:t xml:space="preserve"> </w:t>
      </w:r>
      <w:r w:rsidR="000A17BF" w:rsidRPr="000A17BF">
        <w:rPr>
          <w:sz w:val="24"/>
          <w:szCs w:val="24"/>
        </w:rPr>
        <w:t>–</w:t>
      </w:r>
      <w:r w:rsidR="002727D8" w:rsidRPr="00D529E8">
        <w:rPr>
          <w:b w:val="0"/>
          <w:color w:val="0D0D0D" w:themeColor="text1" w:themeTint="F2"/>
          <w:sz w:val="24"/>
          <w:szCs w:val="24"/>
        </w:rPr>
        <w:t xml:space="preserve"> Gestão da força de trabalho/Dimensionamento da força de trabalho</w:t>
      </w:r>
      <w:r w:rsidRPr="00D529E8">
        <w:rPr>
          <w:b w:val="0"/>
          <w:color w:val="0D0D0D" w:themeColor="text1" w:themeTint="F2"/>
          <w:spacing w:val="-2"/>
          <w:sz w:val="24"/>
          <w:szCs w:val="24"/>
        </w:rPr>
        <w:t>, consoante previsão inserta no Plano Anual de Auditoria da COAUD</w:t>
      </w:r>
      <w:r w:rsidR="002727D8" w:rsidRPr="00D529E8">
        <w:rPr>
          <w:b w:val="0"/>
          <w:color w:val="0D0D0D" w:themeColor="text1" w:themeTint="F2"/>
          <w:spacing w:val="-2"/>
          <w:sz w:val="24"/>
          <w:szCs w:val="24"/>
        </w:rPr>
        <w:t>,</w:t>
      </w:r>
      <w:r w:rsidRPr="00D529E8">
        <w:rPr>
          <w:b w:val="0"/>
          <w:color w:val="0D0D0D" w:themeColor="text1" w:themeTint="F2"/>
          <w:spacing w:val="-2"/>
          <w:sz w:val="24"/>
          <w:szCs w:val="24"/>
        </w:rPr>
        <w:t xml:space="preserve"> referente a 2018 (PAA2018), aprovado por meio da Portaria da Presidência desta Casa nº 602, de 27 de novembro de 2017, com o objetivo de avaliar </w:t>
      </w:r>
      <w:r w:rsidRPr="00D529E8">
        <w:rPr>
          <w:b w:val="0"/>
          <w:color w:val="0D0D0D" w:themeColor="text1" w:themeTint="F2"/>
          <w:sz w:val="24"/>
          <w:szCs w:val="24"/>
        </w:rPr>
        <w:t xml:space="preserve">a efetividade da metodologia ou critérios utilizados e respectivos controles internos adotados no processo de gestão da força de trabalho como resposta aos riscos inerentes ao </w:t>
      </w:r>
      <w:proofErr w:type="spellStart"/>
      <w:r w:rsidRPr="00D529E8">
        <w:rPr>
          <w:b w:val="0"/>
          <w:color w:val="0D0D0D" w:themeColor="text1" w:themeTint="F2"/>
          <w:sz w:val="24"/>
          <w:szCs w:val="24"/>
        </w:rPr>
        <w:t>subprocesso</w:t>
      </w:r>
      <w:proofErr w:type="spellEnd"/>
      <w:r w:rsidRPr="00D529E8">
        <w:rPr>
          <w:b w:val="0"/>
          <w:color w:val="0D0D0D" w:themeColor="text1" w:themeTint="F2"/>
          <w:sz w:val="24"/>
          <w:szCs w:val="24"/>
        </w:rPr>
        <w:t xml:space="preserve"> de dimensionamento quantitativo e qualitativo da força de trabalho.</w:t>
      </w:r>
      <w:bookmarkStart w:id="8" w:name="_Toc511288051"/>
      <w:bookmarkEnd w:id="5"/>
      <w:bookmarkEnd w:id="6"/>
      <w:bookmarkEnd w:id="7"/>
    </w:p>
    <w:p w:rsidR="007D7CE6" w:rsidRPr="00164D98" w:rsidRDefault="007D7CE6" w:rsidP="007D7CE6">
      <w:pPr>
        <w:pStyle w:val="PargrafodaLista"/>
        <w:numPr>
          <w:ilvl w:val="0"/>
          <w:numId w:val="2"/>
        </w:numPr>
        <w:tabs>
          <w:tab w:val="left" w:pos="-1985"/>
          <w:tab w:val="left" w:pos="0"/>
          <w:tab w:val="left" w:pos="1418"/>
        </w:tabs>
        <w:autoSpaceDE w:val="0"/>
        <w:autoSpaceDN w:val="0"/>
        <w:adjustRightInd w:val="0"/>
        <w:spacing w:before="120" w:after="0"/>
        <w:ind w:left="284" w:hanging="284"/>
        <w:contextualSpacing w:val="0"/>
        <w:jc w:val="both"/>
        <w:rPr>
          <w:b w:val="0"/>
          <w:color w:val="0070C0"/>
          <w:sz w:val="24"/>
          <w:szCs w:val="24"/>
        </w:rPr>
      </w:pPr>
      <w:bookmarkStart w:id="9" w:name="_Toc520362036"/>
      <w:bookmarkStart w:id="10" w:name="_Toc520405188"/>
      <w:r w:rsidRPr="00D529E8">
        <w:rPr>
          <w:b w:val="0"/>
          <w:color w:val="0D0D0D" w:themeColor="text1" w:themeTint="F2"/>
          <w:spacing w:val="-2"/>
          <w:sz w:val="24"/>
          <w:szCs w:val="24"/>
        </w:rPr>
        <w:t>Constituíram objetivos esp</w:t>
      </w:r>
      <w:r w:rsidR="00840872" w:rsidRPr="00D529E8">
        <w:rPr>
          <w:b w:val="0"/>
          <w:color w:val="0D0D0D" w:themeColor="text1" w:themeTint="F2"/>
          <w:spacing w:val="-2"/>
          <w:sz w:val="24"/>
          <w:szCs w:val="24"/>
        </w:rPr>
        <w:t xml:space="preserve">ecíficos da sobredita </w:t>
      </w:r>
      <w:r w:rsidR="00CB34B1" w:rsidRPr="00D529E8">
        <w:rPr>
          <w:b w:val="0"/>
          <w:color w:val="0D0D0D" w:themeColor="text1" w:themeTint="F2"/>
          <w:spacing w:val="-2"/>
          <w:sz w:val="24"/>
          <w:szCs w:val="24"/>
        </w:rPr>
        <w:t>ação fiscalizatória</w:t>
      </w:r>
      <w:r w:rsidR="009A0A98" w:rsidRPr="00D529E8">
        <w:rPr>
          <w:b w:val="0"/>
          <w:color w:val="0D0D0D" w:themeColor="text1" w:themeTint="F2"/>
          <w:spacing w:val="-2"/>
          <w:sz w:val="24"/>
          <w:szCs w:val="24"/>
        </w:rPr>
        <w:t xml:space="preserve">, </w:t>
      </w:r>
      <w:r w:rsidR="00CB34B1" w:rsidRPr="00D529E8">
        <w:rPr>
          <w:b w:val="0"/>
          <w:color w:val="0D0D0D" w:themeColor="text1" w:themeTint="F2"/>
          <w:spacing w:val="-2"/>
          <w:sz w:val="24"/>
          <w:szCs w:val="24"/>
        </w:rPr>
        <w:t>consoante P</w:t>
      </w:r>
      <w:r w:rsidR="009A0A98" w:rsidRPr="00D529E8">
        <w:rPr>
          <w:b w:val="0"/>
          <w:color w:val="0D0D0D" w:themeColor="text1" w:themeTint="F2"/>
          <w:spacing w:val="-2"/>
          <w:sz w:val="24"/>
          <w:szCs w:val="24"/>
        </w:rPr>
        <w:t xml:space="preserve">rograma de Auditoria, </w:t>
      </w:r>
      <w:r w:rsidR="00840872" w:rsidRPr="00D529E8">
        <w:rPr>
          <w:b w:val="0"/>
          <w:color w:val="0D0D0D" w:themeColor="text1" w:themeTint="F2"/>
          <w:spacing w:val="-2"/>
          <w:sz w:val="24"/>
          <w:szCs w:val="24"/>
        </w:rPr>
        <w:t>avaliar</w:t>
      </w:r>
      <w:r w:rsidRPr="00D529E8">
        <w:rPr>
          <w:b w:val="0"/>
          <w:color w:val="0D0D0D" w:themeColor="text1" w:themeTint="F2"/>
          <w:spacing w:val="-2"/>
          <w:sz w:val="24"/>
          <w:szCs w:val="24"/>
        </w:rPr>
        <w:t xml:space="preserve">: </w:t>
      </w:r>
      <w:bookmarkEnd w:id="8"/>
      <w:proofErr w:type="gramStart"/>
      <w:r w:rsidR="00840872" w:rsidRPr="00D529E8">
        <w:rPr>
          <w:b w:val="0"/>
          <w:color w:val="0D0D0D" w:themeColor="text1" w:themeTint="F2"/>
          <w:spacing w:val="-2"/>
          <w:sz w:val="24"/>
          <w:szCs w:val="24"/>
        </w:rPr>
        <w:t>1</w:t>
      </w:r>
      <w:proofErr w:type="gramEnd"/>
      <w:r w:rsidR="00840872" w:rsidRPr="00D529E8">
        <w:rPr>
          <w:b w:val="0"/>
          <w:color w:val="0D0D0D" w:themeColor="text1" w:themeTint="F2"/>
          <w:spacing w:val="-2"/>
          <w:sz w:val="24"/>
          <w:szCs w:val="24"/>
        </w:rPr>
        <w:t xml:space="preserve">. </w:t>
      </w:r>
      <w:proofErr w:type="gramStart"/>
      <w:r w:rsidR="00321205" w:rsidRPr="00D529E8">
        <w:rPr>
          <w:b w:val="0"/>
          <w:color w:val="0D0D0D" w:themeColor="text1" w:themeTint="F2"/>
          <w:spacing w:val="-2"/>
          <w:sz w:val="24"/>
          <w:szCs w:val="24"/>
        </w:rPr>
        <w:t>a</w:t>
      </w:r>
      <w:proofErr w:type="gramEnd"/>
      <w:r w:rsidR="00321205" w:rsidRPr="00D529E8">
        <w:rPr>
          <w:b w:val="0"/>
          <w:color w:val="0D0D0D" w:themeColor="text1" w:themeTint="F2"/>
          <w:spacing w:val="-2"/>
          <w:sz w:val="24"/>
          <w:szCs w:val="24"/>
        </w:rPr>
        <w:t xml:space="preserve"> </w:t>
      </w:r>
      <w:r w:rsidRPr="00D529E8">
        <w:rPr>
          <w:b w:val="0"/>
          <w:color w:val="0D0D0D" w:themeColor="text1" w:themeTint="F2"/>
          <w:sz w:val="24"/>
          <w:szCs w:val="24"/>
        </w:rPr>
        <w:t xml:space="preserve">metodologia ou critérios utilizados para definição do perfil quantitativo e qualitativo da força de trabalho necessária à asseguração das entregas e cumprimento dos objetivos e metas organizacionais, em face da estratégia organizacional definida; </w:t>
      </w:r>
      <w:r w:rsidR="00321205" w:rsidRPr="00D529E8">
        <w:rPr>
          <w:b w:val="0"/>
          <w:color w:val="0D0D0D" w:themeColor="text1" w:themeTint="F2"/>
          <w:sz w:val="24"/>
          <w:szCs w:val="24"/>
        </w:rPr>
        <w:t xml:space="preserve">2. </w:t>
      </w:r>
      <w:proofErr w:type="gramStart"/>
      <w:r w:rsidRPr="00D529E8">
        <w:rPr>
          <w:b w:val="0"/>
          <w:color w:val="0D0D0D" w:themeColor="text1" w:themeTint="F2"/>
          <w:sz w:val="24"/>
          <w:szCs w:val="24"/>
        </w:rPr>
        <w:t>adequação</w:t>
      </w:r>
      <w:proofErr w:type="gramEnd"/>
      <w:r w:rsidRPr="00D529E8">
        <w:rPr>
          <w:b w:val="0"/>
          <w:color w:val="0D0D0D" w:themeColor="text1" w:themeTint="F2"/>
          <w:sz w:val="24"/>
          <w:szCs w:val="24"/>
        </w:rPr>
        <w:t xml:space="preserve">, suficiência e efetividade dos controles internos instituídos em resposta aos riscos de não alcance dos objetivos do dimensionamento da força de trabalho; </w:t>
      </w:r>
      <w:r w:rsidR="00321205" w:rsidRPr="00D529E8">
        <w:rPr>
          <w:b w:val="0"/>
          <w:color w:val="0D0D0D" w:themeColor="text1" w:themeTint="F2"/>
          <w:sz w:val="24"/>
          <w:szCs w:val="24"/>
        </w:rPr>
        <w:t xml:space="preserve">3. </w:t>
      </w:r>
      <w:proofErr w:type="gramStart"/>
      <w:r w:rsidRPr="00D529E8">
        <w:rPr>
          <w:b w:val="0"/>
          <w:color w:val="0D0D0D" w:themeColor="text1" w:themeTint="F2"/>
          <w:sz w:val="24"/>
          <w:szCs w:val="24"/>
        </w:rPr>
        <w:t>utilização</w:t>
      </w:r>
      <w:proofErr w:type="gramEnd"/>
      <w:r w:rsidRPr="00D529E8">
        <w:rPr>
          <w:b w:val="0"/>
          <w:color w:val="0D0D0D" w:themeColor="text1" w:themeTint="F2"/>
          <w:sz w:val="24"/>
          <w:szCs w:val="24"/>
        </w:rPr>
        <w:t xml:space="preserve"> de referenciais mínimos ou ideais de lotação para planejamento da força de trabalho</w:t>
      </w:r>
      <w:r w:rsidR="00E52C43">
        <w:rPr>
          <w:b w:val="0"/>
          <w:color w:val="0D0D0D" w:themeColor="text1" w:themeTint="F2"/>
          <w:sz w:val="24"/>
          <w:szCs w:val="24"/>
        </w:rPr>
        <w:t xml:space="preserve"> </w:t>
      </w:r>
      <w:r w:rsidR="00E52C43" w:rsidRPr="0004546D">
        <w:rPr>
          <w:b w:val="0"/>
          <w:sz w:val="24"/>
          <w:szCs w:val="24"/>
        </w:rPr>
        <w:t>para</w:t>
      </w:r>
      <w:r w:rsidRPr="00E52C43">
        <w:rPr>
          <w:b w:val="0"/>
          <w:color w:val="0000CC"/>
          <w:sz w:val="24"/>
          <w:szCs w:val="24"/>
        </w:rPr>
        <w:t xml:space="preserve"> </w:t>
      </w:r>
      <w:r w:rsidRPr="00D529E8">
        <w:rPr>
          <w:b w:val="0"/>
          <w:color w:val="0D0D0D" w:themeColor="text1" w:themeTint="F2"/>
          <w:sz w:val="24"/>
          <w:szCs w:val="24"/>
        </w:rPr>
        <w:t>planejamento de concurso público</w:t>
      </w:r>
      <w:r w:rsidR="00E52C43">
        <w:rPr>
          <w:b w:val="0"/>
          <w:color w:val="0D0D0D" w:themeColor="text1" w:themeTint="F2"/>
          <w:sz w:val="24"/>
          <w:szCs w:val="24"/>
        </w:rPr>
        <w:t xml:space="preserve">, </w:t>
      </w:r>
      <w:r w:rsidRPr="00D529E8">
        <w:rPr>
          <w:b w:val="0"/>
          <w:color w:val="0D0D0D" w:themeColor="text1" w:themeTint="F2"/>
          <w:sz w:val="24"/>
          <w:szCs w:val="24"/>
        </w:rPr>
        <w:t>alocação inicial</w:t>
      </w:r>
      <w:r w:rsidR="00E52C43">
        <w:rPr>
          <w:b w:val="0"/>
          <w:color w:val="0D0D0D" w:themeColor="text1" w:themeTint="F2"/>
          <w:sz w:val="24"/>
          <w:szCs w:val="24"/>
        </w:rPr>
        <w:t>,</w:t>
      </w:r>
      <w:r w:rsidR="00E52C43" w:rsidRPr="00E52C43">
        <w:rPr>
          <w:b w:val="0"/>
          <w:color w:val="0000CC"/>
          <w:sz w:val="24"/>
          <w:szCs w:val="24"/>
        </w:rPr>
        <w:t xml:space="preserve"> </w:t>
      </w:r>
      <w:r w:rsidRPr="00D529E8">
        <w:rPr>
          <w:b w:val="0"/>
          <w:color w:val="0D0D0D" w:themeColor="text1" w:themeTint="F2"/>
          <w:sz w:val="24"/>
          <w:szCs w:val="24"/>
        </w:rPr>
        <w:t>movimentação</w:t>
      </w:r>
      <w:r w:rsidR="00E52C43">
        <w:rPr>
          <w:b w:val="0"/>
          <w:color w:val="0D0D0D" w:themeColor="text1" w:themeTint="F2"/>
          <w:sz w:val="24"/>
          <w:szCs w:val="24"/>
        </w:rPr>
        <w:t xml:space="preserve">, </w:t>
      </w:r>
      <w:r w:rsidRPr="00D529E8">
        <w:rPr>
          <w:b w:val="0"/>
          <w:color w:val="0D0D0D" w:themeColor="text1" w:themeTint="F2"/>
          <w:sz w:val="24"/>
          <w:szCs w:val="24"/>
        </w:rPr>
        <w:t>reestruturação</w:t>
      </w:r>
      <w:r w:rsidR="00E52C43">
        <w:rPr>
          <w:b w:val="0"/>
          <w:color w:val="0D0D0D" w:themeColor="text1" w:themeTint="F2"/>
          <w:sz w:val="24"/>
          <w:szCs w:val="24"/>
        </w:rPr>
        <w:t xml:space="preserve"> </w:t>
      </w:r>
      <w:r w:rsidR="00E52C43" w:rsidRPr="0004546D">
        <w:rPr>
          <w:b w:val="0"/>
          <w:sz w:val="24"/>
          <w:szCs w:val="24"/>
        </w:rPr>
        <w:t>administrativa</w:t>
      </w:r>
      <w:r w:rsidRPr="0004546D">
        <w:rPr>
          <w:b w:val="0"/>
          <w:sz w:val="24"/>
          <w:szCs w:val="24"/>
        </w:rPr>
        <w:t xml:space="preserve"> </w:t>
      </w:r>
      <w:r w:rsidR="00E52C43" w:rsidRPr="0004546D">
        <w:rPr>
          <w:b w:val="0"/>
          <w:sz w:val="24"/>
          <w:szCs w:val="24"/>
        </w:rPr>
        <w:t>e</w:t>
      </w:r>
      <w:r w:rsidR="00E52C43" w:rsidRPr="00E52C43">
        <w:rPr>
          <w:b w:val="0"/>
          <w:color w:val="0000CC"/>
          <w:sz w:val="24"/>
          <w:szCs w:val="24"/>
        </w:rPr>
        <w:t xml:space="preserve"> </w:t>
      </w:r>
      <w:r w:rsidR="00E52C43">
        <w:rPr>
          <w:b w:val="0"/>
          <w:color w:val="0D0D0D" w:themeColor="text1" w:themeTint="F2"/>
          <w:sz w:val="24"/>
          <w:szCs w:val="24"/>
        </w:rPr>
        <w:t>rezoneamento</w:t>
      </w:r>
      <w:r w:rsidR="00E52C43" w:rsidRPr="0004546D">
        <w:rPr>
          <w:b w:val="0"/>
          <w:sz w:val="24"/>
          <w:szCs w:val="24"/>
        </w:rPr>
        <w:t>, bem como</w:t>
      </w:r>
      <w:r w:rsidRPr="0004546D">
        <w:rPr>
          <w:b w:val="0"/>
          <w:sz w:val="24"/>
          <w:szCs w:val="24"/>
        </w:rPr>
        <w:t xml:space="preserve"> </w:t>
      </w:r>
      <w:r w:rsidRPr="00D529E8">
        <w:rPr>
          <w:b w:val="0"/>
          <w:color w:val="0D0D0D" w:themeColor="text1" w:themeTint="F2"/>
          <w:sz w:val="24"/>
          <w:szCs w:val="24"/>
        </w:rPr>
        <w:t xml:space="preserve">respectivos impactos decorrentes de ausência de critérios ou de sua não utilização; </w:t>
      </w:r>
      <w:r w:rsidR="00321205" w:rsidRPr="00D529E8">
        <w:rPr>
          <w:b w:val="0"/>
          <w:color w:val="0D0D0D" w:themeColor="text1" w:themeTint="F2"/>
          <w:sz w:val="24"/>
          <w:szCs w:val="24"/>
        </w:rPr>
        <w:t xml:space="preserve">4. </w:t>
      </w:r>
      <w:proofErr w:type="gramStart"/>
      <w:r w:rsidRPr="00D529E8">
        <w:rPr>
          <w:b w:val="0"/>
          <w:color w:val="0D0D0D" w:themeColor="text1" w:themeTint="F2"/>
          <w:sz w:val="24"/>
          <w:szCs w:val="24"/>
        </w:rPr>
        <w:t>impacto</w:t>
      </w:r>
      <w:proofErr w:type="gramEnd"/>
      <w:r w:rsidRPr="00D529E8">
        <w:rPr>
          <w:b w:val="0"/>
          <w:color w:val="0D0D0D" w:themeColor="text1" w:themeTint="F2"/>
          <w:sz w:val="24"/>
          <w:szCs w:val="24"/>
        </w:rPr>
        <w:t xml:space="preserve"> de alterações da estrutura organizacional decorrentes de reestruturação administrativa ou rezoneamento, na distribuição da força de trabalho;</w:t>
      </w:r>
      <w:r w:rsidR="00321205" w:rsidRPr="00D529E8">
        <w:rPr>
          <w:b w:val="0"/>
          <w:color w:val="0D0D0D" w:themeColor="text1" w:themeTint="F2"/>
          <w:sz w:val="24"/>
          <w:szCs w:val="24"/>
        </w:rPr>
        <w:t xml:space="preserve"> 5.</w:t>
      </w:r>
      <w:r w:rsidR="009A0A98" w:rsidRPr="00D529E8">
        <w:rPr>
          <w:b w:val="0"/>
          <w:color w:val="0D0D0D" w:themeColor="text1" w:themeTint="F2"/>
          <w:sz w:val="24"/>
          <w:szCs w:val="24"/>
        </w:rPr>
        <w:t xml:space="preserve"> </w:t>
      </w:r>
      <w:proofErr w:type="gramStart"/>
      <w:r w:rsidRPr="00D529E8">
        <w:rPr>
          <w:b w:val="0"/>
          <w:color w:val="0D0D0D" w:themeColor="text1" w:themeTint="F2"/>
          <w:sz w:val="24"/>
          <w:szCs w:val="24"/>
        </w:rPr>
        <w:t>utilização</w:t>
      </w:r>
      <w:proofErr w:type="gramEnd"/>
      <w:r w:rsidRPr="00D529E8">
        <w:rPr>
          <w:b w:val="0"/>
          <w:color w:val="0D0D0D" w:themeColor="text1" w:themeTint="F2"/>
          <w:sz w:val="24"/>
          <w:szCs w:val="24"/>
        </w:rPr>
        <w:t xml:space="preserve"> de informações gerenciais relativas a claros de lotação, prováveis aposentadorias e ocupações críticas para planejamento da força de trabalho; e</w:t>
      </w:r>
      <w:r w:rsidR="00321205" w:rsidRPr="00D529E8">
        <w:rPr>
          <w:b w:val="0"/>
          <w:color w:val="0D0D0D" w:themeColor="text1" w:themeTint="F2"/>
          <w:sz w:val="24"/>
          <w:szCs w:val="24"/>
        </w:rPr>
        <w:t xml:space="preserve"> 6. </w:t>
      </w:r>
      <w:proofErr w:type="gramStart"/>
      <w:r w:rsidRPr="00D529E8">
        <w:rPr>
          <w:b w:val="0"/>
          <w:color w:val="0D0D0D" w:themeColor="text1" w:themeTint="F2"/>
          <w:sz w:val="24"/>
          <w:szCs w:val="24"/>
        </w:rPr>
        <w:t>alinhamento</w:t>
      </w:r>
      <w:proofErr w:type="gramEnd"/>
      <w:r w:rsidRPr="00D529E8">
        <w:rPr>
          <w:b w:val="0"/>
          <w:color w:val="0D0D0D" w:themeColor="text1" w:themeTint="F2"/>
          <w:sz w:val="24"/>
          <w:szCs w:val="24"/>
        </w:rPr>
        <w:t xml:space="preserve"> entre o plano anual de capacitação e o processo de DFT.</w:t>
      </w:r>
      <w:bookmarkStart w:id="11" w:name="_Toc511288053"/>
      <w:bookmarkEnd w:id="9"/>
      <w:bookmarkEnd w:id="10"/>
    </w:p>
    <w:p w:rsidR="007D7CE6" w:rsidRPr="007F0120" w:rsidRDefault="007D7CE6" w:rsidP="007D7CE6">
      <w:pPr>
        <w:pStyle w:val="PargrafodaLista"/>
        <w:numPr>
          <w:ilvl w:val="0"/>
          <w:numId w:val="2"/>
        </w:numPr>
        <w:tabs>
          <w:tab w:val="left" w:pos="-1985"/>
          <w:tab w:val="left" w:pos="0"/>
          <w:tab w:val="left" w:pos="1418"/>
        </w:tabs>
        <w:autoSpaceDE w:val="0"/>
        <w:autoSpaceDN w:val="0"/>
        <w:adjustRightInd w:val="0"/>
        <w:spacing w:before="120" w:after="0"/>
        <w:ind w:left="284" w:hanging="284"/>
        <w:contextualSpacing w:val="0"/>
        <w:jc w:val="both"/>
        <w:rPr>
          <w:b w:val="0"/>
          <w:color w:val="0D0D0D" w:themeColor="text1" w:themeTint="F2"/>
          <w:spacing w:val="-2"/>
          <w:sz w:val="24"/>
          <w:szCs w:val="24"/>
        </w:rPr>
      </w:pPr>
      <w:bookmarkStart w:id="12" w:name="_Toc520405189"/>
      <w:bookmarkStart w:id="13" w:name="_Toc520362037"/>
      <w:r w:rsidRPr="007F0120">
        <w:rPr>
          <w:b w:val="0"/>
          <w:color w:val="0D0D0D" w:themeColor="text1" w:themeTint="F2"/>
          <w:spacing w:val="-2"/>
          <w:sz w:val="24"/>
          <w:szCs w:val="24"/>
        </w:rPr>
        <w:t xml:space="preserve">Constituíram principais critérios referenciais para delimitação de achados de auditoria: Constituição Federal Brasileira de 1988; Resolução CNJ nº 211, de 15 de dezembro de 2015, que institui a Estratégia Nacional de Tecnologia da Informação e Comunicação do Poder Judiciário; Resolução CNJ nº 240, de 9 se setembro de 2016, que dispõe sobre a Política Nacional de Gestão de Pessoas do âmbito do Poder Judiciário; </w:t>
      </w:r>
      <w:r w:rsidR="0004546D">
        <w:rPr>
          <w:b w:val="0"/>
          <w:color w:val="0D0D0D" w:themeColor="text1" w:themeTint="F2"/>
          <w:spacing w:val="-2"/>
          <w:sz w:val="24"/>
          <w:szCs w:val="24"/>
        </w:rPr>
        <w:t>Resolução Administrativa TRE-BA nº 3, de 15 de setembro de 2004, que dispõe</w:t>
      </w:r>
      <w:r w:rsidR="00447E93">
        <w:rPr>
          <w:b w:val="0"/>
          <w:color w:val="0D0D0D" w:themeColor="text1" w:themeTint="F2"/>
          <w:spacing w:val="-2"/>
          <w:sz w:val="24"/>
          <w:szCs w:val="24"/>
        </w:rPr>
        <w:t xml:space="preserve"> </w:t>
      </w:r>
      <w:r w:rsidR="00447E93" w:rsidRPr="00447E93">
        <w:rPr>
          <w:b w:val="0"/>
          <w:color w:val="0D0D0D" w:themeColor="text1" w:themeTint="F2"/>
          <w:spacing w:val="-2"/>
          <w:sz w:val="24"/>
          <w:szCs w:val="24"/>
        </w:rPr>
        <w:t>sobre o provimento e a distribuição dos cargos efetivos de Analista Judiciário e de Técnico Judiciário, criados pela Lei nº 10.842, de 20 de fevereiro de 2004, para o quadro de pessoal do Tribunal Regional Eleitoral da Bahia, destinados às Zonas Eleitorais</w:t>
      </w:r>
      <w:r w:rsidR="00447E93">
        <w:rPr>
          <w:b w:val="0"/>
          <w:color w:val="0D0D0D" w:themeColor="text1" w:themeTint="F2"/>
          <w:spacing w:val="-2"/>
          <w:sz w:val="24"/>
          <w:szCs w:val="24"/>
        </w:rPr>
        <w:t xml:space="preserve">; </w:t>
      </w:r>
      <w:r w:rsidRPr="007F0120">
        <w:rPr>
          <w:b w:val="0"/>
          <w:color w:val="0D0D0D" w:themeColor="text1" w:themeTint="F2"/>
          <w:spacing w:val="-2"/>
          <w:sz w:val="24"/>
          <w:szCs w:val="24"/>
        </w:rPr>
        <w:t>Resolução Administrativa TRE-BA nº 3, de 19 de fevereiro de 2014, que dispõe sobre a jornada de trabalho, controle de frequência, serviço extraordinário e “banco de horas” no âmbito do TRE-BA; Resolução Administrativa TRE-BA nº 12, de 18 de dezembro de 2017, que institui a Política de Gestão de Pessoas do TRE-BA; Resolução Administrativa do TRE-BA nº 12, de 30 de abril de 2018</w:t>
      </w:r>
      <w:r w:rsidR="003E0629" w:rsidRPr="0004546D">
        <w:rPr>
          <w:b w:val="0"/>
          <w:spacing w:val="-2"/>
          <w:sz w:val="24"/>
          <w:szCs w:val="24"/>
        </w:rPr>
        <w:t xml:space="preserve">, que aprova o </w:t>
      </w:r>
      <w:r w:rsidRPr="007F0120">
        <w:rPr>
          <w:b w:val="0"/>
          <w:color w:val="0D0D0D" w:themeColor="text1" w:themeTint="F2"/>
          <w:spacing w:val="-2"/>
          <w:sz w:val="24"/>
          <w:szCs w:val="24"/>
        </w:rPr>
        <w:t>Regulamento In</w:t>
      </w:r>
      <w:r w:rsidR="003E0629">
        <w:rPr>
          <w:b w:val="0"/>
          <w:color w:val="0D0D0D" w:themeColor="text1" w:themeTint="F2"/>
          <w:spacing w:val="-2"/>
          <w:sz w:val="24"/>
          <w:szCs w:val="24"/>
        </w:rPr>
        <w:t>terno da Secretaria do Tribunal</w:t>
      </w:r>
      <w:r w:rsidRPr="007F0120">
        <w:rPr>
          <w:b w:val="0"/>
          <w:color w:val="0D0D0D" w:themeColor="text1" w:themeTint="F2"/>
          <w:spacing w:val="-2"/>
          <w:sz w:val="24"/>
          <w:szCs w:val="24"/>
        </w:rPr>
        <w:t>; Resolução Administrativa TRE-BA nº 15, de 13 de junho de 2018</w:t>
      </w:r>
      <w:r w:rsidR="00E52C43">
        <w:rPr>
          <w:b w:val="0"/>
          <w:color w:val="0D0D0D" w:themeColor="text1" w:themeTint="F2"/>
          <w:spacing w:val="-2"/>
          <w:sz w:val="24"/>
          <w:szCs w:val="24"/>
        </w:rPr>
        <w:t xml:space="preserve">, </w:t>
      </w:r>
      <w:r w:rsidR="00E52C43" w:rsidRPr="0004546D">
        <w:rPr>
          <w:b w:val="0"/>
          <w:spacing w:val="-2"/>
          <w:sz w:val="24"/>
          <w:szCs w:val="24"/>
        </w:rPr>
        <w:t xml:space="preserve">que dispõe sobre o </w:t>
      </w:r>
      <w:r w:rsidRPr="007F0120">
        <w:rPr>
          <w:b w:val="0"/>
          <w:color w:val="0D0D0D" w:themeColor="text1" w:themeTint="F2"/>
          <w:spacing w:val="-2"/>
          <w:sz w:val="24"/>
          <w:szCs w:val="24"/>
        </w:rPr>
        <w:t>Sistema de Governança e Gestão do TRE-BA; Resolução Administrativa do TRE-BA nº 1</w:t>
      </w:r>
      <w:r w:rsidR="00E52C43">
        <w:rPr>
          <w:b w:val="0"/>
          <w:color w:val="0D0D0D" w:themeColor="text1" w:themeTint="F2"/>
          <w:spacing w:val="-2"/>
          <w:sz w:val="24"/>
          <w:szCs w:val="24"/>
        </w:rPr>
        <w:t>6, de 13 de junho de 2018, que i</w:t>
      </w:r>
      <w:r w:rsidRPr="007F0120">
        <w:rPr>
          <w:b w:val="0"/>
          <w:color w:val="0D0D0D" w:themeColor="text1" w:themeTint="F2"/>
          <w:spacing w:val="-2"/>
          <w:sz w:val="24"/>
          <w:szCs w:val="24"/>
        </w:rPr>
        <w:t>nstitui o Sistema de Gestão de Riscos (SGR) no âmbito do TRE-BA; Resolução Administrativa TRE-BA nº 18, de 20 de junho de 2018</w:t>
      </w:r>
      <w:r w:rsidR="00E52C43">
        <w:rPr>
          <w:b w:val="0"/>
          <w:color w:val="0D0D0D" w:themeColor="text1" w:themeTint="F2"/>
          <w:spacing w:val="-2"/>
          <w:sz w:val="24"/>
          <w:szCs w:val="24"/>
        </w:rPr>
        <w:t xml:space="preserve">, </w:t>
      </w:r>
      <w:r w:rsidR="00E52C43" w:rsidRPr="0004546D">
        <w:rPr>
          <w:b w:val="0"/>
          <w:spacing w:val="-2"/>
          <w:sz w:val="24"/>
          <w:szCs w:val="24"/>
        </w:rPr>
        <w:t>que dispõe sobre a</w:t>
      </w:r>
      <w:r w:rsidRPr="0004546D">
        <w:rPr>
          <w:b w:val="0"/>
          <w:spacing w:val="-2"/>
          <w:sz w:val="24"/>
          <w:szCs w:val="24"/>
        </w:rPr>
        <w:t xml:space="preserve"> </w:t>
      </w:r>
      <w:r w:rsidRPr="007F0120">
        <w:rPr>
          <w:b w:val="0"/>
          <w:color w:val="0D0D0D" w:themeColor="text1" w:themeTint="F2"/>
          <w:spacing w:val="-2"/>
          <w:sz w:val="24"/>
          <w:szCs w:val="24"/>
        </w:rPr>
        <w:t>Polí</w:t>
      </w:r>
      <w:r w:rsidR="00E52C43">
        <w:rPr>
          <w:b w:val="0"/>
          <w:color w:val="0D0D0D" w:themeColor="text1" w:themeTint="F2"/>
          <w:spacing w:val="-2"/>
          <w:sz w:val="24"/>
          <w:szCs w:val="24"/>
        </w:rPr>
        <w:t xml:space="preserve">tica de Gestão de Pessoas </w:t>
      </w:r>
      <w:r w:rsidR="00E52C43" w:rsidRPr="0004546D">
        <w:rPr>
          <w:b w:val="0"/>
          <w:spacing w:val="-2"/>
          <w:sz w:val="24"/>
          <w:szCs w:val="24"/>
        </w:rPr>
        <w:t xml:space="preserve">da área de </w:t>
      </w:r>
      <w:r w:rsidR="00E52C43" w:rsidRPr="0004546D">
        <w:rPr>
          <w:b w:val="0"/>
          <w:spacing w:val="-2"/>
          <w:sz w:val="24"/>
          <w:szCs w:val="24"/>
        </w:rPr>
        <w:lastRenderedPageBreak/>
        <w:t>Tecnologia da Informação e Comunicação (TIC)</w:t>
      </w:r>
      <w:r w:rsidRPr="0004546D">
        <w:rPr>
          <w:b w:val="0"/>
          <w:spacing w:val="-2"/>
          <w:sz w:val="24"/>
          <w:szCs w:val="24"/>
        </w:rPr>
        <w:t xml:space="preserve">; </w:t>
      </w:r>
      <w:r w:rsidRPr="007F0120">
        <w:rPr>
          <w:b w:val="0"/>
          <w:color w:val="0D0D0D" w:themeColor="text1" w:themeTint="F2"/>
          <w:spacing w:val="-2"/>
          <w:sz w:val="24"/>
          <w:szCs w:val="24"/>
        </w:rPr>
        <w:t xml:space="preserve">Instrução Normativa da Presidência TRE-BA nº 2, de 19 de junho de 2018, </w:t>
      </w:r>
      <w:r w:rsidR="00E52C43" w:rsidRPr="0004546D">
        <w:rPr>
          <w:b w:val="0"/>
          <w:spacing w:val="-2"/>
          <w:sz w:val="24"/>
          <w:szCs w:val="24"/>
        </w:rPr>
        <w:t xml:space="preserve">que </w:t>
      </w:r>
      <w:r w:rsidRPr="007F0120">
        <w:rPr>
          <w:b w:val="0"/>
          <w:color w:val="0D0D0D" w:themeColor="text1" w:themeTint="F2"/>
          <w:spacing w:val="-2"/>
          <w:sz w:val="24"/>
          <w:szCs w:val="24"/>
        </w:rPr>
        <w:t xml:space="preserve">institui o processo de gerenciamento de capacitação </w:t>
      </w:r>
      <w:r w:rsidRPr="0004546D">
        <w:rPr>
          <w:b w:val="0"/>
          <w:spacing w:val="-2"/>
          <w:sz w:val="24"/>
          <w:szCs w:val="24"/>
        </w:rPr>
        <w:t xml:space="preserve">de </w:t>
      </w:r>
      <w:r w:rsidR="00E52C43" w:rsidRPr="0004546D">
        <w:rPr>
          <w:b w:val="0"/>
          <w:spacing w:val="-2"/>
          <w:sz w:val="24"/>
          <w:szCs w:val="24"/>
        </w:rPr>
        <w:t xml:space="preserve">TIC </w:t>
      </w:r>
      <w:r w:rsidRPr="007F0120">
        <w:rPr>
          <w:b w:val="0"/>
          <w:color w:val="0D0D0D" w:themeColor="text1" w:themeTint="F2"/>
          <w:spacing w:val="-2"/>
          <w:sz w:val="24"/>
          <w:szCs w:val="24"/>
        </w:rPr>
        <w:t xml:space="preserve">do TRE-BA; </w:t>
      </w:r>
      <w:r w:rsidR="0084577E" w:rsidRPr="0084577E">
        <w:rPr>
          <w:b w:val="0"/>
          <w:color w:val="0D0D0D" w:themeColor="text1" w:themeTint="F2"/>
          <w:spacing w:val="-2"/>
          <w:sz w:val="24"/>
          <w:szCs w:val="24"/>
        </w:rPr>
        <w:t>Instrução Normativa da Presidência TRE-BA nº 3/2018, que institui o modelo de gestão por competência organizacional</w:t>
      </w:r>
      <w:r w:rsidR="0084577E">
        <w:rPr>
          <w:b w:val="0"/>
          <w:color w:val="0D0D0D" w:themeColor="text1" w:themeTint="F2"/>
          <w:spacing w:val="-2"/>
          <w:sz w:val="24"/>
          <w:szCs w:val="24"/>
        </w:rPr>
        <w:t xml:space="preserve">; </w:t>
      </w:r>
      <w:r w:rsidRPr="007F0120">
        <w:rPr>
          <w:b w:val="0"/>
          <w:color w:val="0D0D0D" w:themeColor="text1" w:themeTint="F2"/>
          <w:spacing w:val="-2"/>
          <w:sz w:val="24"/>
          <w:szCs w:val="24"/>
        </w:rPr>
        <w:t xml:space="preserve">Portaria DG nº 359, de 15 de junho de 2007, que trata sobre lotação e </w:t>
      </w:r>
      <w:proofErr w:type="spellStart"/>
      <w:r w:rsidRPr="007F0120">
        <w:rPr>
          <w:b w:val="0"/>
          <w:color w:val="0D0D0D" w:themeColor="text1" w:themeTint="F2"/>
          <w:spacing w:val="-2"/>
          <w:sz w:val="24"/>
          <w:szCs w:val="24"/>
        </w:rPr>
        <w:t>relotação</w:t>
      </w:r>
      <w:proofErr w:type="spellEnd"/>
      <w:r w:rsidRPr="007F0120">
        <w:rPr>
          <w:b w:val="0"/>
          <w:color w:val="0D0D0D" w:themeColor="text1" w:themeTint="F2"/>
          <w:spacing w:val="-2"/>
          <w:sz w:val="24"/>
          <w:szCs w:val="24"/>
        </w:rPr>
        <w:t xml:space="preserve"> de servidores no âmbito do TRE-BA; Portaria da Presidência nº 407, de 20 de outubro de 2015, que dispõe sobre o aproveitamento das vagas de lotação dos cartórios eleitorais, do interior do Estado, decorrentes de claros de lotação, nos processos seletivos de remoção; Referencial Básico de Governança do Tribunal de Contas da União (TCU), versão 2, 2014, que define a estrutura referencial de governança aplicável a órgãos e entidades da Administração Pública; Acórdão TCU nº 1.172/2</w:t>
      </w:r>
      <w:r w:rsidR="003E0629">
        <w:rPr>
          <w:b w:val="0"/>
          <w:color w:val="0D0D0D" w:themeColor="text1" w:themeTint="F2"/>
          <w:spacing w:val="-2"/>
          <w:sz w:val="24"/>
          <w:szCs w:val="24"/>
        </w:rPr>
        <w:t xml:space="preserve">015 - Plenário; Acórdão TCU nº </w:t>
      </w:r>
      <w:r w:rsidRPr="007F0120">
        <w:rPr>
          <w:b w:val="0"/>
          <w:color w:val="0D0D0D" w:themeColor="text1" w:themeTint="F2"/>
          <w:spacing w:val="-2"/>
          <w:sz w:val="24"/>
          <w:szCs w:val="24"/>
        </w:rPr>
        <w:t>2.212/2015 – Plenário; Acórdão TCU nº 1.594/2016 - Plenário; Acórdão TCU nº 2.133/2017 – Plenário; Acórdão TCU nº 2.138/2017 – Plenário; e Acórdão TCU nº</w:t>
      </w:r>
      <w:r w:rsidR="003E0629">
        <w:rPr>
          <w:b w:val="0"/>
          <w:color w:val="0D0D0D" w:themeColor="text1" w:themeTint="F2"/>
          <w:spacing w:val="-2"/>
          <w:sz w:val="24"/>
          <w:szCs w:val="24"/>
        </w:rPr>
        <w:t xml:space="preserve"> </w:t>
      </w:r>
      <w:r w:rsidRPr="007F0120">
        <w:rPr>
          <w:b w:val="0"/>
          <w:color w:val="0D0D0D" w:themeColor="text1" w:themeTint="F2"/>
          <w:spacing w:val="-2"/>
          <w:sz w:val="24"/>
          <w:szCs w:val="24"/>
        </w:rPr>
        <w:t>588/2018 – Plenário.</w:t>
      </w:r>
      <w:bookmarkEnd w:id="12"/>
      <w:r w:rsidRPr="007F0120">
        <w:rPr>
          <w:b w:val="0"/>
          <w:color w:val="0D0D0D" w:themeColor="text1" w:themeTint="F2"/>
          <w:spacing w:val="-2"/>
          <w:sz w:val="24"/>
          <w:szCs w:val="24"/>
        </w:rPr>
        <w:t xml:space="preserve"> </w:t>
      </w:r>
      <w:bookmarkEnd w:id="13"/>
    </w:p>
    <w:p w:rsidR="007D7CE6" w:rsidRDefault="007D7CE6" w:rsidP="007D7CE6">
      <w:pPr>
        <w:pStyle w:val="TextosemFormatao"/>
        <w:rPr>
          <w:lang w:eastAsia="pt-BR"/>
        </w:rPr>
      </w:pPr>
    </w:p>
    <w:p w:rsidR="007D7CE6" w:rsidRPr="003E0629" w:rsidRDefault="007D7CE6" w:rsidP="007D7CE6">
      <w:pPr>
        <w:pStyle w:val="PargrafodaLista"/>
        <w:numPr>
          <w:ilvl w:val="0"/>
          <w:numId w:val="2"/>
        </w:numPr>
        <w:tabs>
          <w:tab w:val="left" w:pos="-1985"/>
          <w:tab w:val="left" w:pos="0"/>
          <w:tab w:val="left" w:pos="1418"/>
        </w:tabs>
        <w:spacing w:before="0"/>
        <w:ind w:left="284" w:hanging="284"/>
        <w:contextualSpacing w:val="0"/>
        <w:jc w:val="both"/>
        <w:rPr>
          <w:b w:val="0"/>
          <w:sz w:val="24"/>
          <w:szCs w:val="24"/>
        </w:rPr>
      </w:pPr>
      <w:bookmarkStart w:id="14" w:name="_Toc520362039"/>
      <w:bookmarkStart w:id="15" w:name="_Toc520405190"/>
      <w:bookmarkStart w:id="16" w:name="_Toc511288056"/>
      <w:bookmarkEnd w:id="11"/>
      <w:r w:rsidRPr="003E0629">
        <w:rPr>
          <w:b w:val="0"/>
          <w:sz w:val="24"/>
          <w:szCs w:val="24"/>
        </w:rPr>
        <w:t xml:space="preserve">Assim, analisadas as fontes de informação selecionadas e interpretados os resultados dos testes aplicados ao longo </w:t>
      </w:r>
      <w:proofErr w:type="gramStart"/>
      <w:r w:rsidRPr="003E0629">
        <w:rPr>
          <w:b w:val="0"/>
          <w:sz w:val="24"/>
          <w:szCs w:val="24"/>
        </w:rPr>
        <w:t>da presente</w:t>
      </w:r>
      <w:proofErr w:type="gramEnd"/>
      <w:r w:rsidRPr="003E0629">
        <w:rPr>
          <w:b w:val="0"/>
          <w:sz w:val="24"/>
          <w:szCs w:val="24"/>
        </w:rPr>
        <w:t xml:space="preserve"> ação fiscalizatória, concluiu-se pela subsistência das seguintes fragilidades: parâmetros para priorização de unidades a serem dimensionadas</w:t>
      </w:r>
      <w:r w:rsidR="00D7036F">
        <w:rPr>
          <w:b w:val="0"/>
          <w:sz w:val="24"/>
          <w:szCs w:val="24"/>
        </w:rPr>
        <w:t>,</w:t>
      </w:r>
      <w:r w:rsidRPr="003E0629">
        <w:rPr>
          <w:b w:val="0"/>
          <w:sz w:val="24"/>
          <w:szCs w:val="24"/>
        </w:rPr>
        <w:t xml:space="preserve"> dissociados da estratégia organizacional; deficiência de formalização de critérios referenciais e procedimentos para lotação inicial e movimentação de pessoal; inadequação do critério utilizado para lotação de servidores; ausência de mecanismos de monitoramento do DFT apurado; ausência de gerenciamento de riscos; deficiência de controles internos; tempo de duração de trabalhos de mapeamento/dimensionamento de unidades incompatível com cronograma estabelecido; deficiente implementação do gerenciamento do DFT; DFT inconsistente; movimentação de servidores em desconformidade com critérios convencionados ou normativamente estabelecidos; desalinhamento entre reestruturações administrativas e critérios convencionados ou normativamente estabelecidos; ausência de planejamento para fazer frente às lacunas de pessoal decorrentes de aposentadoria; e ausência de identificação, mapeamento de competências, bem como de plano de ação para formação de sucessores e reposição da força de trabalho associada a ocupações críticas.</w:t>
      </w:r>
      <w:bookmarkEnd w:id="14"/>
      <w:bookmarkEnd w:id="15"/>
    </w:p>
    <w:p w:rsidR="007D7CE6" w:rsidRPr="00F203A9" w:rsidRDefault="007D7CE6" w:rsidP="007D7CE6">
      <w:pPr>
        <w:pStyle w:val="PargrafodaLista"/>
        <w:numPr>
          <w:ilvl w:val="0"/>
          <w:numId w:val="2"/>
        </w:numPr>
        <w:tabs>
          <w:tab w:val="left" w:pos="-1985"/>
          <w:tab w:val="left" w:pos="0"/>
          <w:tab w:val="left" w:pos="1418"/>
        </w:tabs>
        <w:spacing w:before="0" w:after="0"/>
        <w:ind w:left="284" w:hanging="284"/>
        <w:contextualSpacing w:val="0"/>
        <w:jc w:val="both"/>
        <w:rPr>
          <w:b w:val="0"/>
          <w:bCs/>
          <w:sz w:val="24"/>
          <w:szCs w:val="24"/>
        </w:rPr>
      </w:pPr>
      <w:bookmarkStart w:id="17" w:name="_Toc520362040"/>
      <w:bookmarkStart w:id="18" w:name="_Toc520405191"/>
      <w:r w:rsidRPr="00D72C42">
        <w:rPr>
          <w:b w:val="0"/>
          <w:spacing w:val="-6"/>
          <w:sz w:val="24"/>
          <w:szCs w:val="24"/>
        </w:rPr>
        <w:t>Objetivando o saneamento das fragilidades detectadas e não elididas no curso da auditoria, rest</w:t>
      </w:r>
      <w:r w:rsidRPr="00447E93">
        <w:rPr>
          <w:b w:val="0"/>
          <w:spacing w:val="-6"/>
          <w:sz w:val="24"/>
          <w:szCs w:val="24"/>
        </w:rPr>
        <w:t>aram</w:t>
      </w:r>
      <w:r w:rsidRPr="00D72C42">
        <w:rPr>
          <w:b w:val="0"/>
          <w:spacing w:val="-6"/>
          <w:sz w:val="24"/>
          <w:szCs w:val="24"/>
        </w:rPr>
        <w:t xml:space="preserve"> </w:t>
      </w:r>
      <w:r w:rsidR="00447E93" w:rsidRPr="00447E93">
        <w:rPr>
          <w:b w:val="0"/>
          <w:spacing w:val="-6"/>
          <w:sz w:val="24"/>
          <w:szCs w:val="24"/>
        </w:rPr>
        <w:t>f</w:t>
      </w:r>
      <w:r w:rsidR="003E0629" w:rsidRPr="00447E93">
        <w:rPr>
          <w:b w:val="0"/>
          <w:spacing w:val="-6"/>
          <w:sz w:val="24"/>
          <w:szCs w:val="24"/>
        </w:rPr>
        <w:t xml:space="preserve">ormulados </w:t>
      </w:r>
      <w:r w:rsidRPr="00D72C42">
        <w:rPr>
          <w:b w:val="0"/>
          <w:spacing w:val="-6"/>
          <w:sz w:val="24"/>
          <w:szCs w:val="24"/>
        </w:rPr>
        <w:t xml:space="preserve">encaminhamentos saneadores visando à: </w:t>
      </w:r>
      <w:bookmarkStart w:id="19" w:name="_Toc511288057"/>
      <w:bookmarkEnd w:id="16"/>
      <w:r w:rsidR="009B7AC8" w:rsidRPr="00447E93">
        <w:rPr>
          <w:b w:val="0"/>
          <w:spacing w:val="-6"/>
          <w:sz w:val="24"/>
          <w:szCs w:val="24"/>
        </w:rPr>
        <w:t xml:space="preserve">proposição </w:t>
      </w:r>
      <w:r w:rsidR="009B7AC8" w:rsidRPr="00D72C42">
        <w:rPr>
          <w:b w:val="0"/>
          <w:spacing w:val="-6"/>
          <w:sz w:val="24"/>
          <w:szCs w:val="24"/>
        </w:rPr>
        <w:t>de</w:t>
      </w:r>
      <w:r w:rsidR="00D72C42" w:rsidRPr="00D72C42">
        <w:rPr>
          <w:b w:val="0"/>
          <w:spacing w:val="-6"/>
          <w:sz w:val="24"/>
          <w:szCs w:val="24"/>
        </w:rPr>
        <w:t xml:space="preserve"> </w:t>
      </w:r>
      <w:r w:rsidRPr="00D72C42">
        <w:rPr>
          <w:b w:val="0"/>
          <w:sz w:val="24"/>
          <w:szCs w:val="24"/>
        </w:rPr>
        <w:t>medidas destinadas a contornar a reduzida capacidade operacional da unidade de modo a assegurar o dimensionamento da força de trabalho de todas as unidades administrativas e judiciárias do TRE-BA, preferencialmente, na primeira metade do ciclo do planejamento estratégico de referência</w:t>
      </w:r>
      <w:r w:rsidR="005E53EC">
        <w:rPr>
          <w:b w:val="0"/>
          <w:sz w:val="24"/>
          <w:szCs w:val="24"/>
        </w:rPr>
        <w:t xml:space="preserve">; </w:t>
      </w:r>
      <w:r w:rsidR="009B7AC8" w:rsidRPr="007A15EB">
        <w:rPr>
          <w:b w:val="0"/>
          <w:sz w:val="24"/>
          <w:szCs w:val="24"/>
        </w:rPr>
        <w:t xml:space="preserve">instituição de </w:t>
      </w:r>
      <w:r w:rsidRPr="007A15EB">
        <w:rPr>
          <w:b w:val="0"/>
          <w:sz w:val="24"/>
          <w:szCs w:val="24"/>
        </w:rPr>
        <w:t xml:space="preserve">normativo destinado a regulamentar a distribuição e equalização da força de trabalho, no âmbito da Secretaria do Tribunal e Cartórios das Zonas Eleitorais, contemplando, inclusive, critérios referenciais ideais atinentes ao perfil quantitativo e qualitativo da </w:t>
      </w:r>
      <w:r w:rsidR="00605D11" w:rsidRPr="007A15EB">
        <w:rPr>
          <w:b w:val="0"/>
          <w:sz w:val="24"/>
          <w:szCs w:val="24"/>
        </w:rPr>
        <w:t>força de trabalho</w:t>
      </w:r>
      <w:r w:rsidR="007A15EB" w:rsidRPr="003E0629">
        <w:rPr>
          <w:b w:val="0"/>
          <w:sz w:val="24"/>
          <w:szCs w:val="24"/>
        </w:rPr>
        <w:t>;</w:t>
      </w:r>
      <w:r w:rsidR="00605D11" w:rsidRPr="003E0629">
        <w:rPr>
          <w:b w:val="0"/>
          <w:sz w:val="24"/>
          <w:szCs w:val="24"/>
        </w:rPr>
        <w:t xml:space="preserve"> </w:t>
      </w:r>
      <w:r w:rsidR="009B7AC8" w:rsidRPr="007A15EB">
        <w:rPr>
          <w:b w:val="0"/>
          <w:sz w:val="24"/>
          <w:szCs w:val="24"/>
        </w:rPr>
        <w:t xml:space="preserve">instituição e implementação de </w:t>
      </w:r>
      <w:r w:rsidRPr="007A15EB">
        <w:rPr>
          <w:b w:val="0"/>
          <w:sz w:val="24"/>
          <w:szCs w:val="24"/>
        </w:rPr>
        <w:t>mecanismos de monitoramento periódico do DFT apurado e respectivas recomendações formuladas, de modo a instrumentalizar a gestão da força de trabalho organizacional por meio do fornecimento de informações gerenciais íntegras, tempestivas e atualizadas;</w:t>
      </w:r>
      <w:r w:rsidR="009C4569" w:rsidRPr="007A15EB">
        <w:rPr>
          <w:b w:val="0"/>
          <w:sz w:val="24"/>
          <w:szCs w:val="24"/>
        </w:rPr>
        <w:t xml:space="preserve"> elaboração do Plano de Tratamento de Riscos a que se refere o art. 23 da Resolução Administrativa TRE-BA nº 16/2018, contemplando riscos associados ao processo de dimensionamento da força de trabalho, assegurando </w:t>
      </w:r>
      <w:r w:rsidR="005E53EC" w:rsidRPr="00447E93">
        <w:rPr>
          <w:b w:val="0"/>
          <w:sz w:val="24"/>
          <w:szCs w:val="24"/>
        </w:rPr>
        <w:t>sua efetiva implementação</w:t>
      </w:r>
      <w:r w:rsidR="00BD5035" w:rsidRPr="007A15EB">
        <w:rPr>
          <w:b w:val="0"/>
          <w:sz w:val="24"/>
          <w:szCs w:val="24"/>
        </w:rPr>
        <w:t>;</w:t>
      </w:r>
      <w:r w:rsidR="009B7AC8" w:rsidRPr="007A15EB">
        <w:rPr>
          <w:b w:val="0"/>
          <w:sz w:val="24"/>
          <w:szCs w:val="24"/>
        </w:rPr>
        <w:t xml:space="preserve"> documentação d</w:t>
      </w:r>
      <w:r w:rsidR="009C4569" w:rsidRPr="007A15EB">
        <w:rPr>
          <w:b w:val="0"/>
          <w:sz w:val="24"/>
          <w:szCs w:val="24"/>
        </w:rPr>
        <w:t>a metodologia utilizada na realização do dimensionamento da força de trabalho, de modo a padronizar procedimentos e modelos pertinentes e formalizar controles instituídos;</w:t>
      </w:r>
      <w:r w:rsidR="007A15EB" w:rsidRPr="007A15EB">
        <w:rPr>
          <w:b w:val="0"/>
          <w:sz w:val="24"/>
          <w:szCs w:val="24"/>
        </w:rPr>
        <w:t xml:space="preserve"> </w:t>
      </w:r>
      <w:r w:rsidR="005E53EC">
        <w:rPr>
          <w:b w:val="0"/>
          <w:sz w:val="24"/>
          <w:szCs w:val="24"/>
        </w:rPr>
        <w:t>f</w:t>
      </w:r>
      <w:r w:rsidRPr="007A15EB">
        <w:rPr>
          <w:b w:val="0"/>
          <w:sz w:val="24"/>
          <w:szCs w:val="24"/>
        </w:rPr>
        <w:t>ormaliz</w:t>
      </w:r>
      <w:r w:rsidR="00D72C42" w:rsidRPr="007A15EB">
        <w:rPr>
          <w:b w:val="0"/>
          <w:sz w:val="24"/>
          <w:szCs w:val="24"/>
        </w:rPr>
        <w:t>ação d</w:t>
      </w:r>
      <w:r w:rsidRPr="007A15EB">
        <w:rPr>
          <w:b w:val="0"/>
          <w:sz w:val="24"/>
          <w:szCs w:val="24"/>
        </w:rPr>
        <w:t xml:space="preserve">e plano de gestão do dimensionamento da força de trabalho, de modo a viabilizar o </w:t>
      </w:r>
      <w:r w:rsidRPr="007A15EB">
        <w:rPr>
          <w:b w:val="0"/>
          <w:sz w:val="24"/>
          <w:szCs w:val="24"/>
        </w:rPr>
        <w:lastRenderedPageBreak/>
        <w:t>gerenciamento dos resultados e recomendações do DFT e a implementação de ações e intervenções necessárias ao aumento da eficiência, eficácia e efetividade organizacional</w:t>
      </w:r>
      <w:r w:rsidR="007A15EB">
        <w:rPr>
          <w:b w:val="0"/>
          <w:sz w:val="24"/>
          <w:szCs w:val="24"/>
        </w:rPr>
        <w:t xml:space="preserve">; </w:t>
      </w:r>
      <w:r w:rsidRPr="007A15EB">
        <w:rPr>
          <w:b w:val="0"/>
          <w:sz w:val="24"/>
          <w:szCs w:val="24"/>
        </w:rPr>
        <w:t>institu</w:t>
      </w:r>
      <w:r w:rsidR="00D72C42" w:rsidRPr="007A15EB">
        <w:rPr>
          <w:b w:val="0"/>
          <w:sz w:val="24"/>
          <w:szCs w:val="24"/>
        </w:rPr>
        <w:t>ição de</w:t>
      </w:r>
      <w:r w:rsidRPr="007A15EB">
        <w:rPr>
          <w:b w:val="0"/>
          <w:sz w:val="24"/>
          <w:szCs w:val="24"/>
        </w:rPr>
        <w:t xml:space="preserve"> rotina de comunicação formal, às unidades dimensionadas, quanto aos resultados apurados em dimensionamento da força de trabalho, de modo a viabilizar a efetiva utilização das informações consignadas por todos os gestores das áreas</w:t>
      </w:r>
      <w:r w:rsidR="006E1ECE" w:rsidRPr="007A15EB">
        <w:rPr>
          <w:b w:val="0"/>
          <w:sz w:val="24"/>
          <w:szCs w:val="24"/>
        </w:rPr>
        <w:t xml:space="preserve"> envolvidas; </w:t>
      </w:r>
      <w:r w:rsidR="00D72C42" w:rsidRPr="007A15EB">
        <w:rPr>
          <w:b w:val="0"/>
          <w:sz w:val="24"/>
          <w:szCs w:val="24"/>
        </w:rPr>
        <w:t xml:space="preserve">criação de </w:t>
      </w:r>
      <w:r w:rsidRPr="007A15EB">
        <w:rPr>
          <w:b w:val="0"/>
          <w:sz w:val="24"/>
          <w:szCs w:val="24"/>
        </w:rPr>
        <w:t xml:space="preserve">plano </w:t>
      </w:r>
      <w:proofErr w:type="gramStart"/>
      <w:r w:rsidRPr="007A15EB">
        <w:rPr>
          <w:b w:val="0"/>
          <w:sz w:val="24"/>
          <w:szCs w:val="24"/>
        </w:rPr>
        <w:t>de</w:t>
      </w:r>
      <w:proofErr w:type="gramEnd"/>
      <w:r w:rsidRPr="007A15EB">
        <w:rPr>
          <w:b w:val="0"/>
          <w:sz w:val="24"/>
          <w:szCs w:val="24"/>
        </w:rPr>
        <w:t xml:space="preserve"> </w:t>
      </w:r>
      <w:proofErr w:type="gramStart"/>
      <w:r w:rsidRPr="007A15EB">
        <w:rPr>
          <w:b w:val="0"/>
          <w:sz w:val="24"/>
          <w:szCs w:val="24"/>
        </w:rPr>
        <w:t>ação</w:t>
      </w:r>
      <w:proofErr w:type="gramEnd"/>
      <w:r w:rsidRPr="007A15EB">
        <w:rPr>
          <w:b w:val="0"/>
          <w:sz w:val="24"/>
          <w:szCs w:val="24"/>
        </w:rPr>
        <w:t>, contemplando medidas voltadas à reposição da força de trabalho em virtude de vacância de cargo público decorrente de aposentadoria voluntária, compulsória ou por motivo de saúde</w:t>
      </w:r>
      <w:r w:rsidR="00F203A9" w:rsidRPr="00F203A9">
        <w:rPr>
          <w:b w:val="0"/>
          <w:color w:val="0000CC"/>
          <w:sz w:val="24"/>
          <w:szCs w:val="24"/>
        </w:rPr>
        <w:t>;</w:t>
      </w:r>
      <w:r w:rsidRPr="007A15EB">
        <w:rPr>
          <w:b w:val="0"/>
          <w:sz w:val="24"/>
          <w:szCs w:val="24"/>
        </w:rPr>
        <w:t xml:space="preserve"> e identificação, mapeamento de competências e planejamento para </w:t>
      </w:r>
      <w:r w:rsidRPr="007A15EB">
        <w:rPr>
          <w:b w:val="0"/>
          <w:bCs/>
          <w:sz w:val="24"/>
          <w:szCs w:val="24"/>
        </w:rPr>
        <w:t>formação de sucessores e reposição da força de trabalho associada a ocupações críticas</w:t>
      </w:r>
      <w:r w:rsidR="003145B5" w:rsidRPr="00F203A9">
        <w:rPr>
          <w:b w:val="0"/>
          <w:bCs/>
          <w:sz w:val="24"/>
          <w:szCs w:val="24"/>
        </w:rPr>
        <w:t>.</w:t>
      </w:r>
      <w:bookmarkEnd w:id="17"/>
      <w:bookmarkEnd w:id="18"/>
      <w:r w:rsidR="007A15EB" w:rsidRPr="00F203A9">
        <w:rPr>
          <w:b w:val="0"/>
          <w:bCs/>
          <w:sz w:val="24"/>
          <w:szCs w:val="24"/>
        </w:rPr>
        <w:t xml:space="preserve"> </w:t>
      </w:r>
    </w:p>
    <w:p w:rsidR="007D7CE6" w:rsidRPr="00B128BB" w:rsidRDefault="007D7CE6" w:rsidP="007D7CE6">
      <w:pPr>
        <w:pStyle w:val="TextosemFormatao"/>
        <w:rPr>
          <w:color w:val="548DD4" w:themeColor="text2" w:themeTint="99"/>
          <w:lang w:eastAsia="pt-BR"/>
        </w:rPr>
      </w:pPr>
    </w:p>
    <w:p w:rsidR="00F203A9" w:rsidRDefault="007D7CE6" w:rsidP="00F203A9">
      <w:pPr>
        <w:pStyle w:val="PargrafodaLista"/>
        <w:numPr>
          <w:ilvl w:val="0"/>
          <w:numId w:val="2"/>
        </w:numPr>
        <w:tabs>
          <w:tab w:val="left" w:pos="-1985"/>
          <w:tab w:val="left" w:pos="0"/>
          <w:tab w:val="left" w:pos="1418"/>
        </w:tabs>
        <w:spacing w:before="0"/>
        <w:ind w:left="284" w:hanging="284"/>
        <w:contextualSpacing w:val="0"/>
        <w:jc w:val="both"/>
        <w:rPr>
          <w:b w:val="0"/>
          <w:color w:val="0D0D0D" w:themeColor="text1" w:themeTint="F2"/>
          <w:sz w:val="24"/>
          <w:szCs w:val="24"/>
        </w:rPr>
      </w:pPr>
      <w:bookmarkStart w:id="20" w:name="_Toc520362041"/>
      <w:bookmarkStart w:id="21" w:name="_Toc520405192"/>
      <w:r w:rsidRPr="00F203A9">
        <w:rPr>
          <w:b w:val="0"/>
          <w:color w:val="0D0D0D" w:themeColor="text1" w:themeTint="F2"/>
          <w:sz w:val="24"/>
          <w:szCs w:val="24"/>
        </w:rPr>
        <w:t xml:space="preserve">A apresentação dos resultados </w:t>
      </w:r>
      <w:proofErr w:type="gramStart"/>
      <w:r w:rsidRPr="00F203A9">
        <w:rPr>
          <w:b w:val="0"/>
          <w:color w:val="0D0D0D" w:themeColor="text1" w:themeTint="F2"/>
          <w:sz w:val="24"/>
          <w:szCs w:val="24"/>
        </w:rPr>
        <w:t>da presente</w:t>
      </w:r>
      <w:proofErr w:type="gramEnd"/>
      <w:r w:rsidRPr="00F203A9">
        <w:rPr>
          <w:b w:val="0"/>
          <w:color w:val="0D0D0D" w:themeColor="text1" w:themeTint="F2"/>
          <w:sz w:val="24"/>
          <w:szCs w:val="24"/>
        </w:rPr>
        <w:t xml:space="preserve"> auditoria, com a sinalização de diagnóstico e proposição de encaminhamentos saneadores, representa, para a Alta Administração do TRE-BA, relevante oportunidade de aperfeiçoamento da governança e gestão da força de trabalho e aprimoramento das respectivas sistemáticas de controle, a fim de assegurar maior conformidade, eficiência, eficácia, economicidade e transparência à gestão da força de trabalho, maximizando, assim, o desempenho da referida área, estratégica para </w:t>
      </w:r>
      <w:bookmarkEnd w:id="19"/>
      <w:r w:rsidRPr="00F203A9">
        <w:rPr>
          <w:b w:val="0"/>
          <w:color w:val="0D0D0D" w:themeColor="text1" w:themeTint="F2"/>
          <w:sz w:val="24"/>
          <w:szCs w:val="24"/>
        </w:rPr>
        <w:t>a concretização da missão e o alcance da visão de futuro organizacionais.</w:t>
      </w:r>
      <w:bookmarkEnd w:id="20"/>
      <w:bookmarkEnd w:id="21"/>
    </w:p>
    <w:p w:rsidR="00F203A9" w:rsidRDefault="00F203A9" w:rsidP="00F203A9">
      <w:pPr>
        <w:pStyle w:val="TextosemFormatao"/>
        <w:rPr>
          <w:lang w:eastAsia="pt-BR"/>
        </w:rPr>
      </w:pPr>
    </w:p>
    <w:p w:rsidR="00F203A9" w:rsidRDefault="00F203A9" w:rsidP="00F203A9">
      <w:pPr>
        <w:pStyle w:val="TextosemFormatao"/>
        <w:rPr>
          <w:lang w:eastAsia="pt-BR"/>
        </w:rPr>
        <w:sectPr w:rsidR="00F203A9" w:rsidSect="00971AD9">
          <w:footerReference w:type="first" r:id="rId16"/>
          <w:pgSz w:w="11906" w:h="16838" w:code="9"/>
          <w:pgMar w:top="1701" w:right="1418" w:bottom="1701" w:left="1418" w:header="709" w:footer="709" w:gutter="0"/>
          <w:pgNumType w:start="4"/>
          <w:cols w:space="708"/>
          <w:titlePg/>
          <w:docGrid w:linePitch="360"/>
        </w:sectPr>
      </w:pPr>
    </w:p>
    <w:p w:rsidR="00A97070" w:rsidRPr="00FC34B2" w:rsidRDefault="00A97070" w:rsidP="009C2E4A">
      <w:pPr>
        <w:tabs>
          <w:tab w:val="left" w:pos="-1985"/>
          <w:tab w:val="left" w:pos="0"/>
          <w:tab w:val="left" w:pos="1418"/>
        </w:tabs>
        <w:spacing w:after="0" w:line="240" w:lineRule="auto"/>
        <w:jc w:val="center"/>
        <w:rPr>
          <w:rFonts w:ascii="Times New Roman" w:hAnsi="Times New Roman" w:cs="Times New Roman"/>
          <w:b/>
          <w:sz w:val="28"/>
          <w:szCs w:val="28"/>
        </w:rPr>
      </w:pPr>
      <w:r w:rsidRPr="00FC34B2">
        <w:rPr>
          <w:rFonts w:ascii="Times New Roman" w:hAnsi="Times New Roman" w:cs="Times New Roman"/>
          <w:b/>
          <w:sz w:val="28"/>
          <w:szCs w:val="28"/>
        </w:rPr>
        <w:lastRenderedPageBreak/>
        <w:t>Lista de Siglas</w:t>
      </w:r>
    </w:p>
    <w:p w:rsidR="00BF0800" w:rsidRDefault="00BF0800" w:rsidP="00A97070">
      <w:pPr>
        <w:spacing w:line="240" w:lineRule="auto"/>
        <w:rPr>
          <w:rFonts w:ascii="Times New Roman" w:hAnsi="Times New Roman" w:cs="Times New Roman"/>
          <w:sz w:val="24"/>
          <w:szCs w:val="24"/>
        </w:rPr>
      </w:pPr>
    </w:p>
    <w:p w:rsidR="009C2E4A" w:rsidRDefault="009C2E4A" w:rsidP="00DD6B12">
      <w:pPr>
        <w:spacing w:after="0" w:line="240" w:lineRule="auto"/>
        <w:jc w:val="both"/>
        <w:rPr>
          <w:rFonts w:ascii="Times New Roman" w:hAnsi="Times New Roman" w:cs="Times New Roman"/>
          <w:sz w:val="24"/>
          <w:szCs w:val="24"/>
        </w:rPr>
        <w:sectPr w:rsidR="009C2E4A" w:rsidSect="000A17BF">
          <w:pgSz w:w="11906" w:h="16838" w:code="9"/>
          <w:pgMar w:top="1701" w:right="1418" w:bottom="1701" w:left="1418" w:header="709" w:footer="709" w:gutter="0"/>
          <w:pgNumType w:start="3"/>
          <w:cols w:space="708"/>
          <w:titlePg/>
          <w:docGrid w:linePitch="360"/>
        </w:sectPr>
      </w:pPr>
    </w:p>
    <w:p w:rsidR="00A97070" w:rsidRPr="009C2E4A" w:rsidRDefault="00A97070" w:rsidP="00DD6B12">
      <w:pPr>
        <w:spacing w:after="0" w:line="240" w:lineRule="auto"/>
        <w:jc w:val="both"/>
        <w:rPr>
          <w:rFonts w:ascii="Times New Roman" w:hAnsi="Times New Roman" w:cs="Times New Roman"/>
          <w:spacing w:val="-6"/>
          <w:sz w:val="24"/>
          <w:szCs w:val="24"/>
        </w:rPr>
      </w:pPr>
      <w:r w:rsidRPr="009C2E4A">
        <w:rPr>
          <w:rFonts w:ascii="Times New Roman" w:hAnsi="Times New Roman" w:cs="Times New Roman"/>
          <w:spacing w:val="-6"/>
          <w:sz w:val="24"/>
          <w:szCs w:val="24"/>
        </w:rPr>
        <w:lastRenderedPageBreak/>
        <w:t xml:space="preserve">ABNT </w:t>
      </w:r>
      <w:r w:rsidR="00F203A9" w:rsidRPr="009C2E4A">
        <w:rPr>
          <w:rFonts w:ascii="Times New Roman" w:hAnsi="Times New Roman" w:cs="Times New Roman"/>
          <w:spacing w:val="-6"/>
          <w:sz w:val="24"/>
          <w:szCs w:val="24"/>
        </w:rPr>
        <w:t>–</w:t>
      </w:r>
      <w:r w:rsidRPr="009C2E4A">
        <w:rPr>
          <w:rFonts w:ascii="Times New Roman" w:hAnsi="Times New Roman" w:cs="Times New Roman"/>
          <w:spacing w:val="-6"/>
          <w:sz w:val="24"/>
          <w:szCs w:val="24"/>
        </w:rPr>
        <w:t xml:space="preserve"> Associação Brasileira de Normas Técnicas</w:t>
      </w:r>
      <w:r w:rsidR="009C2E4A">
        <w:rPr>
          <w:rFonts w:ascii="Times New Roman" w:hAnsi="Times New Roman" w:cs="Times New Roman"/>
          <w:spacing w:val="-6"/>
          <w:sz w:val="24"/>
          <w:szCs w:val="24"/>
        </w:rPr>
        <w:t>.</w:t>
      </w:r>
    </w:p>
    <w:p w:rsidR="00A97070" w:rsidRPr="009C2E4A" w:rsidRDefault="00A97070" w:rsidP="00DD6B12">
      <w:pPr>
        <w:spacing w:after="0" w:line="240" w:lineRule="auto"/>
        <w:jc w:val="both"/>
        <w:rPr>
          <w:rFonts w:ascii="Times New Roman" w:eastAsia="Calibri" w:hAnsi="Times New Roman" w:cs="Times New Roman"/>
          <w:sz w:val="24"/>
          <w:szCs w:val="24"/>
        </w:rPr>
      </w:pPr>
      <w:r w:rsidRPr="009C2E4A">
        <w:rPr>
          <w:rFonts w:ascii="Times New Roman" w:eastAsia="Calibri" w:hAnsi="Times New Roman" w:cs="Times New Roman"/>
          <w:sz w:val="24"/>
          <w:szCs w:val="24"/>
        </w:rPr>
        <w:t>ABR</w:t>
      </w:r>
      <w:r w:rsidR="00F203A9" w:rsidRPr="009C2E4A">
        <w:rPr>
          <w:rFonts w:ascii="Times New Roman" w:hAnsi="Times New Roman" w:cs="Times New Roman"/>
          <w:sz w:val="24"/>
          <w:szCs w:val="24"/>
        </w:rPr>
        <w:t>–</w:t>
      </w:r>
      <w:r w:rsidRPr="009C2E4A">
        <w:rPr>
          <w:rFonts w:ascii="Times New Roman" w:eastAsia="Calibri" w:hAnsi="Times New Roman" w:cs="Times New Roman"/>
          <w:sz w:val="24"/>
          <w:szCs w:val="24"/>
        </w:rPr>
        <w:t xml:space="preserve"> Abordagem Baseada em Risco</w:t>
      </w:r>
      <w:r w:rsidR="00BF0800" w:rsidRPr="009C2E4A">
        <w:rPr>
          <w:rFonts w:ascii="Times New Roman" w:eastAsia="Calibri" w:hAnsi="Times New Roman" w:cs="Times New Roman"/>
          <w:sz w:val="24"/>
          <w:szCs w:val="24"/>
        </w:rPr>
        <w:t>s</w:t>
      </w:r>
      <w:r w:rsidR="009C2E4A">
        <w:rPr>
          <w:rFonts w:ascii="Times New Roman" w:eastAsia="Calibri"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ADM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Administrativo</w:t>
      </w:r>
      <w:r w:rsidR="009C2E4A">
        <w:rPr>
          <w:rFonts w:ascii="Times New Roman" w:hAnsi="Times New Roman" w:cs="Times New Roman"/>
          <w:sz w:val="24"/>
          <w:szCs w:val="24"/>
        </w:rPr>
        <w:t>.</w:t>
      </w:r>
    </w:p>
    <w:p w:rsidR="00DD6B12" w:rsidRPr="009C2E4A" w:rsidRDefault="00DD6B12" w:rsidP="00DD6B12">
      <w:pPr>
        <w:pStyle w:val="Default"/>
        <w:ind w:right="-3738"/>
        <w:jc w:val="both"/>
        <w:rPr>
          <w:b/>
          <w:bCs/>
          <w:color w:val="auto"/>
        </w:rPr>
      </w:pPr>
      <w:r w:rsidRPr="009C2E4A">
        <w:rPr>
          <w:color w:val="auto"/>
        </w:rPr>
        <w:t xml:space="preserve">ASCEP </w:t>
      </w:r>
      <w:r w:rsidRPr="009C2E4A">
        <w:t>–</w:t>
      </w:r>
      <w:r w:rsidRPr="009C2E4A">
        <w:rPr>
          <w:color w:val="auto"/>
        </w:rPr>
        <w:t xml:space="preserve"> Assessoria de Exame de Contas Eleitorais e Partidárias</w:t>
      </w:r>
      <w:r w:rsidR="009C2E4A" w:rsidRPr="009C2E4A">
        <w:rPr>
          <w:bCs/>
          <w:color w:val="auto"/>
        </w:rPr>
        <w:t>.</w:t>
      </w:r>
    </w:p>
    <w:p w:rsidR="00564F19"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ASCOM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Assessoria de Comunicação</w:t>
      </w:r>
      <w:r w:rsidR="00564F19">
        <w:rPr>
          <w:rFonts w:ascii="Times New Roman" w:hAnsi="Times New Roman" w:cs="Times New Roman"/>
          <w:sz w:val="24"/>
          <w:szCs w:val="24"/>
        </w:rPr>
        <w:t xml:space="preserve"> Social e Cerimonial</w:t>
      </w:r>
      <w:r w:rsidR="009C2E4A">
        <w:rPr>
          <w:rFonts w:ascii="Times New Roman" w:hAnsi="Times New Roman" w:cs="Times New Roman"/>
          <w:sz w:val="24"/>
          <w:szCs w:val="24"/>
        </w:rPr>
        <w:t xml:space="preserve">. </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ASJUR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Assessoria Jurídica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ASSESD</w:t>
      </w:r>
      <w:r w:rsidR="00F203A9" w:rsidRPr="009C2E4A">
        <w:rPr>
          <w:rFonts w:ascii="Times New Roman" w:hAnsi="Times New Roman" w:cs="Times New Roman"/>
          <w:sz w:val="24"/>
          <w:szCs w:val="24"/>
        </w:rPr>
        <w:t xml:space="preserve"> –</w:t>
      </w:r>
      <w:r w:rsidRPr="009C2E4A">
        <w:rPr>
          <w:rFonts w:ascii="Times New Roman" w:hAnsi="Times New Roman" w:cs="Times New Roman"/>
          <w:sz w:val="24"/>
          <w:szCs w:val="24"/>
        </w:rPr>
        <w:t xml:space="preserve"> Assessoria Especial da Diretoria Geral</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ASSESP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Assessoria Especial da Presidência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CJ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Cargo em Comissão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CNJ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Conselho Nacional de Justiça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COASA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Coordenadoria de Atenção à Saúde</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COAUD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Coordenadoria de Auditoria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eastAsia="Calibri" w:hAnsi="Times New Roman" w:cs="Times New Roman"/>
          <w:sz w:val="24"/>
          <w:szCs w:val="24"/>
        </w:rPr>
      </w:pPr>
      <w:r w:rsidRPr="009C2E4A">
        <w:rPr>
          <w:rFonts w:ascii="Times New Roman" w:eastAsia="Calibri" w:hAnsi="Times New Roman" w:cs="Times New Roman"/>
          <w:sz w:val="24"/>
          <w:szCs w:val="24"/>
        </w:rPr>
        <w:t xml:space="preserve">COEDE </w:t>
      </w:r>
      <w:r w:rsidR="00F203A9" w:rsidRPr="009C2E4A">
        <w:rPr>
          <w:rFonts w:ascii="Times New Roman" w:hAnsi="Times New Roman" w:cs="Times New Roman"/>
          <w:sz w:val="24"/>
          <w:szCs w:val="24"/>
        </w:rPr>
        <w:t>–</w:t>
      </w:r>
      <w:r w:rsidRPr="009C2E4A">
        <w:rPr>
          <w:rFonts w:ascii="Times New Roman" w:eastAsia="Calibri" w:hAnsi="Times New Roman" w:cs="Times New Roman"/>
          <w:sz w:val="24"/>
          <w:szCs w:val="24"/>
        </w:rPr>
        <w:t xml:space="preserve"> </w:t>
      </w:r>
      <w:r w:rsidRPr="009C2E4A">
        <w:rPr>
          <w:rFonts w:ascii="Times New Roman" w:hAnsi="Times New Roman" w:cs="Times New Roman"/>
          <w:sz w:val="24"/>
          <w:szCs w:val="24"/>
        </w:rPr>
        <w:t>Coordenadoria de Educação e Desenvolvimento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COELE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Coordenadoria de Eleições e de Logística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COELOG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Coordenadoria de Eleições e de Logística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COEPA </w:t>
      </w:r>
      <w:r w:rsidR="00F203A9" w:rsidRPr="009C2E4A">
        <w:rPr>
          <w:rFonts w:ascii="Times New Roman" w:hAnsi="Times New Roman" w:cs="Times New Roman"/>
          <w:sz w:val="24"/>
          <w:szCs w:val="24"/>
        </w:rPr>
        <w:t>–</w:t>
      </w:r>
      <w:r w:rsidR="00D7036F">
        <w:rPr>
          <w:rFonts w:ascii="Times New Roman" w:hAnsi="Times New Roman" w:cs="Times New Roman"/>
          <w:sz w:val="24"/>
          <w:szCs w:val="24"/>
        </w:rPr>
        <w:t xml:space="preserve"> </w:t>
      </w:r>
      <w:r w:rsidRPr="009C2E4A">
        <w:rPr>
          <w:rFonts w:ascii="Times New Roman" w:hAnsi="Times New Roman" w:cs="Times New Roman"/>
          <w:sz w:val="24"/>
          <w:szCs w:val="24"/>
        </w:rPr>
        <w:t>Coordenadoria de Contas Eleitorais e Partidárias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COFIC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Coordenadoria de Finanças e Contabilidade</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COGED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Coordenadoria de Gestão da Informação, Documentação e Memória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COGELIC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Coordenadoria de Gestão de Aquisições, Licitações e Contratos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COGES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Coordenadoria de Orientação e Acompanhamento da Gestão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COMAP</w:t>
      </w:r>
      <w:r w:rsidR="00F203A9" w:rsidRPr="009C2E4A">
        <w:rPr>
          <w:rFonts w:ascii="Times New Roman" w:hAnsi="Times New Roman" w:cs="Times New Roman"/>
          <w:sz w:val="24"/>
          <w:szCs w:val="24"/>
        </w:rPr>
        <w:t xml:space="preserve"> –</w:t>
      </w:r>
      <w:r w:rsidRPr="009C2E4A">
        <w:rPr>
          <w:rFonts w:ascii="Times New Roman" w:hAnsi="Times New Roman" w:cs="Times New Roman"/>
          <w:sz w:val="24"/>
          <w:szCs w:val="24"/>
        </w:rPr>
        <w:t xml:space="preserve"> Coordenadoria de Gestão e Patrimônio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COORC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Coordenadoria de Orçamento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eastAsia="Calibri" w:hAnsi="Times New Roman" w:cs="Times New Roman"/>
          <w:color w:val="000000" w:themeColor="text1"/>
          <w:sz w:val="24"/>
          <w:szCs w:val="24"/>
        </w:rPr>
      </w:pPr>
      <w:r w:rsidRPr="009C2E4A">
        <w:rPr>
          <w:rFonts w:ascii="Times New Roman" w:hAnsi="Times New Roman" w:cs="Times New Roman"/>
          <w:color w:val="000000" w:themeColor="text1"/>
          <w:sz w:val="24"/>
          <w:szCs w:val="24"/>
        </w:rPr>
        <w:t xml:space="preserve">COPEG </w:t>
      </w:r>
      <w:r w:rsidR="00F203A9" w:rsidRPr="009C2E4A">
        <w:rPr>
          <w:rFonts w:ascii="Times New Roman" w:hAnsi="Times New Roman" w:cs="Times New Roman"/>
          <w:sz w:val="24"/>
          <w:szCs w:val="24"/>
        </w:rPr>
        <w:t>–</w:t>
      </w:r>
      <w:r w:rsidRPr="009C2E4A">
        <w:rPr>
          <w:rFonts w:ascii="Times New Roman" w:hAnsi="Times New Roman" w:cs="Times New Roman"/>
          <w:color w:val="000000" w:themeColor="text1"/>
          <w:sz w:val="24"/>
          <w:szCs w:val="24"/>
        </w:rPr>
        <w:t xml:space="preserve"> </w:t>
      </w:r>
      <w:r w:rsidRPr="009C2E4A">
        <w:rPr>
          <w:rFonts w:ascii="Times New Roman" w:eastAsia="Calibri" w:hAnsi="Times New Roman" w:cs="Times New Roman"/>
          <w:color w:val="000000" w:themeColor="text1"/>
          <w:sz w:val="24"/>
          <w:szCs w:val="24"/>
        </w:rPr>
        <w:t>Coordenadoria de Planejamento, Estratégia e Gestão</w:t>
      </w:r>
      <w:r w:rsidR="009C2E4A">
        <w:rPr>
          <w:rFonts w:ascii="Times New Roman" w:eastAsia="Calibri" w:hAnsi="Times New Roman" w:cs="Times New Roman"/>
          <w:color w:val="000000" w:themeColor="text1"/>
          <w:sz w:val="24"/>
          <w:szCs w:val="24"/>
        </w:rPr>
        <w:t>.</w:t>
      </w:r>
    </w:p>
    <w:p w:rsidR="00A97070" w:rsidRPr="009C2E4A" w:rsidRDefault="00A97070" w:rsidP="00DD6B12">
      <w:pPr>
        <w:spacing w:after="0" w:line="240" w:lineRule="auto"/>
        <w:jc w:val="both"/>
        <w:rPr>
          <w:rFonts w:ascii="Times New Roman" w:hAnsi="Times New Roman" w:cs="Times New Roman"/>
          <w:color w:val="000000" w:themeColor="text1"/>
          <w:sz w:val="24"/>
          <w:szCs w:val="24"/>
        </w:rPr>
      </w:pPr>
      <w:r w:rsidRPr="009C2E4A">
        <w:rPr>
          <w:rFonts w:ascii="Times New Roman" w:hAnsi="Times New Roman" w:cs="Times New Roman"/>
          <w:color w:val="000000" w:themeColor="text1"/>
          <w:sz w:val="24"/>
          <w:szCs w:val="24"/>
        </w:rPr>
        <w:t xml:space="preserve">COPES </w:t>
      </w:r>
      <w:r w:rsidR="00F203A9" w:rsidRPr="009C2E4A">
        <w:rPr>
          <w:rFonts w:ascii="Times New Roman" w:hAnsi="Times New Roman" w:cs="Times New Roman"/>
          <w:sz w:val="24"/>
          <w:szCs w:val="24"/>
        </w:rPr>
        <w:t>–</w:t>
      </w:r>
      <w:r w:rsidRPr="009C2E4A">
        <w:rPr>
          <w:rFonts w:ascii="Times New Roman" w:hAnsi="Times New Roman" w:cs="Times New Roman"/>
          <w:color w:val="000000" w:themeColor="text1"/>
          <w:sz w:val="24"/>
          <w:szCs w:val="24"/>
        </w:rPr>
        <w:t xml:space="preserve"> Coordenadoria de Pessoal</w:t>
      </w:r>
      <w:r w:rsidR="009C2E4A">
        <w:rPr>
          <w:rFonts w:ascii="Times New Roman" w:hAnsi="Times New Roman" w:cs="Times New Roman"/>
          <w:color w:val="000000" w:themeColor="text1"/>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COSAD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Coordenadoria de Serviços Administrativos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COSCAD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Coordenadoria de Supervisão do Cadastro e Orientação </w:t>
      </w:r>
      <w:proofErr w:type="gramStart"/>
      <w:r w:rsidRPr="009C2E4A">
        <w:rPr>
          <w:rFonts w:ascii="Times New Roman" w:hAnsi="Times New Roman" w:cs="Times New Roman"/>
          <w:sz w:val="24"/>
          <w:szCs w:val="24"/>
        </w:rPr>
        <w:t>às</w:t>
      </w:r>
      <w:proofErr w:type="gramEnd"/>
      <w:r w:rsidRPr="009C2E4A">
        <w:rPr>
          <w:rFonts w:ascii="Times New Roman" w:hAnsi="Times New Roman" w:cs="Times New Roman"/>
          <w:sz w:val="24"/>
          <w:szCs w:val="24"/>
        </w:rPr>
        <w:t xml:space="preserve"> Zona Eleitorais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COSINF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Coordenadoria de Soluções Corporativas e Infraestrutura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COSUP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Coordenadoria de Equipamento e Suporte</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COTEC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Coordenadoria de Análise Técnica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color w:val="000000" w:themeColor="text1"/>
          <w:sz w:val="24"/>
          <w:szCs w:val="24"/>
        </w:rPr>
      </w:pPr>
      <w:r w:rsidRPr="009C2E4A">
        <w:rPr>
          <w:rFonts w:ascii="Times New Roman" w:hAnsi="Times New Roman" w:cs="Times New Roman"/>
          <w:color w:val="000000" w:themeColor="text1"/>
          <w:sz w:val="24"/>
          <w:szCs w:val="24"/>
        </w:rPr>
        <w:t xml:space="preserve">DFT </w:t>
      </w:r>
      <w:r w:rsidR="00F203A9" w:rsidRPr="009C2E4A">
        <w:rPr>
          <w:rFonts w:ascii="Times New Roman" w:hAnsi="Times New Roman" w:cs="Times New Roman"/>
          <w:sz w:val="24"/>
          <w:szCs w:val="24"/>
        </w:rPr>
        <w:t>–</w:t>
      </w:r>
      <w:r w:rsidRPr="009C2E4A">
        <w:rPr>
          <w:rFonts w:ascii="Times New Roman" w:hAnsi="Times New Roman" w:cs="Times New Roman"/>
          <w:color w:val="000000" w:themeColor="text1"/>
          <w:sz w:val="24"/>
          <w:szCs w:val="24"/>
        </w:rPr>
        <w:t xml:space="preserve"> Dimensionamento da Força de Trabalho</w:t>
      </w:r>
      <w:r w:rsidR="009C2E4A">
        <w:rPr>
          <w:rFonts w:ascii="Times New Roman" w:hAnsi="Times New Roman" w:cs="Times New Roman"/>
          <w:color w:val="000000" w:themeColor="text1"/>
          <w:sz w:val="24"/>
          <w:szCs w:val="24"/>
        </w:rPr>
        <w:t>.</w:t>
      </w:r>
    </w:p>
    <w:p w:rsidR="00A97070" w:rsidRPr="009C2E4A" w:rsidRDefault="00A97070" w:rsidP="00DD6B12">
      <w:pPr>
        <w:spacing w:after="0" w:line="240" w:lineRule="auto"/>
        <w:jc w:val="both"/>
        <w:rPr>
          <w:rFonts w:ascii="Times New Roman" w:hAnsi="Times New Roman" w:cs="Times New Roman"/>
          <w:color w:val="000000" w:themeColor="text1"/>
          <w:sz w:val="24"/>
          <w:szCs w:val="24"/>
        </w:rPr>
      </w:pPr>
      <w:r w:rsidRPr="009C2E4A">
        <w:rPr>
          <w:rFonts w:ascii="Times New Roman" w:hAnsi="Times New Roman" w:cs="Times New Roman"/>
          <w:color w:val="000000" w:themeColor="text1"/>
          <w:sz w:val="24"/>
          <w:szCs w:val="24"/>
        </w:rPr>
        <w:t xml:space="preserve">DG </w:t>
      </w:r>
      <w:r w:rsidR="00F203A9" w:rsidRPr="009C2E4A">
        <w:rPr>
          <w:rFonts w:ascii="Times New Roman" w:hAnsi="Times New Roman" w:cs="Times New Roman"/>
          <w:sz w:val="24"/>
          <w:szCs w:val="24"/>
        </w:rPr>
        <w:t>–</w:t>
      </w:r>
      <w:r w:rsidRPr="009C2E4A">
        <w:rPr>
          <w:rFonts w:ascii="Times New Roman" w:hAnsi="Times New Roman" w:cs="Times New Roman"/>
          <w:color w:val="000000" w:themeColor="text1"/>
          <w:sz w:val="24"/>
          <w:szCs w:val="24"/>
        </w:rPr>
        <w:t xml:space="preserve"> Diretoria Geral</w:t>
      </w:r>
      <w:r w:rsidR="009C2E4A">
        <w:rPr>
          <w:rFonts w:ascii="Times New Roman" w:hAnsi="Times New Roman" w:cs="Times New Roman"/>
          <w:color w:val="000000" w:themeColor="text1"/>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EFAS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Escola de Formação e Aperfeiçoamento de Servidores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eastAsia="Calibri" w:hAnsi="Times New Roman" w:cs="Times New Roman"/>
          <w:color w:val="000000" w:themeColor="text1"/>
          <w:sz w:val="24"/>
          <w:szCs w:val="24"/>
        </w:rPr>
      </w:pPr>
      <w:r w:rsidRPr="009C2E4A">
        <w:rPr>
          <w:rFonts w:ascii="Times New Roman" w:eastAsia="Calibri" w:hAnsi="Times New Roman" w:cs="Times New Roman"/>
          <w:color w:val="000000" w:themeColor="text1"/>
          <w:sz w:val="24"/>
          <w:szCs w:val="24"/>
        </w:rPr>
        <w:t xml:space="preserve">EJE </w:t>
      </w:r>
      <w:r w:rsidR="00F203A9" w:rsidRPr="009C2E4A">
        <w:rPr>
          <w:rFonts w:ascii="Times New Roman" w:hAnsi="Times New Roman" w:cs="Times New Roman"/>
          <w:sz w:val="24"/>
          <w:szCs w:val="24"/>
        </w:rPr>
        <w:t>–</w:t>
      </w:r>
      <w:r w:rsidRPr="009C2E4A">
        <w:rPr>
          <w:rFonts w:ascii="Times New Roman" w:eastAsia="Calibri" w:hAnsi="Times New Roman" w:cs="Times New Roman"/>
          <w:color w:val="000000" w:themeColor="text1"/>
          <w:sz w:val="24"/>
          <w:szCs w:val="24"/>
        </w:rPr>
        <w:t xml:space="preserve"> Escola Judiciária Eleitoral</w:t>
      </w:r>
      <w:r w:rsidR="009C2E4A">
        <w:rPr>
          <w:rFonts w:ascii="Times New Roman" w:eastAsia="Calibri" w:hAnsi="Times New Roman" w:cs="Times New Roman"/>
          <w:color w:val="000000" w:themeColor="text1"/>
          <w:sz w:val="24"/>
          <w:szCs w:val="24"/>
        </w:rPr>
        <w:t>.</w:t>
      </w:r>
    </w:p>
    <w:p w:rsidR="00A97070" w:rsidRPr="009C2E4A" w:rsidRDefault="00A97070" w:rsidP="00DD6B12">
      <w:pPr>
        <w:spacing w:after="0" w:line="240" w:lineRule="auto"/>
        <w:jc w:val="both"/>
        <w:rPr>
          <w:rFonts w:ascii="Times New Roman" w:eastAsia="Calibri" w:hAnsi="Times New Roman" w:cs="Times New Roman"/>
          <w:color w:val="000000" w:themeColor="text1"/>
          <w:sz w:val="24"/>
          <w:szCs w:val="24"/>
        </w:rPr>
      </w:pPr>
      <w:r w:rsidRPr="009C2E4A">
        <w:rPr>
          <w:rFonts w:ascii="Times New Roman" w:eastAsia="Calibri" w:hAnsi="Times New Roman" w:cs="Times New Roman"/>
          <w:color w:val="000000" w:themeColor="text1"/>
          <w:sz w:val="24"/>
          <w:szCs w:val="24"/>
        </w:rPr>
        <w:t xml:space="preserve">GAB </w:t>
      </w:r>
      <w:r w:rsidR="00F203A9" w:rsidRPr="009C2E4A">
        <w:rPr>
          <w:rFonts w:ascii="Times New Roman" w:hAnsi="Times New Roman" w:cs="Times New Roman"/>
          <w:sz w:val="24"/>
          <w:szCs w:val="24"/>
        </w:rPr>
        <w:t>–</w:t>
      </w:r>
      <w:r w:rsidRPr="009C2E4A">
        <w:rPr>
          <w:rFonts w:ascii="Times New Roman" w:eastAsia="Calibri" w:hAnsi="Times New Roman" w:cs="Times New Roman"/>
          <w:color w:val="000000" w:themeColor="text1"/>
          <w:sz w:val="24"/>
          <w:szCs w:val="24"/>
        </w:rPr>
        <w:t xml:space="preserve"> Gabinete</w:t>
      </w:r>
      <w:r w:rsidR="009C2E4A">
        <w:rPr>
          <w:rFonts w:ascii="Times New Roman" w:eastAsia="Calibri" w:hAnsi="Times New Roman" w:cs="Times New Roman"/>
          <w:color w:val="000000" w:themeColor="text1"/>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GABJUÍZES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Gabinete de Juízes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eastAsia="Calibri" w:hAnsi="Times New Roman" w:cs="Times New Roman"/>
          <w:color w:val="000000" w:themeColor="text1"/>
          <w:sz w:val="24"/>
          <w:szCs w:val="24"/>
        </w:rPr>
      </w:pPr>
      <w:r w:rsidRPr="009C2E4A">
        <w:rPr>
          <w:rFonts w:ascii="Times New Roman" w:eastAsia="Calibri" w:hAnsi="Times New Roman" w:cs="Times New Roman"/>
          <w:color w:val="000000" w:themeColor="text1"/>
          <w:sz w:val="24"/>
          <w:szCs w:val="24"/>
        </w:rPr>
        <w:t xml:space="preserve">GDFT </w:t>
      </w:r>
      <w:r w:rsidR="00F203A9" w:rsidRPr="009C2E4A">
        <w:rPr>
          <w:rFonts w:ascii="Times New Roman" w:hAnsi="Times New Roman" w:cs="Times New Roman"/>
          <w:sz w:val="24"/>
          <w:szCs w:val="24"/>
        </w:rPr>
        <w:t>–</w:t>
      </w:r>
      <w:r w:rsidRPr="009C2E4A">
        <w:rPr>
          <w:rFonts w:ascii="Times New Roman" w:eastAsia="Calibri" w:hAnsi="Times New Roman" w:cs="Times New Roman"/>
          <w:color w:val="000000" w:themeColor="text1"/>
          <w:sz w:val="24"/>
          <w:szCs w:val="24"/>
        </w:rPr>
        <w:t xml:space="preserve"> </w:t>
      </w:r>
      <w:r w:rsidRPr="009C2E4A">
        <w:rPr>
          <w:rFonts w:ascii="Times New Roman" w:hAnsi="Times New Roman" w:cs="Times New Roman"/>
          <w:color w:val="000000" w:themeColor="text1"/>
          <w:sz w:val="24"/>
          <w:szCs w:val="24"/>
        </w:rPr>
        <w:t>Gerenciamento do Dimensionamento da Força de Trabalho</w:t>
      </w:r>
      <w:r w:rsidR="009C2E4A">
        <w:rPr>
          <w:rFonts w:ascii="Times New Roman" w:hAnsi="Times New Roman" w:cs="Times New Roman"/>
          <w:color w:val="000000" w:themeColor="text1"/>
          <w:sz w:val="24"/>
          <w:szCs w:val="24"/>
        </w:rPr>
        <w:t>.</w:t>
      </w:r>
    </w:p>
    <w:p w:rsidR="00A97070" w:rsidRPr="009C2E4A" w:rsidRDefault="00A97070" w:rsidP="00DD6B12">
      <w:pPr>
        <w:spacing w:after="0" w:line="240" w:lineRule="auto"/>
        <w:jc w:val="both"/>
        <w:rPr>
          <w:rFonts w:ascii="Times New Roman" w:hAnsi="Times New Roman" w:cs="Times New Roman"/>
          <w:color w:val="000000" w:themeColor="text1"/>
          <w:sz w:val="24"/>
          <w:szCs w:val="24"/>
        </w:rPr>
      </w:pPr>
      <w:r w:rsidRPr="009C2E4A">
        <w:rPr>
          <w:rFonts w:ascii="Times New Roman" w:eastAsia="Calibri" w:hAnsi="Times New Roman" w:cs="Times New Roman"/>
          <w:color w:val="000000" w:themeColor="text1"/>
          <w:sz w:val="24"/>
          <w:szCs w:val="24"/>
        </w:rPr>
        <w:t xml:space="preserve">GTA </w:t>
      </w:r>
      <w:r w:rsidR="00F203A9" w:rsidRPr="009C2E4A">
        <w:rPr>
          <w:rFonts w:ascii="Times New Roman" w:hAnsi="Times New Roman" w:cs="Times New Roman"/>
          <w:sz w:val="24"/>
          <w:szCs w:val="24"/>
        </w:rPr>
        <w:t>–</w:t>
      </w:r>
      <w:r w:rsidRPr="009C2E4A">
        <w:rPr>
          <w:rFonts w:ascii="Times New Roman" w:eastAsia="Calibri" w:hAnsi="Times New Roman" w:cs="Times New Roman"/>
          <w:color w:val="000000" w:themeColor="text1"/>
          <w:sz w:val="24"/>
          <w:szCs w:val="24"/>
        </w:rPr>
        <w:t xml:space="preserve"> </w:t>
      </w:r>
      <w:r w:rsidRPr="009C2E4A">
        <w:rPr>
          <w:rFonts w:ascii="Times New Roman" w:hAnsi="Times New Roman" w:cs="Times New Roman"/>
          <w:color w:val="000000" w:themeColor="text1"/>
          <w:sz w:val="24"/>
          <w:szCs w:val="24"/>
        </w:rPr>
        <w:t>Grupo de Trabalho da Auditoria Integrada</w:t>
      </w:r>
      <w:r w:rsidR="009C2E4A">
        <w:rPr>
          <w:rFonts w:ascii="Times New Roman" w:hAnsi="Times New Roman" w:cs="Times New Roman"/>
          <w:color w:val="000000" w:themeColor="text1"/>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proofErr w:type="spellStart"/>
      <w:proofErr w:type="gramStart"/>
      <w:r w:rsidRPr="009C2E4A">
        <w:rPr>
          <w:rFonts w:ascii="Times New Roman" w:hAnsi="Times New Roman" w:cs="Times New Roman"/>
          <w:sz w:val="24"/>
          <w:szCs w:val="24"/>
        </w:rPr>
        <w:t>IgovPessoas</w:t>
      </w:r>
      <w:proofErr w:type="spellEnd"/>
      <w:proofErr w:type="gramEnd"/>
      <w:r w:rsidRPr="009C2E4A">
        <w:rPr>
          <w:rFonts w:ascii="Times New Roman" w:hAnsi="Times New Roman" w:cs="Times New Roman"/>
          <w:sz w:val="24"/>
          <w:szCs w:val="24"/>
        </w:rPr>
        <w:t xml:space="preserve">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Índice de Governança de Pessoas</w:t>
      </w:r>
      <w:r w:rsidR="009C2E4A">
        <w:rPr>
          <w:rFonts w:ascii="Times New Roman" w:hAnsi="Times New Roman" w:cs="Times New Roman"/>
          <w:sz w:val="24"/>
          <w:szCs w:val="24"/>
        </w:rPr>
        <w:t>.</w:t>
      </w:r>
    </w:p>
    <w:p w:rsidR="00A97070" w:rsidRPr="009C2E4A" w:rsidRDefault="00F203A9"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IIA –</w:t>
      </w:r>
      <w:r w:rsidR="00A97070" w:rsidRPr="009C2E4A">
        <w:rPr>
          <w:rFonts w:ascii="Times New Roman" w:hAnsi="Times New Roman" w:cs="Times New Roman"/>
          <w:sz w:val="24"/>
          <w:szCs w:val="24"/>
        </w:rPr>
        <w:t xml:space="preserve"> Instituto de Auditores Internos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IPPF </w:t>
      </w:r>
      <w:r w:rsidR="00F203A9" w:rsidRPr="009C2E4A">
        <w:rPr>
          <w:rFonts w:ascii="Times New Roman" w:hAnsi="Times New Roman" w:cs="Times New Roman"/>
          <w:sz w:val="24"/>
          <w:szCs w:val="24"/>
        </w:rPr>
        <w:t>–</w:t>
      </w:r>
      <w:r w:rsidR="00D7036F">
        <w:rPr>
          <w:rFonts w:ascii="Times New Roman" w:hAnsi="Times New Roman" w:cs="Times New Roman"/>
          <w:sz w:val="24"/>
          <w:szCs w:val="24"/>
        </w:rPr>
        <w:t xml:space="preserve"> </w:t>
      </w:r>
      <w:r w:rsidR="00F203A9" w:rsidRPr="00564F19">
        <w:rPr>
          <w:rFonts w:ascii="Times New Roman" w:hAnsi="Times New Roman" w:cs="Times New Roman"/>
          <w:sz w:val="24"/>
          <w:szCs w:val="24"/>
        </w:rPr>
        <w:t xml:space="preserve">Estrutura Internacional de Práticas Profissionais </w:t>
      </w:r>
      <w:r w:rsidRPr="00564F19">
        <w:rPr>
          <w:rFonts w:ascii="Times New Roman" w:hAnsi="Times New Roman" w:cs="Times New Roman"/>
          <w:sz w:val="24"/>
          <w:szCs w:val="24"/>
        </w:rPr>
        <w:t xml:space="preserve">de </w:t>
      </w:r>
      <w:r w:rsidRPr="009C2E4A">
        <w:rPr>
          <w:rFonts w:ascii="Times New Roman" w:hAnsi="Times New Roman" w:cs="Times New Roman"/>
          <w:sz w:val="24"/>
          <w:szCs w:val="24"/>
        </w:rPr>
        <w:t>Auditoria Interna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color w:val="000000" w:themeColor="text1"/>
          <w:sz w:val="24"/>
          <w:szCs w:val="24"/>
        </w:rPr>
      </w:pPr>
      <w:r w:rsidRPr="009C2E4A">
        <w:rPr>
          <w:rFonts w:ascii="Times New Roman" w:hAnsi="Times New Roman" w:cs="Times New Roman"/>
          <w:color w:val="000000" w:themeColor="text1"/>
          <w:sz w:val="24"/>
          <w:szCs w:val="24"/>
        </w:rPr>
        <w:t xml:space="preserve">ISO </w:t>
      </w:r>
      <w:r w:rsidR="00F203A9" w:rsidRPr="009C2E4A">
        <w:rPr>
          <w:rFonts w:ascii="Times New Roman" w:hAnsi="Times New Roman" w:cs="Times New Roman"/>
          <w:sz w:val="24"/>
          <w:szCs w:val="24"/>
        </w:rPr>
        <w:t>–</w:t>
      </w:r>
      <w:r w:rsidRPr="009C2E4A">
        <w:rPr>
          <w:rFonts w:ascii="Times New Roman" w:hAnsi="Times New Roman" w:cs="Times New Roman"/>
          <w:color w:val="000000" w:themeColor="text1"/>
          <w:sz w:val="24"/>
          <w:szCs w:val="24"/>
        </w:rPr>
        <w:t xml:space="preserve"> </w:t>
      </w:r>
      <w:r w:rsidRPr="009C2E4A">
        <w:rPr>
          <w:rFonts w:ascii="Times New Roman" w:hAnsi="Times New Roman" w:cs="Times New Roman"/>
          <w:i/>
          <w:color w:val="000000" w:themeColor="text1"/>
          <w:sz w:val="24"/>
          <w:szCs w:val="24"/>
        </w:rPr>
        <w:t xml:space="preserve">International </w:t>
      </w:r>
      <w:proofErr w:type="spellStart"/>
      <w:r w:rsidRPr="009C2E4A">
        <w:rPr>
          <w:rFonts w:ascii="Times New Roman" w:hAnsi="Times New Roman" w:cs="Times New Roman"/>
          <w:i/>
          <w:color w:val="000000" w:themeColor="text1"/>
          <w:sz w:val="24"/>
          <w:szCs w:val="24"/>
        </w:rPr>
        <w:t>Organization</w:t>
      </w:r>
      <w:proofErr w:type="spellEnd"/>
      <w:r w:rsidRPr="009C2E4A">
        <w:rPr>
          <w:rFonts w:ascii="Times New Roman" w:hAnsi="Times New Roman" w:cs="Times New Roman"/>
          <w:i/>
          <w:color w:val="000000" w:themeColor="text1"/>
          <w:sz w:val="24"/>
          <w:szCs w:val="24"/>
        </w:rPr>
        <w:t xml:space="preserve"> for </w:t>
      </w:r>
      <w:proofErr w:type="spellStart"/>
      <w:r w:rsidRPr="009C2E4A">
        <w:rPr>
          <w:rFonts w:ascii="Times New Roman" w:hAnsi="Times New Roman" w:cs="Times New Roman"/>
          <w:i/>
          <w:color w:val="000000" w:themeColor="text1"/>
          <w:sz w:val="24"/>
          <w:szCs w:val="24"/>
        </w:rPr>
        <w:t>Standardization</w:t>
      </w:r>
      <w:proofErr w:type="spellEnd"/>
      <w:r w:rsidRPr="009C2E4A">
        <w:rPr>
          <w:rFonts w:ascii="Times New Roman" w:hAnsi="Times New Roman" w:cs="Times New Roman"/>
          <w:color w:val="000000" w:themeColor="text1"/>
          <w:sz w:val="24"/>
          <w:szCs w:val="24"/>
        </w:rPr>
        <w:t xml:space="preserve"> (Organização Internacional de Normalização)</w:t>
      </w:r>
      <w:r w:rsidR="009C2E4A">
        <w:rPr>
          <w:rFonts w:ascii="Times New Roman" w:hAnsi="Times New Roman" w:cs="Times New Roman"/>
          <w:color w:val="000000" w:themeColor="text1"/>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lastRenderedPageBreak/>
        <w:t xml:space="preserve">JUD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Judiciário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MAP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Mapa de Atribuições por Produto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MAR </w:t>
      </w:r>
      <w:r w:rsidR="00F203A9" w:rsidRPr="009C2E4A">
        <w:rPr>
          <w:rFonts w:ascii="Times New Roman" w:hAnsi="Times New Roman" w:cs="Times New Roman"/>
          <w:sz w:val="24"/>
          <w:szCs w:val="24"/>
        </w:rPr>
        <w:t>–</w:t>
      </w:r>
      <w:r w:rsidRPr="009C2E4A">
        <w:rPr>
          <w:rFonts w:ascii="Times New Roman" w:hAnsi="Times New Roman" w:cs="Times New Roman"/>
          <w:sz w:val="24"/>
          <w:szCs w:val="24"/>
        </w:rPr>
        <w:t xml:space="preserve"> Matriz de Avaliação de Riscos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color w:val="000000" w:themeColor="text1"/>
          <w:sz w:val="24"/>
          <w:szCs w:val="24"/>
        </w:rPr>
      </w:pPr>
      <w:proofErr w:type="spellStart"/>
      <w:r w:rsidRPr="009C2E4A">
        <w:rPr>
          <w:rFonts w:ascii="Times New Roman" w:hAnsi="Times New Roman" w:cs="Times New Roman"/>
          <w:color w:val="000000" w:themeColor="text1"/>
          <w:sz w:val="24"/>
          <w:szCs w:val="24"/>
        </w:rPr>
        <w:t>NATs</w:t>
      </w:r>
      <w:proofErr w:type="spellEnd"/>
      <w:r w:rsidRPr="009C2E4A">
        <w:rPr>
          <w:rFonts w:ascii="Times New Roman" w:hAnsi="Times New Roman" w:cs="Times New Roman"/>
          <w:color w:val="000000" w:themeColor="text1"/>
          <w:sz w:val="24"/>
          <w:szCs w:val="24"/>
        </w:rPr>
        <w:t xml:space="preserve"> </w:t>
      </w:r>
      <w:r w:rsidR="00F203A9" w:rsidRPr="009C2E4A">
        <w:rPr>
          <w:rFonts w:ascii="Times New Roman" w:hAnsi="Times New Roman" w:cs="Times New Roman"/>
          <w:sz w:val="24"/>
          <w:szCs w:val="24"/>
        </w:rPr>
        <w:t>–</w:t>
      </w:r>
      <w:r w:rsidRPr="009C2E4A">
        <w:rPr>
          <w:rFonts w:ascii="Times New Roman" w:hAnsi="Times New Roman" w:cs="Times New Roman"/>
          <w:color w:val="000000" w:themeColor="text1"/>
          <w:sz w:val="24"/>
          <w:szCs w:val="24"/>
        </w:rPr>
        <w:t xml:space="preserve"> Normas de Auditoria do Tribunal de Contas da União</w:t>
      </w:r>
      <w:r w:rsidR="009C2E4A">
        <w:rPr>
          <w:rFonts w:ascii="Times New Roman" w:hAnsi="Times New Roman" w:cs="Times New Roman"/>
          <w:color w:val="000000" w:themeColor="text1"/>
          <w:sz w:val="24"/>
          <w:szCs w:val="24"/>
        </w:rPr>
        <w:t>.</w:t>
      </w:r>
    </w:p>
    <w:p w:rsidR="00A97070" w:rsidRPr="009C2E4A" w:rsidRDefault="00A97070" w:rsidP="00DD6B12">
      <w:pPr>
        <w:spacing w:after="0" w:line="240" w:lineRule="auto"/>
        <w:jc w:val="both"/>
        <w:rPr>
          <w:rFonts w:ascii="Times New Roman" w:hAnsi="Times New Roman" w:cs="Times New Roman"/>
          <w:color w:val="000000" w:themeColor="text1"/>
          <w:sz w:val="24"/>
          <w:szCs w:val="24"/>
        </w:rPr>
      </w:pPr>
      <w:r w:rsidRPr="009C2E4A">
        <w:rPr>
          <w:rFonts w:ascii="Times New Roman" w:hAnsi="Times New Roman" w:cs="Times New Roman"/>
          <w:color w:val="000000" w:themeColor="text1"/>
          <w:sz w:val="24"/>
          <w:szCs w:val="24"/>
        </w:rPr>
        <w:t xml:space="preserve">NBR </w:t>
      </w:r>
      <w:r w:rsidR="00DD6B12" w:rsidRPr="009C2E4A">
        <w:rPr>
          <w:rFonts w:ascii="Times New Roman" w:hAnsi="Times New Roman" w:cs="Times New Roman"/>
          <w:sz w:val="24"/>
          <w:szCs w:val="24"/>
        </w:rPr>
        <w:t>–</w:t>
      </w:r>
      <w:r w:rsidR="00DD6B12" w:rsidRPr="009C2E4A">
        <w:rPr>
          <w:rFonts w:ascii="Times New Roman" w:hAnsi="Times New Roman" w:cs="Times New Roman"/>
          <w:color w:val="000000" w:themeColor="text1"/>
          <w:sz w:val="24"/>
          <w:szCs w:val="24"/>
        </w:rPr>
        <w:t xml:space="preserve"> </w:t>
      </w:r>
      <w:r w:rsidRPr="009C2E4A">
        <w:rPr>
          <w:rFonts w:ascii="Times New Roman" w:hAnsi="Times New Roman" w:cs="Times New Roman"/>
          <w:color w:val="000000" w:themeColor="text1"/>
          <w:sz w:val="24"/>
          <w:szCs w:val="24"/>
        </w:rPr>
        <w:t>Norma Brasileira</w:t>
      </w:r>
      <w:r w:rsidR="009C2E4A">
        <w:rPr>
          <w:rFonts w:ascii="Times New Roman" w:hAnsi="Times New Roman" w:cs="Times New Roman"/>
          <w:color w:val="000000" w:themeColor="text1"/>
          <w:sz w:val="24"/>
          <w:szCs w:val="24"/>
        </w:rPr>
        <w:t>.</w:t>
      </w:r>
    </w:p>
    <w:p w:rsidR="00A97070" w:rsidRPr="00564F19"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color w:val="000000" w:themeColor="text1"/>
          <w:sz w:val="24"/>
          <w:szCs w:val="24"/>
        </w:rPr>
        <w:t xml:space="preserve">PAA </w:t>
      </w:r>
      <w:r w:rsidR="00DD6B12" w:rsidRPr="009C2E4A">
        <w:rPr>
          <w:rFonts w:ascii="Times New Roman" w:hAnsi="Times New Roman" w:cs="Times New Roman"/>
          <w:sz w:val="24"/>
          <w:szCs w:val="24"/>
        </w:rPr>
        <w:t>–</w:t>
      </w:r>
      <w:r w:rsidR="009C2E4A" w:rsidRPr="009C2E4A">
        <w:rPr>
          <w:rFonts w:ascii="Times New Roman" w:hAnsi="Times New Roman" w:cs="Times New Roman"/>
          <w:color w:val="000000" w:themeColor="text1"/>
          <w:sz w:val="24"/>
          <w:szCs w:val="24"/>
        </w:rPr>
        <w:t xml:space="preserve"> </w:t>
      </w:r>
      <w:r w:rsidRPr="009C2E4A">
        <w:rPr>
          <w:rFonts w:ascii="Times New Roman" w:hAnsi="Times New Roman" w:cs="Times New Roman"/>
          <w:color w:val="000000" w:themeColor="text1"/>
          <w:sz w:val="24"/>
          <w:szCs w:val="24"/>
        </w:rPr>
        <w:t xml:space="preserve">Plano Anual de </w:t>
      </w:r>
      <w:r w:rsidR="00F203A9" w:rsidRPr="00564F19">
        <w:rPr>
          <w:rFonts w:ascii="Times New Roman" w:hAnsi="Times New Roman" w:cs="Times New Roman"/>
          <w:sz w:val="24"/>
          <w:szCs w:val="24"/>
        </w:rPr>
        <w:t>Auditoria</w:t>
      </w:r>
      <w:r w:rsidR="009C2E4A" w:rsidRPr="00564F19">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color w:val="000000" w:themeColor="text1"/>
          <w:sz w:val="24"/>
          <w:szCs w:val="24"/>
        </w:rPr>
      </w:pPr>
      <w:r w:rsidRPr="009C2E4A">
        <w:rPr>
          <w:rFonts w:ascii="Times New Roman" w:hAnsi="Times New Roman" w:cs="Times New Roman"/>
          <w:color w:val="000000" w:themeColor="text1"/>
          <w:sz w:val="24"/>
          <w:szCs w:val="24"/>
        </w:rPr>
        <w:t xml:space="preserve">PAC </w:t>
      </w:r>
      <w:r w:rsidR="00DD6B12" w:rsidRPr="009C2E4A">
        <w:rPr>
          <w:rFonts w:ascii="Times New Roman" w:hAnsi="Times New Roman" w:cs="Times New Roman"/>
          <w:sz w:val="24"/>
          <w:szCs w:val="24"/>
        </w:rPr>
        <w:t>–</w:t>
      </w:r>
      <w:r w:rsidR="00DD6B12" w:rsidRPr="009C2E4A">
        <w:rPr>
          <w:rFonts w:ascii="Times New Roman" w:hAnsi="Times New Roman" w:cs="Times New Roman"/>
          <w:color w:val="000000" w:themeColor="text1"/>
          <w:sz w:val="24"/>
          <w:szCs w:val="24"/>
        </w:rPr>
        <w:t xml:space="preserve"> </w:t>
      </w:r>
      <w:r w:rsidRPr="009C2E4A">
        <w:rPr>
          <w:rFonts w:ascii="Times New Roman" w:hAnsi="Times New Roman" w:cs="Times New Roman"/>
          <w:color w:val="000000" w:themeColor="text1"/>
          <w:sz w:val="24"/>
          <w:szCs w:val="24"/>
        </w:rPr>
        <w:t>Plano Anual de Capacitação</w:t>
      </w:r>
      <w:r w:rsidR="009C2E4A">
        <w:rPr>
          <w:rFonts w:ascii="Times New Roman" w:hAnsi="Times New Roman" w:cs="Times New Roman"/>
          <w:color w:val="000000" w:themeColor="text1"/>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PAD </w:t>
      </w:r>
      <w:r w:rsidR="00DD6B12" w:rsidRPr="009C2E4A">
        <w:rPr>
          <w:rFonts w:ascii="Times New Roman" w:hAnsi="Times New Roman" w:cs="Times New Roman"/>
          <w:sz w:val="24"/>
          <w:szCs w:val="24"/>
        </w:rPr>
        <w:t>–</w:t>
      </w:r>
      <w:r w:rsidR="00DD6B12" w:rsidRPr="009C2E4A">
        <w:rPr>
          <w:rFonts w:ascii="Times New Roman" w:hAnsi="Times New Roman" w:cs="Times New Roman"/>
          <w:color w:val="000000" w:themeColor="text1"/>
          <w:sz w:val="24"/>
          <w:szCs w:val="24"/>
        </w:rPr>
        <w:t xml:space="preserve"> </w:t>
      </w:r>
      <w:r w:rsidRPr="009C2E4A">
        <w:rPr>
          <w:rFonts w:ascii="Times New Roman" w:hAnsi="Times New Roman" w:cs="Times New Roman"/>
          <w:sz w:val="24"/>
          <w:szCs w:val="24"/>
        </w:rPr>
        <w:t>Processo Administrativo Digital</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PDL </w:t>
      </w:r>
      <w:r w:rsidR="00DD6B12" w:rsidRPr="009C2E4A">
        <w:rPr>
          <w:rFonts w:ascii="Times New Roman" w:hAnsi="Times New Roman" w:cs="Times New Roman"/>
          <w:sz w:val="24"/>
          <w:szCs w:val="24"/>
        </w:rPr>
        <w:t>–</w:t>
      </w:r>
      <w:r w:rsidR="00DD6B12" w:rsidRPr="009C2E4A">
        <w:rPr>
          <w:rFonts w:ascii="Times New Roman" w:hAnsi="Times New Roman" w:cs="Times New Roman"/>
          <w:color w:val="000000" w:themeColor="text1"/>
          <w:sz w:val="24"/>
          <w:szCs w:val="24"/>
        </w:rPr>
        <w:t xml:space="preserve"> </w:t>
      </w:r>
      <w:r w:rsidRPr="009C2E4A">
        <w:rPr>
          <w:rFonts w:ascii="Times New Roman" w:hAnsi="Times New Roman" w:cs="Times New Roman"/>
          <w:sz w:val="24"/>
          <w:szCs w:val="24"/>
        </w:rPr>
        <w:t>Program</w:t>
      </w:r>
      <w:r w:rsidR="009C2E4A">
        <w:rPr>
          <w:rFonts w:ascii="Times New Roman" w:hAnsi="Times New Roman" w:cs="Times New Roman"/>
          <w:sz w:val="24"/>
          <w:szCs w:val="24"/>
        </w:rPr>
        <w:t>a de Desenvolvimento de Líderes.</w:t>
      </w:r>
    </w:p>
    <w:p w:rsidR="00A97070" w:rsidRPr="009C2E4A" w:rsidRDefault="00A97070" w:rsidP="00DD6B12">
      <w:pPr>
        <w:spacing w:after="0" w:line="240" w:lineRule="auto"/>
        <w:jc w:val="both"/>
        <w:rPr>
          <w:rFonts w:ascii="Times New Roman" w:eastAsia="Calibri" w:hAnsi="Times New Roman" w:cs="Times New Roman"/>
          <w:color w:val="000000" w:themeColor="text1"/>
          <w:sz w:val="24"/>
          <w:szCs w:val="24"/>
        </w:rPr>
      </w:pPr>
      <w:r w:rsidRPr="009C2E4A">
        <w:rPr>
          <w:rFonts w:ascii="Times New Roman" w:eastAsia="Calibri" w:hAnsi="Times New Roman" w:cs="Times New Roman"/>
          <w:color w:val="000000" w:themeColor="text1"/>
          <w:sz w:val="24"/>
          <w:szCs w:val="24"/>
        </w:rPr>
        <w:t xml:space="preserve">PEI </w:t>
      </w:r>
      <w:r w:rsidR="00DD6B12" w:rsidRPr="009C2E4A">
        <w:rPr>
          <w:rFonts w:ascii="Times New Roman" w:hAnsi="Times New Roman" w:cs="Times New Roman"/>
          <w:sz w:val="24"/>
          <w:szCs w:val="24"/>
        </w:rPr>
        <w:t>–</w:t>
      </w:r>
      <w:r w:rsidR="00DD6B12" w:rsidRPr="009C2E4A">
        <w:rPr>
          <w:rFonts w:ascii="Times New Roman" w:hAnsi="Times New Roman" w:cs="Times New Roman"/>
          <w:color w:val="000000" w:themeColor="text1"/>
          <w:sz w:val="24"/>
          <w:szCs w:val="24"/>
        </w:rPr>
        <w:t xml:space="preserve"> </w:t>
      </w:r>
      <w:r w:rsidRPr="009C2E4A">
        <w:rPr>
          <w:rFonts w:ascii="Times New Roman" w:eastAsia="Calibri" w:hAnsi="Times New Roman" w:cs="Times New Roman"/>
          <w:color w:val="000000" w:themeColor="text1"/>
          <w:sz w:val="24"/>
          <w:szCs w:val="24"/>
        </w:rPr>
        <w:t>Planejamento Estratégico Institucional</w:t>
      </w:r>
      <w:r w:rsidR="009C2E4A">
        <w:rPr>
          <w:rFonts w:ascii="Times New Roman" w:eastAsia="Calibri" w:hAnsi="Times New Roman" w:cs="Times New Roman"/>
          <w:color w:val="000000" w:themeColor="text1"/>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PFT </w:t>
      </w:r>
      <w:r w:rsidR="00DD6B12" w:rsidRPr="009C2E4A">
        <w:rPr>
          <w:rFonts w:ascii="Times New Roman" w:hAnsi="Times New Roman" w:cs="Times New Roman"/>
          <w:sz w:val="24"/>
          <w:szCs w:val="24"/>
        </w:rPr>
        <w:t>–</w:t>
      </w:r>
      <w:r w:rsidR="00DD6B12" w:rsidRPr="009C2E4A">
        <w:rPr>
          <w:rFonts w:ascii="Times New Roman" w:hAnsi="Times New Roman" w:cs="Times New Roman"/>
          <w:color w:val="000000" w:themeColor="text1"/>
          <w:sz w:val="24"/>
          <w:szCs w:val="24"/>
        </w:rPr>
        <w:t xml:space="preserve"> </w:t>
      </w:r>
      <w:r w:rsidRPr="009C2E4A">
        <w:rPr>
          <w:rFonts w:ascii="Times New Roman" w:hAnsi="Times New Roman" w:cs="Times New Roman"/>
          <w:sz w:val="24"/>
          <w:szCs w:val="24"/>
        </w:rPr>
        <w:t>Planejamento da Força de Trabalho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PJ </w:t>
      </w:r>
      <w:r w:rsidR="00DD6B12" w:rsidRPr="009C2E4A">
        <w:rPr>
          <w:rFonts w:ascii="Times New Roman" w:hAnsi="Times New Roman" w:cs="Times New Roman"/>
          <w:sz w:val="24"/>
          <w:szCs w:val="24"/>
        </w:rPr>
        <w:t>–</w:t>
      </w:r>
      <w:r w:rsidR="00DD6B12" w:rsidRPr="009C2E4A">
        <w:rPr>
          <w:rFonts w:ascii="Times New Roman" w:hAnsi="Times New Roman" w:cs="Times New Roman"/>
          <w:color w:val="000000" w:themeColor="text1"/>
          <w:sz w:val="24"/>
          <w:szCs w:val="24"/>
        </w:rPr>
        <w:t xml:space="preserve"> </w:t>
      </w:r>
      <w:r w:rsidRPr="009C2E4A">
        <w:rPr>
          <w:rFonts w:ascii="Times New Roman" w:hAnsi="Times New Roman" w:cs="Times New Roman"/>
          <w:sz w:val="24"/>
          <w:szCs w:val="24"/>
        </w:rPr>
        <w:t>Poder Judiciário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PRE </w:t>
      </w:r>
      <w:r w:rsidR="00DD6B12" w:rsidRPr="009C2E4A">
        <w:rPr>
          <w:rFonts w:ascii="Times New Roman" w:hAnsi="Times New Roman" w:cs="Times New Roman"/>
          <w:sz w:val="24"/>
          <w:szCs w:val="24"/>
        </w:rPr>
        <w:t>–</w:t>
      </w:r>
      <w:r w:rsidR="00DD6B12" w:rsidRPr="009C2E4A">
        <w:rPr>
          <w:rFonts w:ascii="Times New Roman" w:hAnsi="Times New Roman" w:cs="Times New Roman"/>
          <w:color w:val="000000" w:themeColor="text1"/>
          <w:sz w:val="24"/>
          <w:szCs w:val="24"/>
        </w:rPr>
        <w:t xml:space="preserve"> </w:t>
      </w:r>
      <w:r w:rsidRPr="009C2E4A">
        <w:rPr>
          <w:rFonts w:ascii="Times New Roman" w:hAnsi="Times New Roman" w:cs="Times New Roman"/>
          <w:sz w:val="24"/>
          <w:szCs w:val="24"/>
        </w:rPr>
        <w:t>Presidência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RDI </w:t>
      </w:r>
      <w:r w:rsidR="00DD6B12" w:rsidRPr="009C2E4A">
        <w:rPr>
          <w:rFonts w:ascii="Times New Roman" w:hAnsi="Times New Roman" w:cs="Times New Roman"/>
          <w:sz w:val="24"/>
          <w:szCs w:val="24"/>
        </w:rPr>
        <w:t>–</w:t>
      </w:r>
      <w:r w:rsidR="00DD6B12" w:rsidRPr="009C2E4A">
        <w:rPr>
          <w:rFonts w:ascii="Times New Roman" w:hAnsi="Times New Roman" w:cs="Times New Roman"/>
          <w:color w:val="000000" w:themeColor="text1"/>
          <w:sz w:val="24"/>
          <w:szCs w:val="24"/>
        </w:rPr>
        <w:t xml:space="preserve"> </w:t>
      </w:r>
      <w:r w:rsidRPr="009C2E4A">
        <w:rPr>
          <w:rFonts w:ascii="Times New Roman" w:hAnsi="Times New Roman" w:cs="Times New Roman"/>
          <w:sz w:val="24"/>
          <w:szCs w:val="24"/>
        </w:rPr>
        <w:t>Requisição de Documentos e</w:t>
      </w:r>
      <w:r w:rsidR="00DD6B12" w:rsidRPr="00564F19">
        <w:rPr>
          <w:rFonts w:ascii="Times New Roman" w:hAnsi="Times New Roman" w:cs="Times New Roman"/>
          <w:sz w:val="24"/>
          <w:szCs w:val="24"/>
        </w:rPr>
        <w:t>/ou</w:t>
      </w:r>
      <w:r w:rsidRPr="00564F19">
        <w:rPr>
          <w:rFonts w:ascii="Times New Roman" w:hAnsi="Times New Roman" w:cs="Times New Roman"/>
          <w:sz w:val="24"/>
          <w:szCs w:val="24"/>
        </w:rPr>
        <w:t xml:space="preserve"> </w:t>
      </w:r>
      <w:r w:rsidRPr="009C2E4A">
        <w:rPr>
          <w:rFonts w:ascii="Times New Roman" w:hAnsi="Times New Roman" w:cs="Times New Roman"/>
          <w:sz w:val="24"/>
          <w:szCs w:val="24"/>
        </w:rPr>
        <w:t>Informações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SAU </w:t>
      </w:r>
      <w:r w:rsidR="00DD6B12" w:rsidRPr="009C2E4A">
        <w:rPr>
          <w:rFonts w:ascii="Times New Roman" w:hAnsi="Times New Roman" w:cs="Times New Roman"/>
          <w:sz w:val="24"/>
          <w:szCs w:val="24"/>
        </w:rPr>
        <w:t>–</w:t>
      </w:r>
      <w:r w:rsidR="00564F19">
        <w:rPr>
          <w:rFonts w:ascii="Times New Roman" w:hAnsi="Times New Roman" w:cs="Times New Roman"/>
          <w:sz w:val="24"/>
          <w:szCs w:val="24"/>
        </w:rPr>
        <w:t xml:space="preserve"> </w:t>
      </w:r>
      <w:r w:rsidR="00DD6B12" w:rsidRPr="00564F19">
        <w:rPr>
          <w:rFonts w:ascii="Times New Roman" w:hAnsi="Times New Roman" w:cs="Times New Roman"/>
          <w:sz w:val="24"/>
          <w:szCs w:val="24"/>
        </w:rPr>
        <w:t xml:space="preserve">Secretaria </w:t>
      </w:r>
      <w:r w:rsidRPr="009C2E4A">
        <w:rPr>
          <w:rFonts w:ascii="Times New Roman" w:hAnsi="Times New Roman" w:cs="Times New Roman"/>
          <w:sz w:val="24"/>
          <w:szCs w:val="24"/>
        </w:rPr>
        <w:t>de Auditoria Interna</w:t>
      </w:r>
      <w:r w:rsidR="009C2E4A">
        <w:rPr>
          <w:rFonts w:ascii="Times New Roman" w:hAnsi="Times New Roman" w:cs="Times New Roman"/>
          <w:sz w:val="24"/>
          <w:szCs w:val="24"/>
        </w:rPr>
        <w:t>.</w:t>
      </w:r>
    </w:p>
    <w:p w:rsidR="00A97070" w:rsidRPr="009C2E4A" w:rsidRDefault="00DD6B12"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SCR</w:t>
      </w:r>
      <w:r w:rsidR="00A97070" w:rsidRPr="009C2E4A">
        <w:rPr>
          <w:rFonts w:ascii="Times New Roman" w:hAnsi="Times New Roman" w:cs="Times New Roman"/>
          <w:sz w:val="24"/>
          <w:szCs w:val="24"/>
        </w:rPr>
        <w:t xml:space="preserve"> </w:t>
      </w:r>
      <w:r w:rsidRPr="009C2E4A">
        <w:rPr>
          <w:rFonts w:ascii="Times New Roman" w:hAnsi="Times New Roman" w:cs="Times New Roman"/>
          <w:sz w:val="24"/>
          <w:szCs w:val="24"/>
        </w:rPr>
        <w:t>–</w:t>
      </w:r>
      <w:r w:rsidRPr="009C2E4A">
        <w:rPr>
          <w:rFonts w:ascii="Times New Roman" w:hAnsi="Times New Roman" w:cs="Times New Roman"/>
          <w:color w:val="000000" w:themeColor="text1"/>
          <w:sz w:val="24"/>
          <w:szCs w:val="24"/>
        </w:rPr>
        <w:t xml:space="preserve"> </w:t>
      </w:r>
      <w:r w:rsidR="00A97070" w:rsidRPr="009C2E4A">
        <w:rPr>
          <w:rFonts w:ascii="Times New Roman" w:hAnsi="Times New Roman" w:cs="Times New Roman"/>
          <w:sz w:val="24"/>
          <w:szCs w:val="24"/>
        </w:rPr>
        <w:t>Secretaria da Corregedoria Regional Eleitoral</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SEADIN </w:t>
      </w:r>
      <w:r w:rsidR="00DD6B12" w:rsidRPr="009C2E4A">
        <w:rPr>
          <w:rFonts w:ascii="Times New Roman" w:hAnsi="Times New Roman" w:cs="Times New Roman"/>
          <w:sz w:val="24"/>
          <w:szCs w:val="24"/>
        </w:rPr>
        <w:t>–</w:t>
      </w:r>
      <w:r w:rsidR="00DD6B12" w:rsidRPr="009C2E4A">
        <w:rPr>
          <w:rFonts w:ascii="Times New Roman" w:hAnsi="Times New Roman" w:cs="Times New Roman"/>
          <w:color w:val="000000" w:themeColor="text1"/>
          <w:sz w:val="24"/>
          <w:szCs w:val="24"/>
        </w:rPr>
        <w:t xml:space="preserve"> </w:t>
      </w:r>
      <w:r w:rsidRPr="009C2E4A">
        <w:rPr>
          <w:rFonts w:ascii="Times New Roman" w:hAnsi="Times New Roman" w:cs="Times New Roman"/>
          <w:sz w:val="24"/>
          <w:szCs w:val="24"/>
        </w:rPr>
        <w:t>Seção de Apoio Administrativo ao Interior</w:t>
      </w:r>
      <w:r w:rsidR="009C2E4A">
        <w:rPr>
          <w:rFonts w:ascii="Times New Roman" w:hAnsi="Times New Roman" w:cs="Times New Roman"/>
          <w:sz w:val="24"/>
          <w:szCs w:val="24"/>
        </w:rPr>
        <w:t>.</w:t>
      </w:r>
    </w:p>
    <w:p w:rsidR="00A97070" w:rsidRPr="009C2E4A" w:rsidRDefault="00DD6B12"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SEAFIN –</w:t>
      </w:r>
      <w:r w:rsidRPr="009C2E4A">
        <w:rPr>
          <w:rFonts w:ascii="Times New Roman" w:hAnsi="Times New Roman" w:cs="Times New Roman"/>
          <w:color w:val="000000" w:themeColor="text1"/>
          <w:sz w:val="24"/>
          <w:szCs w:val="24"/>
        </w:rPr>
        <w:t xml:space="preserve"> </w:t>
      </w:r>
      <w:r w:rsidR="00A97070" w:rsidRPr="009C2E4A">
        <w:rPr>
          <w:rFonts w:ascii="Times New Roman" w:hAnsi="Times New Roman" w:cs="Times New Roman"/>
          <w:sz w:val="24"/>
          <w:szCs w:val="24"/>
        </w:rPr>
        <w:t>Seção de Programação, Acompanhamento e Execução Financeira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color w:val="000000" w:themeColor="text1"/>
          <w:sz w:val="24"/>
          <w:szCs w:val="24"/>
        </w:rPr>
      </w:pPr>
      <w:r w:rsidRPr="009C2E4A">
        <w:rPr>
          <w:rFonts w:ascii="Times New Roman" w:hAnsi="Times New Roman" w:cs="Times New Roman"/>
          <w:color w:val="000000" w:themeColor="text1"/>
          <w:sz w:val="24"/>
          <w:szCs w:val="24"/>
        </w:rPr>
        <w:t xml:space="preserve">SEAGO </w:t>
      </w:r>
      <w:r w:rsidR="00DD6B12" w:rsidRPr="009C2E4A">
        <w:rPr>
          <w:rFonts w:ascii="Times New Roman" w:hAnsi="Times New Roman" w:cs="Times New Roman"/>
          <w:sz w:val="24"/>
          <w:szCs w:val="24"/>
        </w:rPr>
        <w:t>–</w:t>
      </w:r>
      <w:r w:rsidR="00DD6B12" w:rsidRPr="009C2E4A">
        <w:rPr>
          <w:rFonts w:ascii="Times New Roman" w:hAnsi="Times New Roman" w:cs="Times New Roman"/>
          <w:color w:val="000000" w:themeColor="text1"/>
          <w:sz w:val="24"/>
          <w:szCs w:val="24"/>
        </w:rPr>
        <w:t xml:space="preserve"> </w:t>
      </w:r>
      <w:r w:rsidRPr="009C2E4A">
        <w:rPr>
          <w:rFonts w:ascii="Times New Roman" w:hAnsi="Times New Roman" w:cs="Times New Roman"/>
          <w:color w:val="000000" w:themeColor="text1"/>
          <w:sz w:val="24"/>
          <w:szCs w:val="24"/>
        </w:rPr>
        <w:t>Seção de Auditoria de Governança e Gestão Organizacional</w:t>
      </w:r>
      <w:r w:rsidR="009C2E4A">
        <w:rPr>
          <w:rFonts w:ascii="Times New Roman" w:hAnsi="Times New Roman" w:cs="Times New Roman"/>
          <w:color w:val="000000" w:themeColor="text1"/>
          <w:sz w:val="24"/>
          <w:szCs w:val="24"/>
        </w:rPr>
        <w:t>.</w:t>
      </w:r>
    </w:p>
    <w:p w:rsidR="00A97070" w:rsidRPr="009C2E4A" w:rsidRDefault="00A97070" w:rsidP="00DD6B12">
      <w:pPr>
        <w:spacing w:after="0" w:line="240" w:lineRule="auto"/>
        <w:jc w:val="both"/>
        <w:rPr>
          <w:rFonts w:ascii="Times New Roman" w:hAnsi="Times New Roman" w:cs="Times New Roman"/>
          <w:color w:val="000000" w:themeColor="text1"/>
          <w:sz w:val="24"/>
          <w:szCs w:val="24"/>
        </w:rPr>
      </w:pPr>
      <w:r w:rsidRPr="009C2E4A">
        <w:rPr>
          <w:rFonts w:ascii="Times New Roman" w:hAnsi="Times New Roman" w:cs="Times New Roman"/>
          <w:color w:val="000000" w:themeColor="text1"/>
          <w:sz w:val="24"/>
          <w:szCs w:val="24"/>
        </w:rPr>
        <w:t xml:space="preserve">SEAPE </w:t>
      </w:r>
      <w:r w:rsidR="00DD6B12" w:rsidRPr="009C2E4A">
        <w:rPr>
          <w:rFonts w:ascii="Times New Roman" w:hAnsi="Times New Roman" w:cs="Times New Roman"/>
          <w:sz w:val="24"/>
          <w:szCs w:val="24"/>
        </w:rPr>
        <w:t>–</w:t>
      </w:r>
      <w:r w:rsidR="00DD6B12" w:rsidRPr="009C2E4A">
        <w:rPr>
          <w:rFonts w:ascii="Times New Roman" w:hAnsi="Times New Roman" w:cs="Times New Roman"/>
          <w:color w:val="000000" w:themeColor="text1"/>
          <w:sz w:val="24"/>
          <w:szCs w:val="24"/>
        </w:rPr>
        <w:t xml:space="preserve"> </w:t>
      </w:r>
      <w:r w:rsidRPr="009C2E4A">
        <w:rPr>
          <w:rFonts w:ascii="Times New Roman" w:hAnsi="Times New Roman" w:cs="Times New Roman"/>
          <w:color w:val="000000" w:themeColor="text1"/>
          <w:sz w:val="24"/>
          <w:szCs w:val="24"/>
        </w:rPr>
        <w:t>Seção de Auditoria de Pessoal</w:t>
      </w:r>
      <w:r w:rsidR="009C2E4A">
        <w:rPr>
          <w:rFonts w:ascii="Times New Roman" w:hAnsi="Times New Roman" w:cs="Times New Roman"/>
          <w:color w:val="000000" w:themeColor="text1"/>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SEAPEN</w:t>
      </w:r>
      <w:r w:rsidR="00517D19">
        <w:rPr>
          <w:rFonts w:ascii="Times New Roman" w:hAnsi="Times New Roman" w:cs="Times New Roman"/>
          <w:sz w:val="24"/>
          <w:szCs w:val="24"/>
        </w:rPr>
        <w:t xml:space="preserve"> </w:t>
      </w:r>
      <w:r w:rsidR="00DD6B12" w:rsidRPr="009C2E4A">
        <w:rPr>
          <w:rFonts w:ascii="Times New Roman" w:hAnsi="Times New Roman" w:cs="Times New Roman"/>
          <w:i/>
          <w:sz w:val="24"/>
          <w:szCs w:val="24"/>
        </w:rPr>
        <w:t>–</w:t>
      </w:r>
      <w:r w:rsidR="00DD6B12" w:rsidRPr="009C2E4A">
        <w:rPr>
          <w:rFonts w:ascii="Times New Roman" w:hAnsi="Times New Roman" w:cs="Times New Roman"/>
          <w:color w:val="000000" w:themeColor="text1"/>
          <w:sz w:val="24"/>
          <w:szCs w:val="24"/>
        </w:rPr>
        <w:t xml:space="preserve"> </w:t>
      </w:r>
      <w:r w:rsidRPr="009C2E4A">
        <w:rPr>
          <w:rFonts w:ascii="Times New Roman" w:hAnsi="Times New Roman" w:cs="Times New Roman"/>
          <w:sz w:val="24"/>
          <w:szCs w:val="24"/>
        </w:rPr>
        <w:t xml:space="preserve">Seção de </w:t>
      </w:r>
      <w:r w:rsidR="00517D19">
        <w:rPr>
          <w:rFonts w:ascii="Times New Roman" w:hAnsi="Times New Roman" w:cs="Times New Roman"/>
          <w:sz w:val="24"/>
          <w:szCs w:val="24"/>
        </w:rPr>
        <w:t>Aposentadorias e Pensões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SEAPRO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Processamento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eastAsia="Calibri" w:hAnsi="Times New Roman" w:cs="Times New Roman"/>
          <w:color w:val="0070C0"/>
          <w:sz w:val="24"/>
          <w:szCs w:val="24"/>
        </w:rPr>
      </w:pPr>
      <w:r w:rsidRPr="009C2E4A">
        <w:rPr>
          <w:rFonts w:ascii="Times New Roman" w:hAnsi="Times New Roman" w:cs="Times New Roman"/>
          <w:sz w:val="24"/>
          <w:szCs w:val="24"/>
        </w:rPr>
        <w:t xml:space="preserve">SEAQUI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Análise e Aquisição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SEARQ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Arquivo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SEBDA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Banco de Dados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SEBEN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Benefícios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SEBLIM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Gestão da Informação, Biblioteca e Memória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SECAU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Controle, Autuação e Instrução Processual</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SECOE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Contas Eleitorais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SECONT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Contratos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SEDAS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Assistência à Saúde</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SEDES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Desenvolvimento Organizacional</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SEDIP</w:t>
      </w:r>
      <w:r w:rsidR="00DD6B12" w:rsidRPr="009C2E4A">
        <w:rPr>
          <w:rFonts w:ascii="Times New Roman" w:hAnsi="Times New Roman" w:cs="Times New Roman"/>
          <w:sz w:val="24"/>
          <w:szCs w:val="24"/>
        </w:rPr>
        <w:t xml:space="preserve">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Editoração e Publicação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SEDIR</w:t>
      </w:r>
      <w:r w:rsidR="00DD6B12" w:rsidRPr="009C2E4A">
        <w:rPr>
          <w:rFonts w:ascii="Times New Roman" w:hAnsi="Times New Roman" w:cs="Times New Roman"/>
          <w:sz w:val="24"/>
          <w:szCs w:val="24"/>
        </w:rPr>
        <w:t xml:space="preserve">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Direitos e Deveres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SEEP</w:t>
      </w:r>
      <w:r w:rsidR="007A15EB" w:rsidRPr="009C2E4A">
        <w:rPr>
          <w:rFonts w:ascii="Times New Roman" w:hAnsi="Times New Roman" w:cs="Times New Roman"/>
          <w:sz w:val="24"/>
          <w:szCs w:val="24"/>
        </w:rPr>
        <w:t>P</w:t>
      </w:r>
      <w:r w:rsidRPr="009C2E4A">
        <w:rPr>
          <w:rFonts w:ascii="Times New Roman" w:hAnsi="Times New Roman" w:cs="Times New Roman"/>
          <w:sz w:val="24"/>
          <w:szCs w:val="24"/>
        </w:rPr>
        <w:t>A</w:t>
      </w:r>
      <w:r w:rsidR="007A15EB" w:rsidRPr="009C2E4A">
        <w:rPr>
          <w:rFonts w:ascii="Times New Roman" w:hAnsi="Times New Roman" w:cs="Times New Roman"/>
          <w:sz w:val="24"/>
          <w:szCs w:val="24"/>
        </w:rPr>
        <w:t xml:space="preserve">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007A15EB" w:rsidRPr="009C2E4A">
        <w:rPr>
          <w:rFonts w:ascii="Times New Roman" w:hAnsi="Times New Roman" w:cs="Times New Roman"/>
          <w:sz w:val="24"/>
          <w:szCs w:val="24"/>
        </w:rPr>
        <w:t>Seção De Editoração Pesquisas e Publicações Acadêmicas</w:t>
      </w:r>
      <w:r w:rsidR="009C2E4A">
        <w:rPr>
          <w:rFonts w:ascii="Times New Roman" w:hAnsi="Times New Roman" w:cs="Times New Roman"/>
          <w:sz w:val="24"/>
          <w:szCs w:val="24"/>
        </w:rPr>
        <w:t>.</w:t>
      </w:r>
    </w:p>
    <w:p w:rsidR="00A97070" w:rsidRPr="009C2E4A" w:rsidRDefault="00DD6B12"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SEGEP </w:t>
      </w:r>
      <w:r w:rsidRPr="009C2E4A">
        <w:rPr>
          <w:rFonts w:ascii="Times New Roman" w:hAnsi="Times New Roman" w:cs="Times New Roman"/>
          <w:i/>
          <w:sz w:val="24"/>
          <w:szCs w:val="24"/>
        </w:rPr>
        <w:t>–</w:t>
      </w:r>
      <w:r w:rsidRPr="009C2E4A">
        <w:rPr>
          <w:rFonts w:ascii="Times New Roman" w:hAnsi="Times New Roman" w:cs="Times New Roman"/>
          <w:sz w:val="24"/>
          <w:szCs w:val="24"/>
        </w:rPr>
        <w:t xml:space="preserve"> </w:t>
      </w:r>
      <w:r w:rsidR="00A97070" w:rsidRPr="009C2E4A">
        <w:rPr>
          <w:rFonts w:ascii="Times New Roman" w:hAnsi="Times New Roman" w:cs="Times New Roman"/>
          <w:sz w:val="24"/>
          <w:szCs w:val="24"/>
        </w:rPr>
        <w:t>Seção de Gestão de Patrimônio</w:t>
      </w:r>
      <w:r w:rsidR="009C2E4A">
        <w:rPr>
          <w:rFonts w:ascii="Times New Roman" w:hAnsi="Times New Roman" w:cs="Times New Roman"/>
          <w:sz w:val="24"/>
          <w:szCs w:val="24"/>
        </w:rPr>
        <w:t>.</w:t>
      </w:r>
    </w:p>
    <w:p w:rsidR="009C2E4A" w:rsidRPr="009C2E4A" w:rsidRDefault="009C2E4A"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SEGEPRO </w:t>
      </w:r>
      <w:r w:rsidRPr="009C2E4A">
        <w:rPr>
          <w:rFonts w:ascii="Times New Roman" w:hAnsi="Times New Roman" w:cs="Times New Roman"/>
          <w:i/>
          <w:sz w:val="24"/>
          <w:szCs w:val="24"/>
        </w:rPr>
        <w:t>–</w:t>
      </w:r>
      <w:r w:rsidRPr="009C2E4A">
        <w:rPr>
          <w:rFonts w:ascii="Times New Roman" w:hAnsi="Times New Roman" w:cs="Times New Roman"/>
          <w:sz w:val="24"/>
          <w:szCs w:val="24"/>
        </w:rPr>
        <w:t xml:space="preserve"> Seção de Gestão de Riscos e de Gerenciamento de Projetos</w:t>
      </w:r>
      <w:r>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SEGIN</w:t>
      </w:r>
      <w:r w:rsidR="00DD6B12" w:rsidRPr="009C2E4A">
        <w:rPr>
          <w:rFonts w:ascii="Times New Roman" w:hAnsi="Times New Roman" w:cs="Times New Roman"/>
          <w:sz w:val="24"/>
          <w:szCs w:val="24"/>
        </w:rPr>
        <w:t xml:space="preserve">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Segurança Institucional</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SEJUPE</w:t>
      </w:r>
      <w:r w:rsidR="00DD6B12" w:rsidRPr="009C2E4A">
        <w:rPr>
          <w:rFonts w:ascii="Times New Roman" w:hAnsi="Times New Roman" w:cs="Times New Roman"/>
          <w:sz w:val="24"/>
          <w:szCs w:val="24"/>
        </w:rPr>
        <w:t xml:space="preserve">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Normas e Jurisprudência de Pessoal</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SELIC</w:t>
      </w:r>
      <w:r w:rsidR="00DD6B12" w:rsidRPr="009C2E4A">
        <w:rPr>
          <w:rFonts w:ascii="Times New Roman" w:hAnsi="Times New Roman" w:cs="Times New Roman"/>
          <w:sz w:val="24"/>
          <w:szCs w:val="24"/>
        </w:rPr>
        <w:t xml:space="preserve">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Licitações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SELOG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Logística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SEMAMP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Apoio aos Juízes Eleitorais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SEMIN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Microinformática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SEORIS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Orientação aos Sistemas Eleitorais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pacing w:val="-4"/>
          <w:sz w:val="24"/>
          <w:szCs w:val="24"/>
        </w:rPr>
      </w:pPr>
      <w:r w:rsidRPr="009C2E4A">
        <w:rPr>
          <w:rFonts w:ascii="Times New Roman" w:hAnsi="Times New Roman" w:cs="Times New Roman"/>
          <w:spacing w:val="-4"/>
          <w:sz w:val="24"/>
          <w:szCs w:val="24"/>
        </w:rPr>
        <w:t xml:space="preserve">SEPAGE </w:t>
      </w:r>
      <w:r w:rsidR="00DD6B12" w:rsidRPr="009C2E4A">
        <w:rPr>
          <w:rFonts w:ascii="Times New Roman" w:hAnsi="Times New Roman" w:cs="Times New Roman"/>
          <w:i/>
          <w:spacing w:val="-4"/>
          <w:sz w:val="24"/>
          <w:szCs w:val="24"/>
        </w:rPr>
        <w:t>–</w:t>
      </w:r>
      <w:r w:rsidR="00DD6B12" w:rsidRPr="009C2E4A">
        <w:rPr>
          <w:rFonts w:ascii="Times New Roman" w:hAnsi="Times New Roman" w:cs="Times New Roman"/>
          <w:spacing w:val="-4"/>
          <w:sz w:val="24"/>
          <w:szCs w:val="24"/>
        </w:rPr>
        <w:t xml:space="preserve"> </w:t>
      </w:r>
      <w:r w:rsidRPr="009C2E4A">
        <w:rPr>
          <w:rFonts w:ascii="Times New Roman" w:hAnsi="Times New Roman" w:cs="Times New Roman"/>
          <w:spacing w:val="-4"/>
          <w:sz w:val="24"/>
          <w:szCs w:val="24"/>
        </w:rPr>
        <w:t>Seção de Pagamento de Servidores Inativos, Pensionistas, Estagiários e Gratificações</w:t>
      </w:r>
      <w:r w:rsidR="009C2E4A" w:rsidRPr="009C2E4A">
        <w:rPr>
          <w:rFonts w:ascii="Times New Roman" w:hAnsi="Times New Roman" w:cs="Times New Roman"/>
          <w:spacing w:val="-4"/>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SEPATI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Pagamento de Servidores Ativos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SEPEX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Protocolo e Expedição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SEPLAME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Planejamento e Monitoramento de Eleições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lastRenderedPageBreak/>
        <w:t xml:space="preserve">SEPLANE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Planejamento</w:t>
      </w:r>
      <w:r w:rsidR="009C2E4A">
        <w:rPr>
          <w:rFonts w:ascii="Times New Roman" w:hAnsi="Times New Roman" w:cs="Times New Roman"/>
          <w:sz w:val="24"/>
          <w:szCs w:val="24"/>
        </w:rPr>
        <w:t>.</w:t>
      </w:r>
    </w:p>
    <w:p w:rsidR="00A97070" w:rsidRPr="00A70B6D"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SEPROG</w:t>
      </w:r>
      <w:r w:rsidR="00DD6B12" w:rsidRPr="009C2E4A">
        <w:rPr>
          <w:rFonts w:ascii="Times New Roman" w:hAnsi="Times New Roman" w:cs="Times New Roman"/>
          <w:sz w:val="24"/>
          <w:szCs w:val="24"/>
        </w:rPr>
        <w:t xml:space="preserve">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 xml:space="preserve">Seção de Programação e Controle </w:t>
      </w:r>
      <w:r w:rsidR="00DD6B12" w:rsidRPr="00A70B6D">
        <w:rPr>
          <w:rFonts w:ascii="Times New Roman" w:hAnsi="Times New Roman" w:cs="Times New Roman"/>
          <w:sz w:val="24"/>
          <w:szCs w:val="24"/>
        </w:rPr>
        <w:t>Orçamentário</w:t>
      </w:r>
      <w:r w:rsidR="009C2E4A" w:rsidRPr="00A70B6D">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SEPROQ</w:t>
      </w:r>
      <w:r w:rsidR="00DD6B12" w:rsidRPr="009C2E4A">
        <w:rPr>
          <w:rFonts w:ascii="Times New Roman" w:hAnsi="Times New Roman" w:cs="Times New Roman"/>
          <w:sz w:val="24"/>
          <w:szCs w:val="24"/>
        </w:rPr>
        <w:t xml:space="preserve">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Governança e de Gestão de Processos e da Qualidade</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SEPUJ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Publicação de Pautas e de Julgados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SEREDE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Recrutamento, Seleção e Desempenho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SEREF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Informações Funcionais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SEROJ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Comissionamento e Frequência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SESAU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Suporte ao Usuário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SESTE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Estudos Eleitorais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SESTAT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Estatística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SEUEL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Seção de Urna Eletrônica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SGA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Secretaria de Gestão Administrativa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SGP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Secretaria de Gestão de Pessoas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SGR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Sistema de Gestão de Riscos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SGRH</w:t>
      </w:r>
      <w:r w:rsidR="00DD6B12" w:rsidRPr="009C2E4A">
        <w:rPr>
          <w:rFonts w:ascii="Times New Roman" w:hAnsi="Times New Roman" w:cs="Times New Roman"/>
          <w:sz w:val="24"/>
          <w:szCs w:val="24"/>
        </w:rPr>
        <w:t xml:space="preserve">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Sistema de Gestão de Recursos Humanos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SGS</w:t>
      </w:r>
      <w:r w:rsidR="00DD6B12" w:rsidRPr="009C2E4A">
        <w:rPr>
          <w:rFonts w:ascii="Times New Roman" w:hAnsi="Times New Roman" w:cs="Times New Roman"/>
          <w:sz w:val="24"/>
          <w:szCs w:val="24"/>
        </w:rPr>
        <w:t xml:space="preserve">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Secretaria de Gestão de Serviços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SJU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Secretaria Judiciária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SOF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Secretaria de Orçamento e Finanças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STI </w:t>
      </w:r>
      <w:r w:rsidR="00DD6B12" w:rsidRPr="009C2E4A">
        <w:rPr>
          <w:rFonts w:ascii="Times New Roman" w:hAnsi="Times New Roman" w:cs="Times New Roman"/>
          <w:i/>
          <w:sz w:val="24"/>
          <w:szCs w:val="24"/>
        </w:rPr>
        <w:t>–</w:t>
      </w:r>
      <w:r w:rsidR="00DD6B12" w:rsidRPr="009C2E4A">
        <w:rPr>
          <w:rFonts w:ascii="Times New Roman" w:hAnsi="Times New Roman" w:cs="Times New Roman"/>
          <w:sz w:val="24"/>
          <w:szCs w:val="24"/>
        </w:rPr>
        <w:t xml:space="preserve"> </w:t>
      </w:r>
      <w:r w:rsidRPr="009C2E4A">
        <w:rPr>
          <w:rFonts w:ascii="Times New Roman" w:hAnsi="Times New Roman" w:cs="Times New Roman"/>
          <w:sz w:val="24"/>
          <w:szCs w:val="24"/>
        </w:rPr>
        <w:t>Secretaria de Tecnologia da Informação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TCU </w:t>
      </w:r>
      <w:r w:rsidR="00DD6B12" w:rsidRPr="009C2E4A">
        <w:rPr>
          <w:rFonts w:ascii="Times New Roman" w:hAnsi="Times New Roman" w:cs="Times New Roman"/>
          <w:i/>
          <w:sz w:val="24"/>
          <w:szCs w:val="24"/>
        </w:rPr>
        <w:t>–</w:t>
      </w:r>
      <w:r w:rsidRPr="009C2E4A">
        <w:rPr>
          <w:rFonts w:ascii="Times New Roman" w:hAnsi="Times New Roman" w:cs="Times New Roman"/>
          <w:sz w:val="24"/>
          <w:szCs w:val="24"/>
        </w:rPr>
        <w:t xml:space="preserve"> Tribunal de Contas da União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TI </w:t>
      </w:r>
      <w:r w:rsidR="00DD6B12" w:rsidRPr="009C2E4A">
        <w:rPr>
          <w:rFonts w:ascii="Times New Roman" w:hAnsi="Times New Roman" w:cs="Times New Roman"/>
          <w:i/>
          <w:sz w:val="24"/>
          <w:szCs w:val="24"/>
        </w:rPr>
        <w:t>–</w:t>
      </w:r>
      <w:r w:rsidRPr="009C2E4A">
        <w:rPr>
          <w:rFonts w:ascii="Times New Roman" w:hAnsi="Times New Roman" w:cs="Times New Roman"/>
          <w:sz w:val="24"/>
          <w:szCs w:val="24"/>
        </w:rPr>
        <w:t xml:space="preserve"> Tecnologia da Informação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eastAsia="Calibri" w:hAnsi="Times New Roman" w:cs="Times New Roman"/>
          <w:sz w:val="24"/>
          <w:szCs w:val="24"/>
        </w:rPr>
      </w:pPr>
      <w:r w:rsidRPr="009C2E4A">
        <w:rPr>
          <w:rFonts w:ascii="Times New Roman" w:eastAsia="Calibri" w:hAnsi="Times New Roman" w:cs="Times New Roman"/>
          <w:sz w:val="24"/>
          <w:szCs w:val="24"/>
        </w:rPr>
        <w:t xml:space="preserve">TIC </w:t>
      </w:r>
      <w:r w:rsidR="00DD6B12" w:rsidRPr="009C2E4A">
        <w:rPr>
          <w:rFonts w:ascii="Times New Roman" w:hAnsi="Times New Roman" w:cs="Times New Roman"/>
          <w:i/>
          <w:sz w:val="24"/>
          <w:szCs w:val="24"/>
        </w:rPr>
        <w:t xml:space="preserve">– </w:t>
      </w:r>
      <w:r w:rsidRPr="009C2E4A">
        <w:rPr>
          <w:rFonts w:ascii="Times New Roman" w:hAnsi="Times New Roman" w:cs="Times New Roman"/>
          <w:sz w:val="24"/>
          <w:szCs w:val="24"/>
        </w:rPr>
        <w:t>Tecnologia da Informação e Comunicação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eastAsia="Calibri" w:hAnsi="Times New Roman" w:cs="Times New Roman"/>
          <w:sz w:val="24"/>
          <w:szCs w:val="24"/>
        </w:rPr>
      </w:pPr>
      <w:r w:rsidRPr="009C2E4A">
        <w:rPr>
          <w:rFonts w:ascii="Times New Roman" w:eastAsia="Calibri" w:hAnsi="Times New Roman" w:cs="Times New Roman"/>
          <w:sz w:val="24"/>
          <w:szCs w:val="24"/>
        </w:rPr>
        <w:t xml:space="preserve">TLC </w:t>
      </w:r>
      <w:r w:rsidR="00DD6B12" w:rsidRPr="009C2E4A">
        <w:rPr>
          <w:rFonts w:ascii="Times New Roman" w:hAnsi="Times New Roman" w:cs="Times New Roman"/>
          <w:i/>
          <w:sz w:val="24"/>
          <w:szCs w:val="24"/>
        </w:rPr>
        <w:t>–</w:t>
      </w:r>
      <w:r w:rsidR="00D7036F">
        <w:rPr>
          <w:rFonts w:ascii="Times New Roman" w:hAnsi="Times New Roman" w:cs="Times New Roman"/>
          <w:i/>
          <w:sz w:val="24"/>
          <w:szCs w:val="24"/>
        </w:rPr>
        <w:t xml:space="preserve"> </w:t>
      </w:r>
      <w:r w:rsidRPr="009C2E4A">
        <w:rPr>
          <w:rFonts w:ascii="Times New Roman" w:eastAsia="Calibri" w:hAnsi="Times New Roman" w:cs="Times New Roman"/>
          <w:sz w:val="24"/>
          <w:szCs w:val="24"/>
        </w:rPr>
        <w:t>Tabela de Lotação de Cargos</w:t>
      </w:r>
      <w:r w:rsidR="009C2E4A">
        <w:rPr>
          <w:rFonts w:ascii="Times New Roman" w:eastAsia="Calibri" w:hAnsi="Times New Roman" w:cs="Times New Roman"/>
          <w:sz w:val="24"/>
          <w:szCs w:val="24"/>
        </w:rPr>
        <w:t>.</w:t>
      </w:r>
    </w:p>
    <w:p w:rsidR="00A97070" w:rsidRPr="009C2E4A" w:rsidRDefault="00A97070" w:rsidP="00DD6B12">
      <w:pPr>
        <w:spacing w:after="0" w:line="240" w:lineRule="auto"/>
        <w:jc w:val="both"/>
        <w:rPr>
          <w:rFonts w:ascii="Times New Roman" w:eastAsia="Calibri" w:hAnsi="Times New Roman" w:cs="Times New Roman"/>
          <w:sz w:val="24"/>
          <w:szCs w:val="24"/>
        </w:rPr>
      </w:pPr>
      <w:r w:rsidRPr="009C2E4A">
        <w:rPr>
          <w:rFonts w:ascii="Times New Roman" w:eastAsia="Calibri" w:hAnsi="Times New Roman" w:cs="Times New Roman"/>
          <w:sz w:val="24"/>
          <w:szCs w:val="24"/>
        </w:rPr>
        <w:t xml:space="preserve">TLP </w:t>
      </w:r>
      <w:r w:rsidR="00DD6B12" w:rsidRPr="009C2E4A">
        <w:rPr>
          <w:rFonts w:ascii="Times New Roman" w:hAnsi="Times New Roman" w:cs="Times New Roman"/>
          <w:i/>
          <w:sz w:val="24"/>
          <w:szCs w:val="24"/>
        </w:rPr>
        <w:t>–</w:t>
      </w:r>
      <w:r w:rsidRPr="009C2E4A">
        <w:rPr>
          <w:rFonts w:ascii="Times New Roman" w:eastAsia="Calibri" w:hAnsi="Times New Roman" w:cs="Times New Roman"/>
          <w:sz w:val="24"/>
          <w:szCs w:val="24"/>
        </w:rPr>
        <w:t xml:space="preserve"> Tabela de Lotação de Pessoal</w:t>
      </w:r>
      <w:r w:rsidR="009C2E4A">
        <w:rPr>
          <w:rFonts w:ascii="Times New Roman" w:eastAsia="Calibri"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TRE </w:t>
      </w:r>
      <w:r w:rsidR="00D7036F" w:rsidRPr="009C2E4A">
        <w:rPr>
          <w:rFonts w:ascii="Times New Roman" w:hAnsi="Times New Roman" w:cs="Times New Roman"/>
          <w:i/>
          <w:sz w:val="24"/>
          <w:szCs w:val="24"/>
        </w:rPr>
        <w:t>–</w:t>
      </w:r>
      <w:r w:rsidRPr="009C2E4A">
        <w:rPr>
          <w:rFonts w:ascii="Times New Roman" w:hAnsi="Times New Roman" w:cs="Times New Roman"/>
          <w:sz w:val="24"/>
          <w:szCs w:val="24"/>
        </w:rPr>
        <w:t xml:space="preserve"> MG </w:t>
      </w:r>
      <w:r w:rsidR="00DD6B12" w:rsidRPr="009C2E4A">
        <w:rPr>
          <w:rFonts w:ascii="Times New Roman" w:hAnsi="Times New Roman" w:cs="Times New Roman"/>
          <w:i/>
          <w:sz w:val="24"/>
          <w:szCs w:val="24"/>
        </w:rPr>
        <w:t xml:space="preserve">– </w:t>
      </w:r>
      <w:r w:rsidRPr="009C2E4A">
        <w:rPr>
          <w:rFonts w:ascii="Times New Roman" w:hAnsi="Times New Roman" w:cs="Times New Roman"/>
          <w:sz w:val="24"/>
          <w:szCs w:val="24"/>
        </w:rPr>
        <w:t>Tribunal Regional Eleitoral de Minas Gerais</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TRE </w:t>
      </w:r>
      <w:r w:rsidR="00D7036F" w:rsidRPr="009C2E4A">
        <w:rPr>
          <w:rFonts w:ascii="Times New Roman" w:hAnsi="Times New Roman" w:cs="Times New Roman"/>
          <w:i/>
          <w:sz w:val="24"/>
          <w:szCs w:val="24"/>
        </w:rPr>
        <w:t>–</w:t>
      </w:r>
      <w:r w:rsidRPr="009C2E4A">
        <w:rPr>
          <w:rFonts w:ascii="Times New Roman" w:hAnsi="Times New Roman" w:cs="Times New Roman"/>
          <w:sz w:val="24"/>
          <w:szCs w:val="24"/>
        </w:rPr>
        <w:t xml:space="preserve"> </w:t>
      </w:r>
      <w:r w:rsidR="00DD6B12" w:rsidRPr="009C2E4A">
        <w:rPr>
          <w:rFonts w:ascii="Times New Roman" w:hAnsi="Times New Roman" w:cs="Times New Roman"/>
          <w:sz w:val="24"/>
          <w:szCs w:val="24"/>
        </w:rPr>
        <w:t xml:space="preserve">BA </w:t>
      </w:r>
      <w:r w:rsidR="00DD6B12" w:rsidRPr="009C2E4A">
        <w:rPr>
          <w:rFonts w:ascii="Times New Roman" w:hAnsi="Times New Roman" w:cs="Times New Roman"/>
          <w:i/>
          <w:sz w:val="24"/>
          <w:szCs w:val="24"/>
        </w:rPr>
        <w:t>–</w:t>
      </w:r>
      <w:r w:rsidRPr="009C2E4A">
        <w:rPr>
          <w:rFonts w:ascii="Times New Roman" w:hAnsi="Times New Roman" w:cs="Times New Roman"/>
          <w:sz w:val="24"/>
          <w:szCs w:val="24"/>
        </w:rPr>
        <w:t xml:space="preserve"> Tribunal Regional Eleitoral da Bahia</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TRE </w:t>
      </w:r>
      <w:r w:rsidR="00D7036F" w:rsidRPr="009C2E4A">
        <w:rPr>
          <w:rFonts w:ascii="Times New Roman" w:hAnsi="Times New Roman" w:cs="Times New Roman"/>
          <w:i/>
          <w:sz w:val="24"/>
          <w:szCs w:val="24"/>
        </w:rPr>
        <w:t>–</w:t>
      </w:r>
      <w:r w:rsidRPr="009C2E4A">
        <w:rPr>
          <w:rFonts w:ascii="Times New Roman" w:hAnsi="Times New Roman" w:cs="Times New Roman"/>
          <w:sz w:val="24"/>
          <w:szCs w:val="24"/>
        </w:rPr>
        <w:t xml:space="preserve"> </w:t>
      </w:r>
      <w:r w:rsidR="00DD6B12" w:rsidRPr="009C2E4A">
        <w:rPr>
          <w:rFonts w:ascii="Times New Roman" w:hAnsi="Times New Roman" w:cs="Times New Roman"/>
          <w:sz w:val="24"/>
          <w:szCs w:val="24"/>
        </w:rPr>
        <w:t>MA</w:t>
      </w:r>
      <w:r w:rsidRPr="009C2E4A">
        <w:rPr>
          <w:rFonts w:ascii="Times New Roman" w:hAnsi="Times New Roman" w:cs="Times New Roman"/>
          <w:sz w:val="24"/>
          <w:szCs w:val="24"/>
        </w:rPr>
        <w:t xml:space="preserve"> </w:t>
      </w:r>
      <w:r w:rsidR="00DD6B12" w:rsidRPr="009C2E4A">
        <w:rPr>
          <w:rFonts w:ascii="Times New Roman" w:hAnsi="Times New Roman" w:cs="Times New Roman"/>
          <w:i/>
          <w:sz w:val="24"/>
          <w:szCs w:val="24"/>
        </w:rPr>
        <w:t>–</w:t>
      </w:r>
      <w:r w:rsidRPr="009C2E4A">
        <w:rPr>
          <w:rFonts w:ascii="Times New Roman" w:hAnsi="Times New Roman" w:cs="Times New Roman"/>
          <w:sz w:val="24"/>
          <w:szCs w:val="24"/>
        </w:rPr>
        <w:t xml:space="preserve"> Tribunal Regional Eleitoral do Maranhão</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TRE </w:t>
      </w:r>
      <w:r w:rsidR="00D7036F" w:rsidRPr="009C2E4A">
        <w:rPr>
          <w:rFonts w:ascii="Times New Roman" w:hAnsi="Times New Roman" w:cs="Times New Roman"/>
          <w:i/>
          <w:sz w:val="24"/>
          <w:szCs w:val="24"/>
        </w:rPr>
        <w:t>–</w:t>
      </w:r>
      <w:r w:rsidRPr="009C2E4A">
        <w:rPr>
          <w:rFonts w:ascii="Times New Roman" w:hAnsi="Times New Roman" w:cs="Times New Roman"/>
          <w:sz w:val="24"/>
          <w:szCs w:val="24"/>
        </w:rPr>
        <w:t xml:space="preserve"> PA </w:t>
      </w:r>
      <w:r w:rsidR="00DD6B12" w:rsidRPr="009C2E4A">
        <w:rPr>
          <w:rFonts w:ascii="Times New Roman" w:hAnsi="Times New Roman" w:cs="Times New Roman"/>
          <w:i/>
          <w:sz w:val="24"/>
          <w:szCs w:val="24"/>
        </w:rPr>
        <w:t xml:space="preserve">– </w:t>
      </w:r>
      <w:r w:rsidRPr="009C2E4A">
        <w:rPr>
          <w:rFonts w:ascii="Times New Roman" w:hAnsi="Times New Roman" w:cs="Times New Roman"/>
          <w:sz w:val="24"/>
          <w:szCs w:val="24"/>
        </w:rPr>
        <w:t>Tribunal Regional Eleitoral do Pará</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TSE </w:t>
      </w:r>
      <w:r w:rsidR="00DD6B12" w:rsidRPr="009C2E4A">
        <w:rPr>
          <w:rFonts w:ascii="Times New Roman" w:hAnsi="Times New Roman" w:cs="Times New Roman"/>
          <w:i/>
          <w:sz w:val="24"/>
          <w:szCs w:val="24"/>
        </w:rPr>
        <w:t>–</w:t>
      </w:r>
      <w:r w:rsidRPr="009C2E4A">
        <w:rPr>
          <w:rFonts w:ascii="Times New Roman" w:hAnsi="Times New Roman" w:cs="Times New Roman"/>
          <w:sz w:val="24"/>
          <w:szCs w:val="24"/>
        </w:rPr>
        <w:t xml:space="preserve"> Tribunal Superior Eleitoral</w:t>
      </w:r>
      <w:r w:rsidR="009C2E4A">
        <w:rPr>
          <w:rFonts w:ascii="Times New Roman" w:hAnsi="Times New Roman" w:cs="Times New Roman"/>
          <w:sz w:val="24"/>
          <w:szCs w:val="24"/>
        </w:rPr>
        <w:t>.</w:t>
      </w:r>
    </w:p>
    <w:p w:rsidR="00A97070" w:rsidRPr="009C2E4A" w:rsidRDefault="00A97070" w:rsidP="00DD6B12">
      <w:pPr>
        <w:spacing w:after="0" w:line="240" w:lineRule="auto"/>
        <w:jc w:val="both"/>
        <w:rPr>
          <w:rFonts w:ascii="Times New Roman" w:hAnsi="Times New Roman" w:cs="Times New Roman"/>
          <w:sz w:val="24"/>
          <w:szCs w:val="24"/>
        </w:rPr>
      </w:pPr>
      <w:r w:rsidRPr="009C2E4A">
        <w:rPr>
          <w:rFonts w:ascii="Times New Roman" w:hAnsi="Times New Roman" w:cs="Times New Roman"/>
          <w:sz w:val="24"/>
          <w:szCs w:val="24"/>
        </w:rPr>
        <w:t xml:space="preserve">ZE </w:t>
      </w:r>
      <w:r w:rsidR="00DD6B12" w:rsidRPr="009C2E4A">
        <w:rPr>
          <w:rFonts w:ascii="Times New Roman" w:hAnsi="Times New Roman" w:cs="Times New Roman"/>
          <w:i/>
          <w:sz w:val="24"/>
          <w:szCs w:val="24"/>
        </w:rPr>
        <w:t>–</w:t>
      </w:r>
      <w:r w:rsidRPr="009C2E4A">
        <w:rPr>
          <w:rFonts w:ascii="Times New Roman" w:hAnsi="Times New Roman" w:cs="Times New Roman"/>
          <w:sz w:val="24"/>
          <w:szCs w:val="24"/>
        </w:rPr>
        <w:t xml:space="preserve"> Zona Eleitoral</w:t>
      </w:r>
      <w:r w:rsidR="009C2E4A">
        <w:rPr>
          <w:rFonts w:ascii="Times New Roman" w:hAnsi="Times New Roman" w:cs="Times New Roman"/>
          <w:sz w:val="24"/>
          <w:szCs w:val="24"/>
        </w:rPr>
        <w:t>.</w:t>
      </w:r>
    </w:p>
    <w:p w:rsidR="009C2E4A" w:rsidRPr="009C2E4A" w:rsidRDefault="009C2E4A" w:rsidP="00A97070">
      <w:pPr>
        <w:rPr>
          <w:rFonts w:ascii="Times New Roman" w:eastAsia="Calibri" w:hAnsi="Times New Roman" w:cs="Times New Roman"/>
          <w:color w:val="0070C0"/>
          <w:sz w:val="24"/>
          <w:szCs w:val="24"/>
        </w:rPr>
        <w:sectPr w:rsidR="009C2E4A" w:rsidRPr="009C2E4A" w:rsidSect="009C2E4A">
          <w:type w:val="continuous"/>
          <w:pgSz w:w="11906" w:h="16838" w:code="9"/>
          <w:pgMar w:top="1701" w:right="1418" w:bottom="1701" w:left="1418" w:header="709" w:footer="709" w:gutter="0"/>
          <w:pgNumType w:start="3"/>
          <w:cols w:space="708"/>
          <w:titlePg/>
          <w:docGrid w:linePitch="360"/>
        </w:sectPr>
      </w:pPr>
    </w:p>
    <w:p w:rsidR="00A97070" w:rsidRPr="00B82C77" w:rsidRDefault="00A97070" w:rsidP="00A97070"/>
    <w:p w:rsidR="00A97070" w:rsidRPr="00A97070" w:rsidRDefault="00A97070" w:rsidP="00A97070">
      <w:pPr>
        <w:tabs>
          <w:tab w:val="left" w:pos="-1985"/>
          <w:tab w:val="left" w:pos="0"/>
          <w:tab w:val="left" w:pos="1418"/>
        </w:tabs>
        <w:jc w:val="both"/>
        <w:rPr>
          <w:sz w:val="24"/>
          <w:szCs w:val="24"/>
        </w:rPr>
        <w:sectPr w:rsidR="00A97070" w:rsidRPr="00A97070" w:rsidSect="009C2E4A">
          <w:type w:val="continuous"/>
          <w:pgSz w:w="11906" w:h="16838" w:code="9"/>
          <w:pgMar w:top="1701" w:right="1418" w:bottom="1701" w:left="1418" w:header="709" w:footer="709" w:gutter="0"/>
          <w:pgNumType w:start="3"/>
          <w:cols w:space="708"/>
          <w:titlePg/>
          <w:docGrid w:linePitch="360"/>
        </w:sectPr>
      </w:pPr>
    </w:p>
    <w:sdt>
      <w:sdtPr>
        <w:rPr>
          <w:rFonts w:asciiTheme="minorHAnsi" w:eastAsiaTheme="minorHAnsi" w:hAnsiTheme="minorHAnsi" w:cstheme="minorBidi"/>
          <w:b w:val="0"/>
          <w:bCs w:val="0"/>
          <w:color w:val="auto"/>
          <w:sz w:val="22"/>
          <w:szCs w:val="22"/>
          <w:lang w:eastAsia="en-US"/>
        </w:rPr>
        <w:id w:val="1800568564"/>
        <w:docPartObj>
          <w:docPartGallery w:val="Table of Contents"/>
          <w:docPartUnique/>
        </w:docPartObj>
      </w:sdtPr>
      <w:sdtEndPr/>
      <w:sdtContent>
        <w:p w:rsidR="008F1C72" w:rsidRPr="00F608EB" w:rsidRDefault="008F1C72" w:rsidP="008F1C72">
          <w:pPr>
            <w:pStyle w:val="CabealhodoSumrio"/>
            <w:rPr>
              <w:rFonts w:ascii="Times New Roman" w:hAnsi="Times New Roman" w:cs="Times New Roman"/>
              <w:caps/>
              <w:color w:val="auto"/>
              <w:sz w:val="24"/>
              <w:szCs w:val="24"/>
            </w:rPr>
          </w:pPr>
          <w:r w:rsidRPr="00F608EB">
            <w:rPr>
              <w:rFonts w:ascii="Times New Roman" w:hAnsi="Times New Roman" w:cs="Times New Roman"/>
              <w:caps/>
              <w:color w:val="auto"/>
              <w:sz w:val="24"/>
              <w:szCs w:val="24"/>
            </w:rPr>
            <w:t>Sumário</w:t>
          </w:r>
        </w:p>
        <w:p w:rsidR="00A70B6D" w:rsidRDefault="008F1C72">
          <w:pPr>
            <w:pStyle w:val="Sumrio1"/>
            <w:rPr>
              <w:rFonts w:asciiTheme="minorHAnsi" w:eastAsiaTheme="minorEastAsia" w:hAnsiTheme="minorHAnsi" w:cstheme="minorBidi"/>
              <w:sz w:val="22"/>
              <w:szCs w:val="22"/>
              <w:lang w:eastAsia="pt-BR"/>
            </w:rPr>
          </w:pPr>
          <w:r w:rsidRPr="00F608EB">
            <w:fldChar w:fldCharType="begin"/>
          </w:r>
          <w:r w:rsidRPr="00F608EB">
            <w:instrText xml:space="preserve"> TOC \o "1-3" \h \z \u </w:instrText>
          </w:r>
          <w:r w:rsidRPr="00F608EB">
            <w:fldChar w:fldCharType="separate"/>
          </w:r>
        </w:p>
        <w:p w:rsidR="00A70B6D" w:rsidRDefault="007F1BA1">
          <w:pPr>
            <w:pStyle w:val="Sumrio1"/>
            <w:rPr>
              <w:rFonts w:asciiTheme="minorHAnsi" w:eastAsiaTheme="minorEastAsia" w:hAnsiTheme="minorHAnsi" w:cstheme="minorBidi"/>
              <w:sz w:val="22"/>
              <w:szCs w:val="22"/>
              <w:lang w:eastAsia="pt-BR"/>
            </w:rPr>
          </w:pPr>
          <w:hyperlink w:anchor="_Toc520405193" w:history="1">
            <w:r w:rsidR="00B22293">
              <w:rPr>
                <w:rStyle w:val="Hyperlink"/>
              </w:rPr>
              <w:t>1</w:t>
            </w:r>
            <w:r w:rsidR="00A70B6D">
              <w:rPr>
                <w:rFonts w:asciiTheme="minorHAnsi" w:eastAsiaTheme="minorEastAsia" w:hAnsiTheme="minorHAnsi" w:cstheme="minorBidi"/>
                <w:sz w:val="22"/>
                <w:szCs w:val="22"/>
                <w:lang w:eastAsia="pt-BR"/>
              </w:rPr>
              <w:tab/>
            </w:r>
            <w:r w:rsidR="00A70B6D" w:rsidRPr="0048528E">
              <w:rPr>
                <w:rStyle w:val="Hyperlink"/>
              </w:rPr>
              <w:t>INTRODUÇÃO</w:t>
            </w:r>
            <w:r w:rsidR="00A70B6D">
              <w:rPr>
                <w:webHidden/>
              </w:rPr>
              <w:tab/>
            </w:r>
            <w:r w:rsidR="00A70B6D">
              <w:rPr>
                <w:webHidden/>
              </w:rPr>
              <w:fldChar w:fldCharType="begin"/>
            </w:r>
            <w:r w:rsidR="00A70B6D">
              <w:rPr>
                <w:webHidden/>
              </w:rPr>
              <w:instrText xml:space="preserve"> PAGEREF _Toc520405193 \h </w:instrText>
            </w:r>
            <w:r w:rsidR="00A70B6D">
              <w:rPr>
                <w:webHidden/>
              </w:rPr>
            </w:r>
            <w:r w:rsidR="00A70B6D">
              <w:rPr>
                <w:webHidden/>
              </w:rPr>
              <w:fldChar w:fldCharType="separate"/>
            </w:r>
            <w:r w:rsidR="00244DAD">
              <w:rPr>
                <w:webHidden/>
              </w:rPr>
              <w:t>5</w:t>
            </w:r>
            <w:r w:rsidR="00A70B6D">
              <w:rPr>
                <w:webHidden/>
              </w:rPr>
              <w:fldChar w:fldCharType="end"/>
            </w:r>
          </w:hyperlink>
        </w:p>
        <w:p w:rsidR="00A70B6D" w:rsidRDefault="007F1BA1">
          <w:pPr>
            <w:pStyle w:val="Sumrio1"/>
            <w:rPr>
              <w:rFonts w:asciiTheme="minorHAnsi" w:eastAsiaTheme="minorEastAsia" w:hAnsiTheme="minorHAnsi" w:cstheme="minorBidi"/>
              <w:sz w:val="22"/>
              <w:szCs w:val="22"/>
              <w:lang w:eastAsia="pt-BR"/>
            </w:rPr>
          </w:pPr>
          <w:hyperlink w:anchor="_Toc520405194" w:history="1">
            <w:r w:rsidR="00A70B6D" w:rsidRPr="0048528E">
              <w:rPr>
                <w:rStyle w:val="Hyperlink"/>
                <w:caps/>
              </w:rPr>
              <w:t>2</w:t>
            </w:r>
            <w:r w:rsidR="00A70B6D">
              <w:rPr>
                <w:rFonts w:asciiTheme="minorHAnsi" w:eastAsiaTheme="minorEastAsia" w:hAnsiTheme="minorHAnsi" w:cstheme="minorBidi"/>
                <w:sz w:val="22"/>
                <w:szCs w:val="22"/>
                <w:lang w:eastAsia="pt-BR"/>
              </w:rPr>
              <w:tab/>
            </w:r>
            <w:r w:rsidR="00A70B6D" w:rsidRPr="0048528E">
              <w:rPr>
                <w:rStyle w:val="Hyperlink"/>
                <w:caps/>
              </w:rPr>
              <w:t>Visão geral do objeto AUDITADO</w:t>
            </w:r>
            <w:r w:rsidR="00A70B6D">
              <w:rPr>
                <w:webHidden/>
              </w:rPr>
              <w:tab/>
            </w:r>
            <w:r w:rsidR="00A70B6D">
              <w:rPr>
                <w:webHidden/>
              </w:rPr>
              <w:fldChar w:fldCharType="begin"/>
            </w:r>
            <w:r w:rsidR="00A70B6D">
              <w:rPr>
                <w:webHidden/>
              </w:rPr>
              <w:instrText xml:space="preserve"> PAGEREF _Toc520405194 \h </w:instrText>
            </w:r>
            <w:r w:rsidR="00A70B6D">
              <w:rPr>
                <w:webHidden/>
              </w:rPr>
            </w:r>
            <w:r w:rsidR="00A70B6D">
              <w:rPr>
                <w:webHidden/>
              </w:rPr>
              <w:fldChar w:fldCharType="separate"/>
            </w:r>
            <w:r w:rsidR="00244DAD">
              <w:rPr>
                <w:webHidden/>
              </w:rPr>
              <w:t>5</w:t>
            </w:r>
            <w:r w:rsidR="00A70B6D">
              <w:rPr>
                <w:webHidden/>
              </w:rPr>
              <w:fldChar w:fldCharType="end"/>
            </w:r>
          </w:hyperlink>
        </w:p>
        <w:p w:rsidR="00A70B6D" w:rsidRDefault="007F1BA1">
          <w:pPr>
            <w:pStyle w:val="Sumrio1"/>
            <w:rPr>
              <w:rFonts w:asciiTheme="minorHAnsi" w:eastAsiaTheme="minorEastAsia" w:hAnsiTheme="minorHAnsi" w:cstheme="minorBidi"/>
              <w:sz w:val="22"/>
              <w:szCs w:val="22"/>
              <w:lang w:eastAsia="pt-BR"/>
            </w:rPr>
          </w:pPr>
          <w:hyperlink w:anchor="_Toc520405195" w:history="1">
            <w:r w:rsidR="00A70B6D" w:rsidRPr="0048528E">
              <w:rPr>
                <w:rStyle w:val="Hyperlink"/>
              </w:rPr>
              <w:t>3</w:t>
            </w:r>
            <w:r w:rsidR="00A70B6D">
              <w:rPr>
                <w:rFonts w:asciiTheme="minorHAnsi" w:eastAsiaTheme="minorEastAsia" w:hAnsiTheme="minorHAnsi" w:cstheme="minorBidi"/>
                <w:sz w:val="22"/>
                <w:szCs w:val="22"/>
                <w:lang w:eastAsia="pt-BR"/>
              </w:rPr>
              <w:tab/>
            </w:r>
            <w:r w:rsidR="00A70B6D" w:rsidRPr="0048528E">
              <w:rPr>
                <w:rStyle w:val="Hyperlink"/>
              </w:rPr>
              <w:t>OBJETIVO</w:t>
            </w:r>
            <w:r w:rsidR="00A70B6D">
              <w:rPr>
                <w:webHidden/>
              </w:rPr>
              <w:tab/>
            </w:r>
            <w:r w:rsidR="00A70B6D">
              <w:rPr>
                <w:webHidden/>
              </w:rPr>
              <w:fldChar w:fldCharType="begin"/>
            </w:r>
            <w:r w:rsidR="00A70B6D">
              <w:rPr>
                <w:webHidden/>
              </w:rPr>
              <w:instrText xml:space="preserve"> PAGEREF _Toc520405195 \h </w:instrText>
            </w:r>
            <w:r w:rsidR="00A70B6D">
              <w:rPr>
                <w:webHidden/>
              </w:rPr>
            </w:r>
            <w:r w:rsidR="00A70B6D">
              <w:rPr>
                <w:webHidden/>
              </w:rPr>
              <w:fldChar w:fldCharType="separate"/>
            </w:r>
            <w:r w:rsidR="00244DAD">
              <w:rPr>
                <w:webHidden/>
              </w:rPr>
              <w:t>8</w:t>
            </w:r>
            <w:r w:rsidR="00A70B6D">
              <w:rPr>
                <w:webHidden/>
              </w:rPr>
              <w:fldChar w:fldCharType="end"/>
            </w:r>
          </w:hyperlink>
        </w:p>
        <w:p w:rsidR="00A70B6D" w:rsidRDefault="007F1BA1">
          <w:pPr>
            <w:pStyle w:val="Sumrio1"/>
            <w:rPr>
              <w:rFonts w:asciiTheme="minorHAnsi" w:eastAsiaTheme="minorEastAsia" w:hAnsiTheme="minorHAnsi" w:cstheme="minorBidi"/>
              <w:sz w:val="22"/>
              <w:szCs w:val="22"/>
              <w:lang w:eastAsia="pt-BR"/>
            </w:rPr>
          </w:pPr>
          <w:hyperlink w:anchor="_Toc520405196" w:history="1">
            <w:r w:rsidR="00A70B6D" w:rsidRPr="0048528E">
              <w:rPr>
                <w:rStyle w:val="Hyperlink"/>
              </w:rPr>
              <w:t>4</w:t>
            </w:r>
            <w:r w:rsidR="00A70B6D">
              <w:rPr>
                <w:rFonts w:asciiTheme="minorHAnsi" w:eastAsiaTheme="minorEastAsia" w:hAnsiTheme="minorHAnsi" w:cstheme="minorBidi"/>
                <w:sz w:val="22"/>
                <w:szCs w:val="22"/>
                <w:lang w:eastAsia="pt-BR"/>
              </w:rPr>
              <w:tab/>
            </w:r>
            <w:r w:rsidR="00A70B6D" w:rsidRPr="0048528E">
              <w:rPr>
                <w:rStyle w:val="Hyperlink"/>
              </w:rPr>
              <w:t>ESCOPO</w:t>
            </w:r>
            <w:r w:rsidR="00A70B6D">
              <w:rPr>
                <w:webHidden/>
              </w:rPr>
              <w:tab/>
            </w:r>
            <w:r w:rsidR="00A70B6D">
              <w:rPr>
                <w:webHidden/>
              </w:rPr>
              <w:fldChar w:fldCharType="begin"/>
            </w:r>
            <w:r w:rsidR="00A70B6D">
              <w:rPr>
                <w:webHidden/>
              </w:rPr>
              <w:instrText xml:space="preserve"> PAGEREF _Toc520405196 \h </w:instrText>
            </w:r>
            <w:r w:rsidR="00A70B6D">
              <w:rPr>
                <w:webHidden/>
              </w:rPr>
            </w:r>
            <w:r w:rsidR="00A70B6D">
              <w:rPr>
                <w:webHidden/>
              </w:rPr>
              <w:fldChar w:fldCharType="separate"/>
            </w:r>
            <w:r w:rsidR="00244DAD">
              <w:rPr>
                <w:webHidden/>
              </w:rPr>
              <w:t>8</w:t>
            </w:r>
            <w:r w:rsidR="00A70B6D">
              <w:rPr>
                <w:webHidden/>
              </w:rPr>
              <w:fldChar w:fldCharType="end"/>
            </w:r>
          </w:hyperlink>
        </w:p>
        <w:p w:rsidR="00A70B6D" w:rsidRDefault="007F1BA1">
          <w:pPr>
            <w:pStyle w:val="Sumrio1"/>
            <w:rPr>
              <w:rFonts w:asciiTheme="minorHAnsi" w:eastAsiaTheme="minorEastAsia" w:hAnsiTheme="minorHAnsi" w:cstheme="minorBidi"/>
              <w:sz w:val="22"/>
              <w:szCs w:val="22"/>
              <w:lang w:eastAsia="pt-BR"/>
            </w:rPr>
          </w:pPr>
          <w:hyperlink w:anchor="_Toc520405197" w:history="1">
            <w:r w:rsidR="00A70B6D" w:rsidRPr="0048528E">
              <w:rPr>
                <w:rStyle w:val="Hyperlink"/>
              </w:rPr>
              <w:t>5</w:t>
            </w:r>
            <w:r w:rsidR="00A70B6D">
              <w:rPr>
                <w:rFonts w:asciiTheme="minorHAnsi" w:eastAsiaTheme="minorEastAsia" w:hAnsiTheme="minorHAnsi" w:cstheme="minorBidi"/>
                <w:sz w:val="22"/>
                <w:szCs w:val="22"/>
                <w:lang w:eastAsia="pt-BR"/>
              </w:rPr>
              <w:tab/>
            </w:r>
            <w:r w:rsidR="00A70B6D" w:rsidRPr="0048528E">
              <w:rPr>
                <w:rStyle w:val="Hyperlink"/>
              </w:rPr>
              <w:t>CRITÉRIOS</w:t>
            </w:r>
            <w:r w:rsidR="00A70B6D">
              <w:rPr>
                <w:webHidden/>
              </w:rPr>
              <w:tab/>
            </w:r>
            <w:r w:rsidR="00A70B6D">
              <w:rPr>
                <w:webHidden/>
              </w:rPr>
              <w:fldChar w:fldCharType="begin"/>
            </w:r>
            <w:r w:rsidR="00A70B6D">
              <w:rPr>
                <w:webHidden/>
              </w:rPr>
              <w:instrText xml:space="preserve"> PAGEREF _Toc520405197 \h </w:instrText>
            </w:r>
            <w:r w:rsidR="00A70B6D">
              <w:rPr>
                <w:webHidden/>
              </w:rPr>
            </w:r>
            <w:r w:rsidR="00A70B6D">
              <w:rPr>
                <w:webHidden/>
              </w:rPr>
              <w:fldChar w:fldCharType="separate"/>
            </w:r>
            <w:r w:rsidR="00244DAD">
              <w:rPr>
                <w:webHidden/>
              </w:rPr>
              <w:t>9</w:t>
            </w:r>
            <w:r w:rsidR="00A70B6D">
              <w:rPr>
                <w:webHidden/>
              </w:rPr>
              <w:fldChar w:fldCharType="end"/>
            </w:r>
          </w:hyperlink>
        </w:p>
        <w:p w:rsidR="00A70B6D" w:rsidRDefault="007F1BA1">
          <w:pPr>
            <w:pStyle w:val="Sumrio1"/>
            <w:rPr>
              <w:rFonts w:asciiTheme="minorHAnsi" w:eastAsiaTheme="minorEastAsia" w:hAnsiTheme="minorHAnsi" w:cstheme="minorBidi"/>
              <w:sz w:val="22"/>
              <w:szCs w:val="22"/>
              <w:lang w:eastAsia="pt-BR"/>
            </w:rPr>
          </w:pPr>
          <w:hyperlink w:anchor="_Toc520405198" w:history="1">
            <w:r w:rsidR="00A70B6D" w:rsidRPr="0048528E">
              <w:rPr>
                <w:rStyle w:val="Hyperlink"/>
              </w:rPr>
              <w:t>6</w:t>
            </w:r>
            <w:r w:rsidR="00A70B6D">
              <w:rPr>
                <w:rFonts w:asciiTheme="minorHAnsi" w:eastAsiaTheme="minorEastAsia" w:hAnsiTheme="minorHAnsi" w:cstheme="minorBidi"/>
                <w:sz w:val="22"/>
                <w:szCs w:val="22"/>
                <w:lang w:eastAsia="pt-BR"/>
              </w:rPr>
              <w:tab/>
            </w:r>
            <w:r w:rsidR="00A70B6D" w:rsidRPr="0048528E">
              <w:rPr>
                <w:rStyle w:val="Hyperlink"/>
              </w:rPr>
              <w:t>METODOLOGIA, LIMITAÇÕES IMPOSTAS AO EXAME E BENEFÍCIOS</w:t>
            </w:r>
            <w:r w:rsidR="00A70B6D">
              <w:rPr>
                <w:webHidden/>
              </w:rPr>
              <w:tab/>
            </w:r>
            <w:r w:rsidR="00A70B6D">
              <w:rPr>
                <w:webHidden/>
              </w:rPr>
              <w:fldChar w:fldCharType="begin"/>
            </w:r>
            <w:r w:rsidR="00A70B6D">
              <w:rPr>
                <w:webHidden/>
              </w:rPr>
              <w:instrText xml:space="preserve"> PAGEREF _Toc520405198 \h </w:instrText>
            </w:r>
            <w:r w:rsidR="00A70B6D">
              <w:rPr>
                <w:webHidden/>
              </w:rPr>
            </w:r>
            <w:r w:rsidR="00A70B6D">
              <w:rPr>
                <w:webHidden/>
              </w:rPr>
              <w:fldChar w:fldCharType="separate"/>
            </w:r>
            <w:r w:rsidR="00244DAD">
              <w:rPr>
                <w:webHidden/>
              </w:rPr>
              <w:t>9</w:t>
            </w:r>
            <w:r w:rsidR="00A70B6D">
              <w:rPr>
                <w:webHidden/>
              </w:rPr>
              <w:fldChar w:fldCharType="end"/>
            </w:r>
          </w:hyperlink>
        </w:p>
        <w:p w:rsidR="00A70B6D" w:rsidRDefault="007F1BA1">
          <w:pPr>
            <w:pStyle w:val="Sumrio1"/>
            <w:rPr>
              <w:rFonts w:asciiTheme="minorHAnsi" w:eastAsiaTheme="minorEastAsia" w:hAnsiTheme="minorHAnsi" w:cstheme="minorBidi"/>
              <w:sz w:val="22"/>
              <w:szCs w:val="22"/>
              <w:lang w:eastAsia="pt-BR"/>
            </w:rPr>
          </w:pPr>
          <w:hyperlink w:anchor="_Toc520405199" w:history="1">
            <w:r w:rsidR="00A70B6D" w:rsidRPr="0048528E">
              <w:rPr>
                <w:rStyle w:val="Hyperlink"/>
              </w:rPr>
              <w:t>7</w:t>
            </w:r>
            <w:r w:rsidR="00A70B6D">
              <w:rPr>
                <w:rFonts w:asciiTheme="minorHAnsi" w:eastAsiaTheme="minorEastAsia" w:hAnsiTheme="minorHAnsi" w:cstheme="minorBidi"/>
                <w:sz w:val="22"/>
                <w:szCs w:val="22"/>
                <w:lang w:eastAsia="pt-BR"/>
              </w:rPr>
              <w:tab/>
            </w:r>
            <w:r w:rsidR="00A70B6D" w:rsidRPr="0048528E">
              <w:rPr>
                <w:rStyle w:val="Hyperlink"/>
              </w:rPr>
              <w:t>BOAS PRÁTICAS DE GESTÃO</w:t>
            </w:r>
            <w:r w:rsidR="00A70B6D">
              <w:rPr>
                <w:webHidden/>
              </w:rPr>
              <w:tab/>
            </w:r>
            <w:r w:rsidR="00A70B6D">
              <w:rPr>
                <w:webHidden/>
              </w:rPr>
              <w:fldChar w:fldCharType="begin"/>
            </w:r>
            <w:r w:rsidR="00A70B6D">
              <w:rPr>
                <w:webHidden/>
              </w:rPr>
              <w:instrText xml:space="preserve"> PAGEREF _Toc520405199 \h </w:instrText>
            </w:r>
            <w:r w:rsidR="00A70B6D">
              <w:rPr>
                <w:webHidden/>
              </w:rPr>
            </w:r>
            <w:r w:rsidR="00A70B6D">
              <w:rPr>
                <w:webHidden/>
              </w:rPr>
              <w:fldChar w:fldCharType="separate"/>
            </w:r>
            <w:r w:rsidR="00244DAD">
              <w:rPr>
                <w:webHidden/>
              </w:rPr>
              <w:t>11</w:t>
            </w:r>
            <w:r w:rsidR="00A70B6D">
              <w:rPr>
                <w:webHidden/>
              </w:rPr>
              <w:fldChar w:fldCharType="end"/>
            </w:r>
          </w:hyperlink>
        </w:p>
        <w:p w:rsidR="00A70B6D" w:rsidRDefault="007F1BA1">
          <w:pPr>
            <w:pStyle w:val="Sumrio1"/>
            <w:rPr>
              <w:rFonts w:asciiTheme="minorHAnsi" w:eastAsiaTheme="minorEastAsia" w:hAnsiTheme="minorHAnsi" w:cstheme="minorBidi"/>
              <w:sz w:val="22"/>
              <w:szCs w:val="22"/>
              <w:lang w:eastAsia="pt-BR"/>
            </w:rPr>
          </w:pPr>
          <w:hyperlink w:anchor="_Toc520405200" w:history="1">
            <w:r w:rsidR="00A70B6D" w:rsidRPr="0048528E">
              <w:rPr>
                <w:rStyle w:val="Hyperlink"/>
              </w:rPr>
              <w:t>8</w:t>
            </w:r>
            <w:r w:rsidR="00A70B6D">
              <w:rPr>
                <w:rFonts w:asciiTheme="minorHAnsi" w:eastAsiaTheme="minorEastAsia" w:hAnsiTheme="minorHAnsi" w:cstheme="minorBidi"/>
                <w:sz w:val="22"/>
                <w:szCs w:val="22"/>
                <w:lang w:eastAsia="pt-BR"/>
              </w:rPr>
              <w:tab/>
            </w:r>
            <w:r w:rsidR="00A70B6D" w:rsidRPr="0048528E">
              <w:rPr>
                <w:rStyle w:val="Hyperlink"/>
              </w:rPr>
              <w:t>ACHADOS DE AUDITORIA</w:t>
            </w:r>
            <w:r w:rsidR="00A70B6D">
              <w:rPr>
                <w:webHidden/>
              </w:rPr>
              <w:tab/>
            </w:r>
            <w:r w:rsidR="00A70B6D">
              <w:rPr>
                <w:webHidden/>
              </w:rPr>
              <w:fldChar w:fldCharType="begin"/>
            </w:r>
            <w:r w:rsidR="00A70B6D">
              <w:rPr>
                <w:webHidden/>
              </w:rPr>
              <w:instrText xml:space="preserve"> PAGEREF _Toc520405200 \h </w:instrText>
            </w:r>
            <w:r w:rsidR="00A70B6D">
              <w:rPr>
                <w:webHidden/>
              </w:rPr>
            </w:r>
            <w:r w:rsidR="00A70B6D">
              <w:rPr>
                <w:webHidden/>
              </w:rPr>
              <w:fldChar w:fldCharType="separate"/>
            </w:r>
            <w:r w:rsidR="00244DAD">
              <w:rPr>
                <w:webHidden/>
              </w:rPr>
              <w:t>12</w:t>
            </w:r>
            <w:r w:rsidR="00A70B6D">
              <w:rPr>
                <w:webHidden/>
              </w:rPr>
              <w:fldChar w:fldCharType="end"/>
            </w:r>
          </w:hyperlink>
        </w:p>
        <w:p w:rsidR="00A70B6D" w:rsidRDefault="007F1BA1">
          <w:pPr>
            <w:pStyle w:val="Sumrio1"/>
            <w:rPr>
              <w:rFonts w:asciiTheme="minorHAnsi" w:eastAsiaTheme="minorEastAsia" w:hAnsiTheme="minorHAnsi" w:cstheme="minorBidi"/>
              <w:sz w:val="22"/>
              <w:szCs w:val="22"/>
              <w:lang w:eastAsia="pt-BR"/>
            </w:rPr>
          </w:pPr>
          <w:hyperlink w:anchor="_Toc520405232" w:history="1">
            <w:r w:rsidR="00A70B6D" w:rsidRPr="0048528E">
              <w:rPr>
                <w:rStyle w:val="Hyperlink"/>
              </w:rPr>
              <w:t>9</w:t>
            </w:r>
            <w:r w:rsidR="00A70B6D">
              <w:rPr>
                <w:rFonts w:asciiTheme="minorHAnsi" w:eastAsiaTheme="minorEastAsia" w:hAnsiTheme="minorHAnsi" w:cstheme="minorBidi"/>
                <w:sz w:val="22"/>
                <w:szCs w:val="22"/>
                <w:lang w:eastAsia="pt-BR"/>
              </w:rPr>
              <w:tab/>
            </w:r>
            <w:r w:rsidR="00A70B6D" w:rsidRPr="0048528E">
              <w:rPr>
                <w:rStyle w:val="Hyperlink"/>
              </w:rPr>
              <w:t>ACHADO NÃO DECORRENTE DO ESCOPO DA AUDITORIA</w:t>
            </w:r>
            <w:r w:rsidR="00A70B6D">
              <w:rPr>
                <w:webHidden/>
              </w:rPr>
              <w:tab/>
            </w:r>
            <w:r w:rsidR="00A70B6D">
              <w:rPr>
                <w:webHidden/>
              </w:rPr>
              <w:fldChar w:fldCharType="begin"/>
            </w:r>
            <w:r w:rsidR="00A70B6D">
              <w:rPr>
                <w:webHidden/>
              </w:rPr>
              <w:instrText xml:space="preserve"> PAGEREF _Toc520405232 \h </w:instrText>
            </w:r>
            <w:r w:rsidR="00A70B6D">
              <w:rPr>
                <w:webHidden/>
              </w:rPr>
            </w:r>
            <w:r w:rsidR="00A70B6D">
              <w:rPr>
                <w:webHidden/>
              </w:rPr>
              <w:fldChar w:fldCharType="separate"/>
            </w:r>
            <w:r w:rsidR="00244DAD">
              <w:rPr>
                <w:webHidden/>
              </w:rPr>
              <w:t>46</w:t>
            </w:r>
            <w:r w:rsidR="00A70B6D">
              <w:rPr>
                <w:webHidden/>
              </w:rPr>
              <w:fldChar w:fldCharType="end"/>
            </w:r>
          </w:hyperlink>
        </w:p>
        <w:p w:rsidR="00A70B6D" w:rsidRDefault="007F1BA1">
          <w:pPr>
            <w:pStyle w:val="Sumrio1"/>
            <w:rPr>
              <w:rFonts w:asciiTheme="minorHAnsi" w:eastAsiaTheme="minorEastAsia" w:hAnsiTheme="minorHAnsi" w:cstheme="minorBidi"/>
              <w:sz w:val="22"/>
              <w:szCs w:val="22"/>
              <w:lang w:eastAsia="pt-BR"/>
            </w:rPr>
          </w:pPr>
          <w:hyperlink w:anchor="_Toc520405233" w:history="1">
            <w:r w:rsidR="00A70B6D" w:rsidRPr="0048528E">
              <w:rPr>
                <w:rStyle w:val="Hyperlink"/>
              </w:rPr>
              <w:t>10</w:t>
            </w:r>
            <w:r w:rsidR="00A70B6D">
              <w:rPr>
                <w:rFonts w:asciiTheme="minorHAnsi" w:eastAsiaTheme="minorEastAsia" w:hAnsiTheme="minorHAnsi" w:cstheme="minorBidi"/>
                <w:sz w:val="22"/>
                <w:szCs w:val="22"/>
                <w:lang w:eastAsia="pt-BR"/>
              </w:rPr>
              <w:tab/>
            </w:r>
            <w:r w:rsidR="00A70B6D" w:rsidRPr="0048528E">
              <w:rPr>
                <w:rStyle w:val="Hyperlink"/>
              </w:rPr>
              <w:t>CONCLUSÕES</w:t>
            </w:r>
            <w:r w:rsidR="00A70B6D">
              <w:rPr>
                <w:webHidden/>
              </w:rPr>
              <w:tab/>
            </w:r>
            <w:r w:rsidR="00A70B6D">
              <w:rPr>
                <w:webHidden/>
              </w:rPr>
              <w:fldChar w:fldCharType="begin"/>
            </w:r>
            <w:r w:rsidR="00A70B6D">
              <w:rPr>
                <w:webHidden/>
              </w:rPr>
              <w:instrText xml:space="preserve"> PAGEREF _Toc520405233 \h </w:instrText>
            </w:r>
            <w:r w:rsidR="00A70B6D">
              <w:rPr>
                <w:webHidden/>
              </w:rPr>
            </w:r>
            <w:r w:rsidR="00A70B6D">
              <w:rPr>
                <w:webHidden/>
              </w:rPr>
              <w:fldChar w:fldCharType="separate"/>
            </w:r>
            <w:r w:rsidR="00244DAD">
              <w:rPr>
                <w:webHidden/>
              </w:rPr>
              <w:t>46</w:t>
            </w:r>
            <w:r w:rsidR="00A70B6D">
              <w:rPr>
                <w:webHidden/>
              </w:rPr>
              <w:fldChar w:fldCharType="end"/>
            </w:r>
          </w:hyperlink>
        </w:p>
        <w:p w:rsidR="00A70B6D" w:rsidRDefault="007F1BA1">
          <w:pPr>
            <w:pStyle w:val="Sumrio1"/>
            <w:rPr>
              <w:rFonts w:asciiTheme="minorHAnsi" w:eastAsiaTheme="minorEastAsia" w:hAnsiTheme="minorHAnsi" w:cstheme="minorBidi"/>
              <w:sz w:val="22"/>
              <w:szCs w:val="22"/>
              <w:lang w:eastAsia="pt-BR"/>
            </w:rPr>
          </w:pPr>
          <w:hyperlink w:anchor="_Toc520405234" w:history="1">
            <w:r w:rsidR="00A70B6D" w:rsidRPr="0048528E">
              <w:rPr>
                <w:rStyle w:val="Hyperlink"/>
              </w:rPr>
              <w:t>11</w:t>
            </w:r>
            <w:r w:rsidR="00A70B6D">
              <w:rPr>
                <w:rFonts w:asciiTheme="minorHAnsi" w:eastAsiaTheme="minorEastAsia" w:hAnsiTheme="minorHAnsi" w:cstheme="minorBidi"/>
                <w:sz w:val="22"/>
                <w:szCs w:val="22"/>
                <w:lang w:eastAsia="pt-BR"/>
              </w:rPr>
              <w:tab/>
            </w:r>
            <w:r w:rsidR="00A70B6D" w:rsidRPr="0048528E">
              <w:rPr>
                <w:rStyle w:val="Hyperlink"/>
              </w:rPr>
              <w:t>PROPOSTAS DE ENCAMINHAMENTO</w:t>
            </w:r>
            <w:r w:rsidR="00A70B6D">
              <w:rPr>
                <w:webHidden/>
              </w:rPr>
              <w:tab/>
            </w:r>
            <w:r w:rsidR="00A70B6D">
              <w:rPr>
                <w:webHidden/>
              </w:rPr>
              <w:fldChar w:fldCharType="begin"/>
            </w:r>
            <w:r w:rsidR="00A70B6D">
              <w:rPr>
                <w:webHidden/>
              </w:rPr>
              <w:instrText xml:space="preserve"> PAGEREF _Toc520405234 \h </w:instrText>
            </w:r>
            <w:r w:rsidR="00A70B6D">
              <w:rPr>
                <w:webHidden/>
              </w:rPr>
            </w:r>
            <w:r w:rsidR="00A70B6D">
              <w:rPr>
                <w:webHidden/>
              </w:rPr>
              <w:fldChar w:fldCharType="separate"/>
            </w:r>
            <w:r w:rsidR="00244DAD">
              <w:rPr>
                <w:webHidden/>
              </w:rPr>
              <w:t>47</w:t>
            </w:r>
            <w:r w:rsidR="00A70B6D">
              <w:rPr>
                <w:webHidden/>
              </w:rPr>
              <w:fldChar w:fldCharType="end"/>
            </w:r>
          </w:hyperlink>
        </w:p>
        <w:p w:rsidR="008F1C72" w:rsidRPr="00F608EB" w:rsidRDefault="008F1C72" w:rsidP="008F1C72">
          <w:r w:rsidRPr="00F608EB">
            <w:rPr>
              <w:b/>
              <w:bCs/>
            </w:rPr>
            <w:fldChar w:fldCharType="end"/>
          </w:r>
        </w:p>
      </w:sdtContent>
    </w:sdt>
    <w:p w:rsidR="00D1766F" w:rsidRPr="00F608EB" w:rsidRDefault="00D1766F">
      <w:pPr>
        <w:rPr>
          <w:sz w:val="24"/>
          <w:szCs w:val="24"/>
        </w:rPr>
        <w:sectPr w:rsidR="00D1766F" w:rsidRPr="00F608EB" w:rsidSect="002808EC">
          <w:headerReference w:type="default" r:id="rId17"/>
          <w:footerReference w:type="default" r:id="rId18"/>
          <w:pgSz w:w="11906" w:h="16838"/>
          <w:pgMar w:top="1532" w:right="1701" w:bottom="1701" w:left="1701" w:header="283" w:footer="871" w:gutter="0"/>
          <w:cols w:space="708"/>
          <w:docGrid w:linePitch="360"/>
        </w:sectPr>
      </w:pPr>
    </w:p>
    <w:p w:rsidR="00D76371" w:rsidRDefault="00A76F7A" w:rsidP="00D76371">
      <w:pPr>
        <w:pStyle w:val="PargrafodaLista"/>
        <w:numPr>
          <w:ilvl w:val="0"/>
          <w:numId w:val="7"/>
        </w:numPr>
        <w:spacing w:before="0" w:after="240"/>
        <w:rPr>
          <w:sz w:val="24"/>
          <w:szCs w:val="24"/>
        </w:rPr>
      </w:pPr>
      <w:bookmarkStart w:id="22" w:name="_Toc520405193"/>
      <w:r w:rsidRPr="00F608EB">
        <w:rPr>
          <w:sz w:val="24"/>
          <w:szCs w:val="24"/>
        </w:rPr>
        <w:lastRenderedPageBreak/>
        <w:t>INTRODUÇÃO</w:t>
      </w:r>
      <w:bookmarkEnd w:id="22"/>
    </w:p>
    <w:p w:rsidR="00160939" w:rsidRPr="00AF3007" w:rsidRDefault="00325B47" w:rsidP="00D76371">
      <w:pPr>
        <w:pStyle w:val="TextosemFormatao"/>
        <w:numPr>
          <w:ilvl w:val="1"/>
          <w:numId w:val="1"/>
        </w:numPr>
        <w:spacing w:after="120"/>
        <w:ind w:left="357" w:hanging="357"/>
        <w:jc w:val="both"/>
        <w:rPr>
          <w:rFonts w:ascii="Times New Roman" w:hAnsi="Times New Roman" w:cs="Times New Roman"/>
          <w:color w:val="0D0D0D" w:themeColor="text1" w:themeTint="F2"/>
          <w:sz w:val="24"/>
          <w:szCs w:val="24"/>
          <w:lang w:eastAsia="pt-BR"/>
        </w:rPr>
      </w:pPr>
      <w:r w:rsidRPr="00AF3007">
        <w:rPr>
          <w:rFonts w:ascii="Times New Roman" w:hAnsi="Times New Roman" w:cs="Times New Roman"/>
          <w:color w:val="0D0D0D" w:themeColor="text1" w:themeTint="F2"/>
          <w:sz w:val="24"/>
          <w:szCs w:val="24"/>
        </w:rPr>
        <w:t xml:space="preserve">A </w:t>
      </w:r>
      <w:r w:rsidR="00BD5035" w:rsidRPr="00AF3007">
        <w:rPr>
          <w:rFonts w:ascii="Times New Roman" w:eastAsia="Times New Roman" w:hAnsi="Times New Roman" w:cs="Times New Roman"/>
          <w:color w:val="0D0D0D" w:themeColor="text1" w:themeTint="F2"/>
          <w:sz w:val="24"/>
          <w:szCs w:val="24"/>
          <w:lang w:eastAsia="pt-BR"/>
        </w:rPr>
        <w:t>Auditoria Integrada TSE/</w:t>
      </w:r>
      <w:proofErr w:type="spellStart"/>
      <w:r w:rsidR="00BD5035" w:rsidRPr="00AF3007">
        <w:rPr>
          <w:rFonts w:ascii="Times New Roman" w:eastAsia="Times New Roman" w:hAnsi="Times New Roman" w:cs="Times New Roman"/>
          <w:color w:val="0D0D0D" w:themeColor="text1" w:themeTint="F2"/>
          <w:sz w:val="24"/>
          <w:szCs w:val="24"/>
          <w:lang w:eastAsia="pt-BR"/>
        </w:rPr>
        <w:t>TREs</w:t>
      </w:r>
      <w:proofErr w:type="spellEnd"/>
      <w:r w:rsidR="00BD5035" w:rsidRPr="00AF3007">
        <w:rPr>
          <w:rFonts w:ascii="Times New Roman" w:eastAsia="Times New Roman" w:hAnsi="Times New Roman" w:cs="Times New Roman"/>
          <w:color w:val="0D0D0D" w:themeColor="text1" w:themeTint="F2"/>
          <w:sz w:val="24"/>
          <w:szCs w:val="24"/>
          <w:lang w:eastAsia="pt-BR"/>
        </w:rPr>
        <w:t xml:space="preserve"> - Gestão da força de trabalho/Dimensionamento da força de trabalho</w:t>
      </w:r>
      <w:r w:rsidR="00BD5035" w:rsidRPr="00AF3007">
        <w:rPr>
          <w:rFonts w:ascii="Times New Roman" w:hAnsi="Times New Roman" w:cs="Times New Roman"/>
          <w:color w:val="0D0D0D" w:themeColor="text1" w:themeTint="F2"/>
          <w:sz w:val="24"/>
          <w:szCs w:val="24"/>
        </w:rPr>
        <w:t xml:space="preserve"> </w:t>
      </w:r>
      <w:r w:rsidRPr="00AF3007">
        <w:rPr>
          <w:rFonts w:ascii="Times New Roman" w:hAnsi="Times New Roman" w:cs="Times New Roman"/>
          <w:color w:val="0D0D0D" w:themeColor="text1" w:themeTint="F2"/>
          <w:sz w:val="24"/>
          <w:szCs w:val="24"/>
        </w:rPr>
        <w:t xml:space="preserve">– </w:t>
      </w:r>
      <w:r w:rsidR="0013766F" w:rsidRPr="00AF3007">
        <w:rPr>
          <w:rFonts w:ascii="Times New Roman" w:hAnsi="Times New Roman" w:cs="Times New Roman"/>
          <w:color w:val="0D0D0D" w:themeColor="text1" w:themeTint="F2"/>
          <w:sz w:val="24"/>
          <w:szCs w:val="24"/>
        </w:rPr>
        <w:t xml:space="preserve">Exercício </w:t>
      </w:r>
      <w:r w:rsidR="00C66F58" w:rsidRPr="00AF3007">
        <w:rPr>
          <w:rFonts w:ascii="Times New Roman" w:hAnsi="Times New Roman" w:cs="Times New Roman"/>
          <w:color w:val="0D0D0D" w:themeColor="text1" w:themeTint="F2"/>
          <w:sz w:val="24"/>
          <w:szCs w:val="24"/>
        </w:rPr>
        <w:t>201</w:t>
      </w:r>
      <w:r w:rsidR="0054346E">
        <w:rPr>
          <w:rFonts w:ascii="Times New Roman" w:hAnsi="Times New Roman" w:cs="Times New Roman"/>
          <w:color w:val="0D0D0D" w:themeColor="text1" w:themeTint="F2"/>
          <w:sz w:val="24"/>
          <w:szCs w:val="24"/>
        </w:rPr>
        <w:t>8</w:t>
      </w:r>
      <w:r w:rsidR="0013766F" w:rsidRPr="00AF3007">
        <w:rPr>
          <w:rFonts w:ascii="Times New Roman" w:hAnsi="Times New Roman" w:cs="Times New Roman"/>
          <w:color w:val="0D0D0D" w:themeColor="text1" w:themeTint="F2"/>
          <w:sz w:val="24"/>
          <w:szCs w:val="24"/>
        </w:rPr>
        <w:t xml:space="preserve">, restou prevista no Plano Anual de Auditoria da Coordenadoria de Auditoria (COAUD) referente a 2018 (PAA2018), aprovado por meio da Portaria da Presidência do Tribunal Regional Eleitoral da Bahia (TRE-BA) nº 602, de 27 de novembro de 2017, e foi realizada pelas Seções de Auditoria de Governança e Gestão Organizacional (SEAGO) e de Auditoria de Pessoal (SEAPE) com o objetivo </w:t>
      </w:r>
      <w:r w:rsidR="0013766F" w:rsidRPr="00AF3007">
        <w:rPr>
          <w:rFonts w:ascii="Times New Roman" w:hAnsi="Times New Roman" w:cs="Times New Roman"/>
          <w:color w:val="0D0D0D" w:themeColor="text1" w:themeTint="F2"/>
          <w:spacing w:val="-2"/>
          <w:sz w:val="24"/>
          <w:szCs w:val="24"/>
        </w:rPr>
        <w:t xml:space="preserve">de </w:t>
      </w:r>
      <w:r w:rsidR="0013766F" w:rsidRPr="00AF3007">
        <w:rPr>
          <w:rFonts w:ascii="Times New Roman" w:hAnsi="Times New Roman" w:cs="Times New Roman"/>
          <w:color w:val="0D0D0D" w:themeColor="text1" w:themeTint="F2"/>
          <w:sz w:val="24"/>
          <w:szCs w:val="24"/>
        </w:rPr>
        <w:t xml:space="preserve">avaliar a efetividade da metodologia ou critérios utilizados e respectivos controles internos adotados no processo de gestão da força de trabalho como resposta aos riscos inerentes ao </w:t>
      </w:r>
      <w:proofErr w:type="spellStart"/>
      <w:r w:rsidR="0013766F" w:rsidRPr="00AF3007">
        <w:rPr>
          <w:rFonts w:ascii="Times New Roman" w:hAnsi="Times New Roman" w:cs="Times New Roman"/>
          <w:color w:val="0D0D0D" w:themeColor="text1" w:themeTint="F2"/>
          <w:sz w:val="24"/>
          <w:szCs w:val="24"/>
        </w:rPr>
        <w:t>subprocesso</w:t>
      </w:r>
      <w:proofErr w:type="spellEnd"/>
      <w:r w:rsidR="0013766F" w:rsidRPr="00AF3007">
        <w:rPr>
          <w:rFonts w:ascii="Times New Roman" w:hAnsi="Times New Roman" w:cs="Times New Roman"/>
          <w:color w:val="0D0D0D" w:themeColor="text1" w:themeTint="F2"/>
          <w:sz w:val="24"/>
          <w:szCs w:val="24"/>
        </w:rPr>
        <w:t xml:space="preserve"> de dimensionamento quantitativo e qualitativo da força de trabalho</w:t>
      </w:r>
      <w:r w:rsidR="00B17164" w:rsidRPr="00AF3007">
        <w:rPr>
          <w:rFonts w:ascii="Times New Roman" w:hAnsi="Times New Roman" w:cs="Times New Roman"/>
          <w:color w:val="0D0D0D" w:themeColor="text1" w:themeTint="F2"/>
          <w:spacing w:val="-2"/>
          <w:sz w:val="24"/>
          <w:szCs w:val="24"/>
        </w:rPr>
        <w:t>.</w:t>
      </w:r>
    </w:p>
    <w:p w:rsidR="00082920" w:rsidRPr="00D76371" w:rsidRDefault="00D76371" w:rsidP="002808EC">
      <w:pPr>
        <w:pStyle w:val="PargrafodaLista"/>
        <w:spacing w:after="240"/>
        <w:ind w:left="357" w:hanging="357"/>
        <w:rPr>
          <w:caps/>
          <w:sz w:val="24"/>
          <w:szCs w:val="24"/>
        </w:rPr>
      </w:pPr>
      <w:bookmarkStart w:id="23" w:name="_Toc520405194"/>
      <w:r>
        <w:rPr>
          <w:caps/>
          <w:sz w:val="24"/>
          <w:szCs w:val="24"/>
        </w:rPr>
        <w:t>Visão geral do objeto AUDITADO</w:t>
      </w:r>
      <w:bookmarkEnd w:id="23"/>
    </w:p>
    <w:p w:rsidR="0013766F" w:rsidRDefault="0013766F" w:rsidP="00A863EF">
      <w:pPr>
        <w:pStyle w:val="TextosemFormatao"/>
        <w:numPr>
          <w:ilvl w:val="1"/>
          <w:numId w:val="1"/>
        </w:numPr>
        <w:spacing w:after="120"/>
        <w:ind w:left="426" w:hanging="426"/>
        <w:jc w:val="both"/>
        <w:rPr>
          <w:rFonts w:ascii="Times New Roman" w:hAnsi="Times New Roman" w:cs="Times New Roman"/>
          <w:color w:val="000000" w:themeColor="text1"/>
          <w:sz w:val="24"/>
          <w:szCs w:val="24"/>
        </w:rPr>
      </w:pPr>
      <w:r w:rsidRPr="00A863EF">
        <w:rPr>
          <w:rFonts w:ascii="Times New Roman" w:hAnsi="Times New Roman" w:cs="Times New Roman"/>
          <w:color w:val="000000" w:themeColor="text1"/>
          <w:sz w:val="24"/>
          <w:szCs w:val="24"/>
        </w:rPr>
        <w:t>Consoante teor da Política de Gestão de Pessoas do TRE-BA, instituída por meio da Resolução Administrativa do TRE-BA nº 12/2017, dimensionar e monitorar a força de trabalho de acordo com processos de trabalho, competências requeridas e objetivos estratégicos constitui diretriz para o planejamento das ações relacionadas à gestão de pessoas, no âmbito organizacional.</w:t>
      </w:r>
    </w:p>
    <w:p w:rsidR="0013766F" w:rsidRPr="00A863EF" w:rsidRDefault="0013766F" w:rsidP="00A863EF">
      <w:pPr>
        <w:pStyle w:val="TextosemFormatao"/>
        <w:numPr>
          <w:ilvl w:val="1"/>
          <w:numId w:val="1"/>
        </w:numPr>
        <w:spacing w:after="120"/>
        <w:ind w:left="426" w:hanging="426"/>
        <w:jc w:val="both"/>
        <w:rPr>
          <w:rFonts w:ascii="Times New Roman" w:hAnsi="Times New Roman" w:cs="Times New Roman"/>
          <w:color w:val="000000" w:themeColor="text1"/>
          <w:sz w:val="24"/>
          <w:szCs w:val="24"/>
        </w:rPr>
      </w:pPr>
      <w:r w:rsidRPr="00A863EF">
        <w:rPr>
          <w:rFonts w:ascii="Times New Roman" w:hAnsi="Times New Roman" w:cs="Times New Roman"/>
          <w:color w:val="0D0D0D" w:themeColor="text1" w:themeTint="F2"/>
          <w:sz w:val="24"/>
          <w:szCs w:val="24"/>
        </w:rPr>
        <w:t>Em conformidade com o quanto disposto no inciso II, do art. 17, da Resolução Administrativa do TRE-BA nº 15, de 13 de junho de 2018, que instituiu o Sistema de Governança e Gestão, no âmbito deste Regional, monitorar, avaliar e divulgar o desempenho e os resultados al</w:t>
      </w:r>
      <w:r w:rsidR="00B03F69" w:rsidRPr="00A863EF">
        <w:rPr>
          <w:rFonts w:ascii="Times New Roman" w:hAnsi="Times New Roman" w:cs="Times New Roman"/>
          <w:color w:val="0D0D0D" w:themeColor="text1" w:themeTint="F2"/>
          <w:sz w:val="24"/>
          <w:szCs w:val="24"/>
        </w:rPr>
        <w:t>cançados pela gestão de pessoas</w:t>
      </w:r>
      <w:r w:rsidRPr="00A863EF">
        <w:rPr>
          <w:rFonts w:ascii="Times New Roman" w:hAnsi="Times New Roman" w:cs="Times New Roman"/>
          <w:color w:val="0D0D0D" w:themeColor="text1" w:themeTint="F2"/>
          <w:sz w:val="24"/>
          <w:szCs w:val="24"/>
        </w:rPr>
        <w:t xml:space="preserve"> constitui competência atribuída ao Comitê de Gestão de Pessoas organizacional que conta com a seguinte composição: titular da Secretar</w:t>
      </w:r>
      <w:r w:rsidR="00B03F69" w:rsidRPr="00A863EF">
        <w:rPr>
          <w:rFonts w:ascii="Times New Roman" w:hAnsi="Times New Roman" w:cs="Times New Roman"/>
          <w:color w:val="0D0D0D" w:themeColor="text1" w:themeTint="F2"/>
          <w:sz w:val="24"/>
          <w:szCs w:val="24"/>
        </w:rPr>
        <w:t>ia de Gestão de Pessoas (SGP); t</w:t>
      </w:r>
      <w:r w:rsidRPr="00A863EF">
        <w:rPr>
          <w:rFonts w:ascii="Times New Roman" w:hAnsi="Times New Roman" w:cs="Times New Roman"/>
          <w:color w:val="0D0D0D" w:themeColor="text1" w:themeTint="F2"/>
          <w:sz w:val="24"/>
          <w:szCs w:val="24"/>
        </w:rPr>
        <w:t>itula</w:t>
      </w:r>
      <w:r w:rsidR="00B03F69" w:rsidRPr="00A863EF">
        <w:rPr>
          <w:rFonts w:ascii="Times New Roman" w:hAnsi="Times New Roman" w:cs="Times New Roman"/>
          <w:color w:val="0D0D0D" w:themeColor="text1" w:themeTint="F2"/>
          <w:sz w:val="24"/>
          <w:szCs w:val="24"/>
        </w:rPr>
        <w:t>res das Coordenadorias da SGP; t</w:t>
      </w:r>
      <w:r w:rsidRPr="00A863EF">
        <w:rPr>
          <w:rFonts w:ascii="Times New Roman" w:hAnsi="Times New Roman" w:cs="Times New Roman"/>
          <w:color w:val="0D0D0D" w:themeColor="text1" w:themeTint="F2"/>
          <w:sz w:val="24"/>
          <w:szCs w:val="24"/>
        </w:rPr>
        <w:t>itular da Coordenadoria de Planejamento, Estratégia e Gestão (COPEG); um servidor indicado pelo Tribunal; um servidor escolhido pelo Tribunal a partir de lista de inscritos aberta a todos os interessados; dois servidores eleitos por votação direta entre os servidores, a partir de lista de inscrição; um magistrado indicado pelo Tribunal; um magistrado escolhido pelo Tribunal a partir de lista de inscritos aberta a todos os interessados; e dois magistrados eleitos por votação direta entre os magistrados, a partir de lista de inscrição.</w:t>
      </w:r>
    </w:p>
    <w:p w:rsidR="0013766F" w:rsidRPr="00A863EF" w:rsidRDefault="0013766F" w:rsidP="00A863EF">
      <w:pPr>
        <w:pStyle w:val="TextosemFormatao"/>
        <w:numPr>
          <w:ilvl w:val="1"/>
          <w:numId w:val="1"/>
        </w:numPr>
        <w:spacing w:after="120"/>
        <w:ind w:left="426" w:hanging="426"/>
        <w:jc w:val="both"/>
        <w:rPr>
          <w:rFonts w:ascii="Times New Roman" w:hAnsi="Times New Roman" w:cs="Times New Roman"/>
          <w:color w:val="000000" w:themeColor="text1"/>
          <w:sz w:val="24"/>
          <w:szCs w:val="24"/>
        </w:rPr>
      </w:pPr>
      <w:r w:rsidRPr="00A863EF">
        <w:rPr>
          <w:rFonts w:ascii="Times New Roman" w:hAnsi="Times New Roman" w:cs="Times New Roman"/>
          <w:color w:val="0D0D0D" w:themeColor="text1" w:themeTint="F2"/>
          <w:sz w:val="24"/>
          <w:szCs w:val="24"/>
        </w:rPr>
        <w:t>A atividade de dimensionamento da força de trabalho (DFT) constitui escopo de projeto estratégico homônimo vinculado ao objetivo “promover a melhoria da governança em gestão de pessoas”, alinhado à perspectiva “aprendizado e crescimento” do Planejamento Estratégico do TRE-BA aprovado para o ciclo 2016-2021 (PEI 2016-2021), por meio da Resolução Administrativa do TRE-BA nº 14, de 14 de dezembro de 2015. A referida iniciativa encontra-se sob a gestão da SGP institucional.</w:t>
      </w:r>
    </w:p>
    <w:p w:rsidR="0013766F" w:rsidRDefault="0013766F" w:rsidP="00A863EF">
      <w:pPr>
        <w:pStyle w:val="TextosemFormatao"/>
        <w:numPr>
          <w:ilvl w:val="1"/>
          <w:numId w:val="1"/>
        </w:numPr>
        <w:spacing w:after="120"/>
        <w:ind w:left="426" w:hanging="426"/>
        <w:jc w:val="both"/>
        <w:rPr>
          <w:rFonts w:ascii="Times New Roman" w:hAnsi="Times New Roman" w:cs="Times New Roman"/>
          <w:color w:val="000000" w:themeColor="text1"/>
          <w:sz w:val="24"/>
          <w:szCs w:val="24"/>
        </w:rPr>
      </w:pPr>
      <w:r w:rsidRPr="00A863EF">
        <w:rPr>
          <w:rFonts w:ascii="Times New Roman" w:hAnsi="Times New Roman" w:cs="Times New Roman"/>
          <w:color w:val="000000" w:themeColor="text1"/>
          <w:sz w:val="24"/>
          <w:szCs w:val="24"/>
        </w:rPr>
        <w:t xml:space="preserve">Dimensionar e monitorar a força de trabalho constitui, ainda, competência regulamentar afeta à SGP, integrando o rol de atribuições da Seção de Desenvolvimento Organizacional (SEDES), vinculada à Coordenadoria de Educação e Desenvolvimento (COEDE), consoante disposições constantes dos </w:t>
      </w:r>
      <w:proofErr w:type="spellStart"/>
      <w:r w:rsidRPr="00A863EF">
        <w:rPr>
          <w:rFonts w:ascii="Times New Roman" w:hAnsi="Times New Roman" w:cs="Times New Roman"/>
          <w:color w:val="000000" w:themeColor="text1"/>
          <w:sz w:val="24"/>
          <w:szCs w:val="24"/>
        </w:rPr>
        <w:t>arts</w:t>
      </w:r>
      <w:proofErr w:type="spellEnd"/>
      <w:r w:rsidRPr="00A863EF">
        <w:rPr>
          <w:rFonts w:ascii="Times New Roman" w:hAnsi="Times New Roman" w:cs="Times New Roman"/>
          <w:color w:val="000000" w:themeColor="text1"/>
          <w:sz w:val="24"/>
          <w:szCs w:val="24"/>
        </w:rPr>
        <w:t>. 55, 65, incisos II e X, e 67, inciso VII, do Regulamento Interno da Secretaria do Tribunal (Resolução Administrativa do TRE-BA nº 12</w:t>
      </w:r>
      <w:r w:rsidR="00E90928" w:rsidRPr="00A863EF">
        <w:rPr>
          <w:rFonts w:ascii="Times New Roman" w:hAnsi="Times New Roman" w:cs="Times New Roman"/>
          <w:color w:val="000000" w:themeColor="text1"/>
          <w:sz w:val="24"/>
          <w:szCs w:val="24"/>
        </w:rPr>
        <w:t xml:space="preserve">, </w:t>
      </w:r>
      <w:r w:rsidR="00E90928" w:rsidRPr="00517D19">
        <w:rPr>
          <w:rFonts w:ascii="Times New Roman" w:hAnsi="Times New Roman" w:cs="Times New Roman"/>
          <w:sz w:val="24"/>
          <w:szCs w:val="24"/>
        </w:rPr>
        <w:t xml:space="preserve">de 30 de abril de </w:t>
      </w:r>
      <w:r w:rsidRPr="00A863EF">
        <w:rPr>
          <w:rFonts w:ascii="Times New Roman" w:hAnsi="Times New Roman" w:cs="Times New Roman"/>
          <w:color w:val="000000" w:themeColor="text1"/>
          <w:sz w:val="24"/>
          <w:szCs w:val="24"/>
        </w:rPr>
        <w:t>2018).</w:t>
      </w:r>
    </w:p>
    <w:p w:rsidR="0013766F" w:rsidRDefault="0013766F" w:rsidP="00A863EF">
      <w:pPr>
        <w:pStyle w:val="TextosemFormatao"/>
        <w:numPr>
          <w:ilvl w:val="1"/>
          <w:numId w:val="1"/>
        </w:numPr>
        <w:spacing w:after="120"/>
        <w:ind w:left="426" w:hanging="426"/>
        <w:jc w:val="both"/>
        <w:rPr>
          <w:rFonts w:ascii="Times New Roman" w:hAnsi="Times New Roman" w:cs="Times New Roman"/>
          <w:color w:val="000000" w:themeColor="text1"/>
          <w:sz w:val="24"/>
          <w:szCs w:val="24"/>
        </w:rPr>
      </w:pPr>
      <w:r w:rsidRPr="00A863EF">
        <w:rPr>
          <w:rFonts w:ascii="Times New Roman" w:hAnsi="Times New Roman" w:cs="Times New Roman"/>
          <w:color w:val="000000" w:themeColor="text1"/>
          <w:sz w:val="24"/>
          <w:szCs w:val="24"/>
        </w:rPr>
        <w:lastRenderedPageBreak/>
        <w:t xml:space="preserve">As atividades de DFT são desenvolvidas com o objetivo de dimensionar o perfil quantitativo e qualitativo </w:t>
      </w:r>
      <w:r w:rsidR="00AC03AB" w:rsidRPr="00A863EF">
        <w:rPr>
          <w:rFonts w:ascii="Times New Roman" w:hAnsi="Times New Roman" w:cs="Times New Roman"/>
          <w:color w:val="000000" w:themeColor="text1"/>
          <w:sz w:val="24"/>
          <w:szCs w:val="24"/>
        </w:rPr>
        <w:t>da força de trabalho necessária</w:t>
      </w:r>
      <w:r w:rsidRPr="00A863EF">
        <w:rPr>
          <w:rFonts w:ascii="Times New Roman" w:hAnsi="Times New Roman" w:cs="Times New Roman"/>
          <w:color w:val="000000" w:themeColor="text1"/>
          <w:sz w:val="24"/>
          <w:szCs w:val="24"/>
        </w:rPr>
        <w:t xml:space="preserve"> à asseguração das entregas e cumprimento dos objetivos e metas organizacionais, em determinado período, observados referenciais legais, estrutura, demanda e condições de trabalho conhecidas ou estimadas, de forma a possibilitar ações e intervenções necessárias, visando aumentar a eficiência e efetividade da organização.</w:t>
      </w:r>
    </w:p>
    <w:p w:rsidR="0013766F" w:rsidRPr="002808EC" w:rsidRDefault="0013766F" w:rsidP="00A863EF">
      <w:pPr>
        <w:pStyle w:val="TextosemFormatao"/>
        <w:numPr>
          <w:ilvl w:val="1"/>
          <w:numId w:val="1"/>
        </w:numPr>
        <w:spacing w:after="120"/>
        <w:ind w:left="426" w:hanging="426"/>
        <w:jc w:val="both"/>
        <w:rPr>
          <w:rFonts w:ascii="Times New Roman" w:hAnsi="Times New Roman" w:cs="Times New Roman"/>
          <w:color w:val="000000" w:themeColor="text1"/>
          <w:spacing w:val="-2"/>
          <w:sz w:val="24"/>
          <w:szCs w:val="24"/>
        </w:rPr>
      </w:pPr>
      <w:r w:rsidRPr="002808EC">
        <w:rPr>
          <w:rFonts w:ascii="Times New Roman" w:hAnsi="Times New Roman" w:cs="Times New Roman"/>
          <w:color w:val="000000" w:themeColor="text1"/>
          <w:spacing w:val="-2"/>
          <w:sz w:val="24"/>
          <w:szCs w:val="24"/>
        </w:rPr>
        <w:t>No âmbito do TRE-BA coexistem procedimentos distintos voltados ao dimensionamento da força de trabalho ideal para asseguração das entregas e, por consequência, da estratégia organizacional, de modo a nortear, ainda, lotação inicial e movimentação de servidores. Em unidades já contempladas pelos trabalhos do DFT, utiliza-se, em regra, o perfil quantitativo e qualitativo apurado com referencial para movimentação de servidores. Paralelamente, em se tratando de unidades ainda não contempladas pelo referido projeto, adota-se, por analogia, procedimentos referentes ao Projeto Movimentar, observados critérios referenciais mínimos convencionados ou normativamente estabelecidos.</w:t>
      </w:r>
    </w:p>
    <w:p w:rsidR="0013766F" w:rsidRDefault="0013766F" w:rsidP="00A863EF">
      <w:pPr>
        <w:pStyle w:val="TextosemFormatao"/>
        <w:numPr>
          <w:ilvl w:val="1"/>
          <w:numId w:val="1"/>
        </w:numPr>
        <w:spacing w:after="120"/>
        <w:ind w:left="426" w:hanging="426"/>
        <w:jc w:val="both"/>
        <w:rPr>
          <w:rFonts w:ascii="Times New Roman" w:hAnsi="Times New Roman" w:cs="Times New Roman"/>
          <w:color w:val="000000" w:themeColor="text1"/>
          <w:sz w:val="24"/>
          <w:szCs w:val="24"/>
        </w:rPr>
      </w:pPr>
      <w:r w:rsidRPr="00A863EF">
        <w:rPr>
          <w:rFonts w:ascii="Times New Roman" w:hAnsi="Times New Roman" w:cs="Times New Roman"/>
          <w:color w:val="000000" w:themeColor="text1"/>
          <w:sz w:val="24"/>
          <w:szCs w:val="24"/>
        </w:rPr>
        <w:t xml:space="preserve">Os procedimentos gerais para lotação e </w:t>
      </w:r>
      <w:proofErr w:type="spellStart"/>
      <w:r w:rsidRPr="00A863EF">
        <w:rPr>
          <w:rFonts w:ascii="Times New Roman" w:hAnsi="Times New Roman" w:cs="Times New Roman"/>
          <w:color w:val="000000" w:themeColor="text1"/>
          <w:sz w:val="24"/>
          <w:szCs w:val="24"/>
        </w:rPr>
        <w:t>relotação</w:t>
      </w:r>
      <w:proofErr w:type="spellEnd"/>
      <w:r w:rsidRPr="00A863EF">
        <w:rPr>
          <w:rFonts w:ascii="Times New Roman" w:hAnsi="Times New Roman" w:cs="Times New Roman"/>
          <w:color w:val="000000" w:themeColor="text1"/>
          <w:sz w:val="24"/>
          <w:szCs w:val="24"/>
        </w:rPr>
        <w:t xml:space="preserve"> de colaboradores do quadro permanente encontram-se definidos na Portaria do Diretor-Geral nº 359, de 15 de junho de 2007. Registre-se que o referido normativo não dispõe sobre critérios para dimensionamento quantitativo ou qualitativo da força de trabalho e apresenta dispositivos em desuso, consoante informação prestada pela Unidade de Pessoal do Órgão, e em </w:t>
      </w:r>
      <w:r w:rsidRPr="00517D19">
        <w:rPr>
          <w:rFonts w:ascii="Times New Roman" w:hAnsi="Times New Roman" w:cs="Times New Roman"/>
          <w:sz w:val="24"/>
          <w:szCs w:val="24"/>
        </w:rPr>
        <w:t>desalinho</w:t>
      </w:r>
      <w:r w:rsidR="00AC03AB" w:rsidRPr="00517D19">
        <w:rPr>
          <w:rFonts w:ascii="Times New Roman" w:hAnsi="Times New Roman" w:cs="Times New Roman"/>
          <w:sz w:val="24"/>
          <w:szCs w:val="24"/>
        </w:rPr>
        <w:t>, ainda</w:t>
      </w:r>
      <w:r w:rsidR="00AC03AB" w:rsidRPr="00A863EF">
        <w:rPr>
          <w:rFonts w:ascii="Times New Roman" w:hAnsi="Times New Roman" w:cs="Times New Roman"/>
          <w:color w:val="0000CC"/>
          <w:sz w:val="24"/>
          <w:szCs w:val="24"/>
        </w:rPr>
        <w:t>,</w:t>
      </w:r>
      <w:r w:rsidRPr="00A863EF">
        <w:rPr>
          <w:rFonts w:ascii="Times New Roman" w:hAnsi="Times New Roman" w:cs="Times New Roman"/>
          <w:color w:val="0000CC"/>
          <w:sz w:val="24"/>
          <w:szCs w:val="24"/>
        </w:rPr>
        <w:t xml:space="preserve"> </w:t>
      </w:r>
      <w:r w:rsidRPr="00A863EF">
        <w:rPr>
          <w:rFonts w:ascii="Times New Roman" w:hAnsi="Times New Roman" w:cs="Times New Roman"/>
          <w:color w:val="000000" w:themeColor="text1"/>
          <w:sz w:val="24"/>
          <w:szCs w:val="24"/>
        </w:rPr>
        <w:t xml:space="preserve">com o Regulamento Interno da Secretaria do Tribunal. </w:t>
      </w:r>
    </w:p>
    <w:p w:rsidR="0013766F" w:rsidRDefault="0013766F" w:rsidP="00A863EF">
      <w:pPr>
        <w:pStyle w:val="TextosemFormatao"/>
        <w:numPr>
          <w:ilvl w:val="1"/>
          <w:numId w:val="1"/>
        </w:numPr>
        <w:spacing w:after="120"/>
        <w:ind w:left="426" w:hanging="426"/>
        <w:jc w:val="both"/>
        <w:rPr>
          <w:rFonts w:ascii="Times New Roman" w:hAnsi="Times New Roman" w:cs="Times New Roman"/>
          <w:color w:val="000000" w:themeColor="text1"/>
          <w:sz w:val="24"/>
          <w:szCs w:val="24"/>
        </w:rPr>
      </w:pPr>
      <w:r w:rsidRPr="007115F3">
        <w:rPr>
          <w:rFonts w:ascii="Times New Roman" w:hAnsi="Times New Roman" w:cs="Times New Roman"/>
          <w:sz w:val="24"/>
          <w:szCs w:val="24"/>
        </w:rPr>
        <w:t xml:space="preserve">Esclareça-se </w:t>
      </w:r>
      <w:r w:rsidRPr="00A863EF">
        <w:rPr>
          <w:rFonts w:ascii="Times New Roman" w:hAnsi="Times New Roman" w:cs="Times New Roman"/>
          <w:color w:val="000000" w:themeColor="text1"/>
          <w:sz w:val="24"/>
          <w:szCs w:val="24"/>
        </w:rPr>
        <w:t xml:space="preserve">que o TRE-BA não possui Tabela de Lotação de Cargos (TLC), embora a SGP utilize referencial mínimo convencionalmente estabelecido para lotação da força de trabalho nas unidades administrativas e judiciárias do Tribunal, qual seja: três servidores para Seções e Zonas Eleitorais da Capital e dois para Gabinetes de Juízes e Zonas Eleitorais do Interior do Estado. </w:t>
      </w:r>
    </w:p>
    <w:p w:rsidR="0013766F" w:rsidRDefault="0013766F" w:rsidP="00A863EF">
      <w:pPr>
        <w:pStyle w:val="TextosemFormatao"/>
        <w:numPr>
          <w:ilvl w:val="1"/>
          <w:numId w:val="1"/>
        </w:numPr>
        <w:spacing w:after="120"/>
        <w:ind w:left="426" w:hanging="426"/>
        <w:jc w:val="both"/>
        <w:rPr>
          <w:rFonts w:ascii="Times New Roman" w:hAnsi="Times New Roman" w:cs="Times New Roman"/>
          <w:color w:val="000000" w:themeColor="text1"/>
          <w:sz w:val="24"/>
          <w:szCs w:val="24"/>
        </w:rPr>
      </w:pPr>
      <w:r w:rsidRPr="00A863EF">
        <w:rPr>
          <w:rFonts w:ascii="Times New Roman" w:hAnsi="Times New Roman" w:cs="Times New Roman"/>
          <w:color w:val="000000" w:themeColor="text1"/>
          <w:sz w:val="24"/>
          <w:szCs w:val="24"/>
        </w:rPr>
        <w:t>Acrescente-se, no que tange à lotação e movimentação, nas zonas eleitorais, que a Resolução Administrativa do TRE-BA nº 3</w:t>
      </w:r>
      <w:r w:rsidR="00AC03AB" w:rsidRPr="00A863EF">
        <w:rPr>
          <w:rFonts w:ascii="Times New Roman" w:hAnsi="Times New Roman" w:cs="Times New Roman"/>
          <w:color w:val="000000" w:themeColor="text1"/>
          <w:sz w:val="24"/>
          <w:szCs w:val="24"/>
        </w:rPr>
        <w:t>,</w:t>
      </w:r>
      <w:r w:rsidR="000A37EE" w:rsidRPr="00A863EF">
        <w:rPr>
          <w:rFonts w:ascii="Times New Roman" w:hAnsi="Times New Roman" w:cs="Times New Roman"/>
          <w:color w:val="000000" w:themeColor="text1"/>
          <w:sz w:val="24"/>
          <w:szCs w:val="24"/>
        </w:rPr>
        <w:t xml:space="preserve"> </w:t>
      </w:r>
      <w:r w:rsidR="000A37EE" w:rsidRPr="00517D19">
        <w:rPr>
          <w:rFonts w:ascii="Times New Roman" w:hAnsi="Times New Roman" w:cs="Times New Roman"/>
          <w:sz w:val="24"/>
          <w:szCs w:val="24"/>
        </w:rPr>
        <w:t xml:space="preserve">de 15 de setembro de </w:t>
      </w:r>
      <w:r w:rsidRPr="00A863EF">
        <w:rPr>
          <w:rFonts w:ascii="Times New Roman" w:hAnsi="Times New Roman" w:cs="Times New Roman"/>
          <w:color w:val="000000" w:themeColor="text1"/>
          <w:sz w:val="24"/>
          <w:szCs w:val="24"/>
        </w:rPr>
        <w:t>2004</w:t>
      </w:r>
      <w:r w:rsidR="000A37EE" w:rsidRPr="00A863EF">
        <w:rPr>
          <w:rFonts w:ascii="Times New Roman" w:hAnsi="Times New Roman" w:cs="Times New Roman"/>
          <w:color w:val="000000" w:themeColor="text1"/>
          <w:sz w:val="24"/>
          <w:szCs w:val="24"/>
        </w:rPr>
        <w:t>,</w:t>
      </w:r>
      <w:r w:rsidRPr="00A863EF">
        <w:rPr>
          <w:rFonts w:ascii="Times New Roman" w:hAnsi="Times New Roman" w:cs="Times New Roman"/>
          <w:color w:val="000000" w:themeColor="text1"/>
          <w:sz w:val="24"/>
          <w:szCs w:val="24"/>
        </w:rPr>
        <w:t xml:space="preserve"> estabelece </w:t>
      </w:r>
      <w:r w:rsidR="003F314B" w:rsidRPr="00A863EF">
        <w:rPr>
          <w:rFonts w:ascii="Times New Roman" w:hAnsi="Times New Roman" w:cs="Times New Roman"/>
          <w:color w:val="000000" w:themeColor="text1"/>
          <w:sz w:val="24"/>
          <w:szCs w:val="24"/>
        </w:rPr>
        <w:t>a observância do</w:t>
      </w:r>
      <w:r w:rsidRPr="00A863EF">
        <w:rPr>
          <w:rFonts w:ascii="Times New Roman" w:hAnsi="Times New Roman" w:cs="Times New Roman"/>
          <w:color w:val="000000" w:themeColor="text1"/>
          <w:sz w:val="24"/>
          <w:szCs w:val="24"/>
        </w:rPr>
        <w:t xml:space="preserve"> quantitativo mínimo de lotação de dois servidores considerado o seguinte perfil de cargos: um Técnico Judiciário - Área Administrativa e um Analista </w:t>
      </w:r>
      <w:proofErr w:type="gramStart"/>
      <w:r w:rsidRPr="00A863EF">
        <w:rPr>
          <w:rFonts w:ascii="Times New Roman" w:hAnsi="Times New Roman" w:cs="Times New Roman"/>
          <w:color w:val="000000" w:themeColor="text1"/>
          <w:sz w:val="24"/>
          <w:szCs w:val="24"/>
        </w:rPr>
        <w:t xml:space="preserve">Judiciário </w:t>
      </w:r>
      <w:r w:rsidR="003F180C">
        <w:rPr>
          <w:rFonts w:ascii="Times New Roman" w:hAnsi="Times New Roman" w:cs="Times New Roman"/>
          <w:color w:val="000000" w:themeColor="text1"/>
          <w:sz w:val="24"/>
          <w:szCs w:val="24"/>
        </w:rPr>
        <w:t>-</w:t>
      </w:r>
      <w:r w:rsidRPr="00A863EF">
        <w:rPr>
          <w:rFonts w:ascii="Times New Roman" w:hAnsi="Times New Roman" w:cs="Times New Roman"/>
          <w:color w:val="000000" w:themeColor="text1"/>
          <w:sz w:val="24"/>
          <w:szCs w:val="24"/>
        </w:rPr>
        <w:t>Área</w:t>
      </w:r>
      <w:proofErr w:type="gramEnd"/>
      <w:r w:rsidRPr="00A863EF">
        <w:rPr>
          <w:rFonts w:ascii="Times New Roman" w:hAnsi="Times New Roman" w:cs="Times New Roman"/>
          <w:color w:val="000000" w:themeColor="text1"/>
          <w:sz w:val="24"/>
          <w:szCs w:val="24"/>
        </w:rPr>
        <w:t xml:space="preserve"> Judiciária ou Administrativa</w:t>
      </w:r>
      <w:r w:rsidR="003F180C">
        <w:rPr>
          <w:rFonts w:ascii="Times New Roman" w:hAnsi="Times New Roman" w:cs="Times New Roman"/>
          <w:color w:val="000000" w:themeColor="text1"/>
          <w:sz w:val="24"/>
          <w:szCs w:val="24"/>
        </w:rPr>
        <w:t>,</w:t>
      </w:r>
      <w:r w:rsidRPr="00A863EF">
        <w:rPr>
          <w:rFonts w:ascii="Times New Roman" w:hAnsi="Times New Roman" w:cs="Times New Roman"/>
          <w:color w:val="000000" w:themeColor="text1"/>
          <w:sz w:val="24"/>
          <w:szCs w:val="24"/>
        </w:rPr>
        <w:t xml:space="preserve"> por Zona Eleitoral. </w:t>
      </w:r>
    </w:p>
    <w:p w:rsidR="0013766F" w:rsidRDefault="003F314B" w:rsidP="00A863EF">
      <w:pPr>
        <w:pStyle w:val="TextosemFormatao"/>
        <w:numPr>
          <w:ilvl w:val="1"/>
          <w:numId w:val="1"/>
        </w:numPr>
        <w:spacing w:after="120"/>
        <w:ind w:left="426" w:hanging="568"/>
        <w:jc w:val="both"/>
        <w:rPr>
          <w:rFonts w:ascii="Times New Roman" w:hAnsi="Times New Roman" w:cs="Times New Roman"/>
          <w:color w:val="000000" w:themeColor="text1"/>
          <w:sz w:val="24"/>
          <w:szCs w:val="24"/>
        </w:rPr>
      </w:pPr>
      <w:r w:rsidRPr="00A863EF">
        <w:rPr>
          <w:rFonts w:ascii="Times New Roman" w:hAnsi="Times New Roman" w:cs="Times New Roman"/>
          <w:color w:val="000000" w:themeColor="text1"/>
          <w:sz w:val="24"/>
          <w:szCs w:val="24"/>
        </w:rPr>
        <w:t xml:space="preserve">Com referência </w:t>
      </w:r>
      <w:r w:rsidR="0013766F" w:rsidRPr="00A863EF">
        <w:rPr>
          <w:rFonts w:ascii="Times New Roman" w:hAnsi="Times New Roman" w:cs="Times New Roman"/>
          <w:color w:val="000000" w:themeColor="text1"/>
          <w:sz w:val="24"/>
          <w:szCs w:val="24"/>
        </w:rPr>
        <w:t xml:space="preserve">à área de Tecnologia da Informação (TI), a Resolução CNJ nº 211, de 15 de dezembro de 2015, estabeleceu quantitativo mínimo de servidores do quadro permanente da área de TI de acordo com o número de usuários internos e externos dos serviços de TI institucionais, sem especificar, contudo, perfil de cargos ou de competências associadas. </w:t>
      </w:r>
    </w:p>
    <w:p w:rsidR="0013766F" w:rsidRPr="00BE0BB1" w:rsidRDefault="0013766F" w:rsidP="00A863EF">
      <w:pPr>
        <w:pStyle w:val="TextosemFormatao"/>
        <w:numPr>
          <w:ilvl w:val="1"/>
          <w:numId w:val="1"/>
        </w:numPr>
        <w:spacing w:after="120"/>
        <w:ind w:left="426" w:hanging="568"/>
        <w:jc w:val="both"/>
        <w:rPr>
          <w:rFonts w:ascii="Times New Roman" w:hAnsi="Times New Roman" w:cs="Times New Roman"/>
          <w:color w:val="000000" w:themeColor="text1"/>
          <w:spacing w:val="-6"/>
          <w:sz w:val="24"/>
          <w:szCs w:val="24"/>
        </w:rPr>
      </w:pPr>
      <w:r w:rsidRPr="007115F3">
        <w:rPr>
          <w:rFonts w:ascii="Times New Roman" w:hAnsi="Times New Roman" w:cs="Times New Roman"/>
          <w:spacing w:val="-6"/>
          <w:sz w:val="24"/>
          <w:szCs w:val="24"/>
        </w:rPr>
        <w:t xml:space="preserve">Ressalte-se </w:t>
      </w:r>
      <w:r w:rsidRPr="00BE0BB1">
        <w:rPr>
          <w:rFonts w:ascii="Times New Roman" w:hAnsi="Times New Roman" w:cs="Times New Roman"/>
          <w:color w:val="000000" w:themeColor="text1"/>
          <w:spacing w:val="-6"/>
          <w:sz w:val="24"/>
          <w:szCs w:val="24"/>
        </w:rPr>
        <w:t>que o referido referencial mínimo foi recepcionado pela Política de Gestão de Pessoas de área de Tecnologia da Informação e Comunicação</w:t>
      </w:r>
      <w:r w:rsidR="000A37EE" w:rsidRPr="00BE0BB1">
        <w:rPr>
          <w:rFonts w:ascii="Times New Roman" w:hAnsi="Times New Roman" w:cs="Times New Roman"/>
          <w:color w:val="000000" w:themeColor="text1"/>
          <w:spacing w:val="-6"/>
          <w:sz w:val="24"/>
          <w:szCs w:val="24"/>
        </w:rPr>
        <w:t xml:space="preserve"> </w:t>
      </w:r>
      <w:r w:rsidR="000A37EE" w:rsidRPr="00BE0BB1">
        <w:rPr>
          <w:rFonts w:ascii="Times New Roman" w:hAnsi="Times New Roman" w:cs="Times New Roman"/>
          <w:spacing w:val="-6"/>
          <w:sz w:val="24"/>
          <w:szCs w:val="24"/>
        </w:rPr>
        <w:t>(TIC)</w:t>
      </w:r>
      <w:r w:rsidRPr="00BE0BB1">
        <w:rPr>
          <w:rFonts w:ascii="Times New Roman" w:hAnsi="Times New Roman" w:cs="Times New Roman"/>
          <w:spacing w:val="-6"/>
          <w:sz w:val="24"/>
          <w:szCs w:val="24"/>
        </w:rPr>
        <w:t xml:space="preserve"> organizacional, consoante teor do §2º, do art. 4º, da Resolução Administrativa TRE-BA nº 18, de 20 de junho de 2018.</w:t>
      </w:r>
    </w:p>
    <w:p w:rsidR="0013766F" w:rsidRPr="00A863EF" w:rsidRDefault="007115F3" w:rsidP="00A863EF">
      <w:pPr>
        <w:pStyle w:val="TextosemFormatao"/>
        <w:numPr>
          <w:ilvl w:val="1"/>
          <w:numId w:val="1"/>
        </w:numPr>
        <w:spacing w:after="120"/>
        <w:ind w:left="426" w:hanging="568"/>
        <w:jc w:val="both"/>
        <w:rPr>
          <w:rFonts w:ascii="Times New Roman" w:hAnsi="Times New Roman" w:cs="Times New Roman"/>
          <w:color w:val="000000" w:themeColor="text1"/>
          <w:sz w:val="24"/>
          <w:szCs w:val="24"/>
        </w:rPr>
      </w:pPr>
      <w:r w:rsidRPr="007115F3">
        <w:rPr>
          <w:rFonts w:ascii="Times New Roman" w:hAnsi="Times New Roman" w:cs="Times New Roman"/>
          <w:sz w:val="24"/>
          <w:szCs w:val="24"/>
        </w:rPr>
        <w:t>Anote</w:t>
      </w:r>
      <w:r w:rsidR="0013766F" w:rsidRPr="007115F3">
        <w:rPr>
          <w:rFonts w:ascii="Times New Roman" w:hAnsi="Times New Roman" w:cs="Times New Roman"/>
          <w:sz w:val="24"/>
          <w:szCs w:val="24"/>
        </w:rPr>
        <w:t xml:space="preserve">-se que </w:t>
      </w:r>
      <w:r w:rsidR="0013766F" w:rsidRPr="00A863EF">
        <w:rPr>
          <w:rFonts w:ascii="Times New Roman" w:hAnsi="Times New Roman" w:cs="Times New Roman"/>
          <w:sz w:val="24"/>
          <w:szCs w:val="24"/>
        </w:rPr>
        <w:t>os critérios e parâmetros voltados à equalização da distribuição da força de trabalho entre primeiro e segundo graus de jurisdição, proporcionalmente à demanda de processos, estabelecidos pela Resolução CNJ nº 219, de 26 de abril de 2016, são utilizados de forma limitada, em cotejo com a realidade da Justiça Eleitoral, registrando-se formulação de questionamento de sua aplicabilidade a este ramo de Justiça Especializada, consoante teor do Ofício nº 3837/2017/GAB/SPR/TSE encaminhado ao CNJ, em</w:t>
      </w:r>
      <w:r w:rsidR="0013766F" w:rsidRPr="00A863EF">
        <w:rPr>
          <w:rFonts w:ascii="Times New Roman" w:hAnsi="Times New Roman" w:cs="Times New Roman"/>
          <w:i/>
          <w:sz w:val="24"/>
          <w:szCs w:val="24"/>
        </w:rPr>
        <w:t xml:space="preserve"> </w:t>
      </w:r>
      <w:r w:rsidR="0013766F" w:rsidRPr="00A863EF">
        <w:rPr>
          <w:rFonts w:ascii="Times New Roman" w:hAnsi="Times New Roman" w:cs="Times New Roman"/>
          <w:sz w:val="24"/>
          <w:szCs w:val="24"/>
        </w:rPr>
        <w:t>22/8/2017</w:t>
      </w:r>
      <w:r w:rsidR="0013766F" w:rsidRPr="00A863EF">
        <w:rPr>
          <w:rFonts w:ascii="Times New Roman" w:hAnsi="Times New Roman" w:cs="Times New Roman"/>
          <w:i/>
          <w:sz w:val="24"/>
          <w:szCs w:val="24"/>
        </w:rPr>
        <w:t xml:space="preserve">, </w:t>
      </w:r>
      <w:r w:rsidR="0013766F" w:rsidRPr="00A863EF">
        <w:rPr>
          <w:rFonts w:ascii="Times New Roman" w:hAnsi="Times New Roman" w:cs="Times New Roman"/>
          <w:sz w:val="24"/>
          <w:szCs w:val="24"/>
        </w:rPr>
        <w:t xml:space="preserve">sendo as obrigações de </w:t>
      </w:r>
      <w:proofErr w:type="spellStart"/>
      <w:r w:rsidR="0013766F" w:rsidRPr="00A863EF">
        <w:rPr>
          <w:rFonts w:ascii="Times New Roman" w:hAnsi="Times New Roman" w:cs="Times New Roman"/>
          <w:i/>
          <w:sz w:val="24"/>
          <w:szCs w:val="24"/>
        </w:rPr>
        <w:t>accountability</w:t>
      </w:r>
      <w:proofErr w:type="spellEnd"/>
      <w:r w:rsidR="0013766F" w:rsidRPr="00A863EF">
        <w:rPr>
          <w:rFonts w:ascii="Times New Roman" w:hAnsi="Times New Roman" w:cs="Times New Roman"/>
          <w:sz w:val="24"/>
          <w:szCs w:val="24"/>
        </w:rPr>
        <w:t xml:space="preserve"> associadas tempestivamente cumpridas, consoante Tabelas de Lotação de Pessoal (TLP) de unidades de apoio direto e </w:t>
      </w:r>
      <w:r w:rsidR="0013766F" w:rsidRPr="00A863EF">
        <w:rPr>
          <w:rFonts w:ascii="Times New Roman" w:hAnsi="Times New Roman" w:cs="Times New Roman"/>
          <w:sz w:val="24"/>
          <w:szCs w:val="24"/>
        </w:rPr>
        <w:lastRenderedPageBreak/>
        <w:t>indireto à atividade judicante, de primeiro e de segundo graus, inclusive Presidência, Vice-Presidência, Corregedoria, Escola Judicial Eleitoral e área de TIC, disponibilizadas no Portal da Internet institucional (Portal da Transparência</w:t>
      </w:r>
      <w:r w:rsidR="000A37EE" w:rsidRPr="00A863EF">
        <w:rPr>
          <w:rFonts w:ascii="Times New Roman" w:hAnsi="Times New Roman" w:cs="Times New Roman"/>
          <w:sz w:val="24"/>
          <w:szCs w:val="24"/>
        </w:rPr>
        <w:t xml:space="preserve"> </w:t>
      </w:r>
      <w:r w:rsidR="000A37EE" w:rsidRPr="00517D19">
        <w:rPr>
          <w:rFonts w:ascii="Times New Roman" w:hAnsi="Times New Roman" w:cs="Times New Roman"/>
          <w:sz w:val="24"/>
          <w:szCs w:val="24"/>
        </w:rPr>
        <w:t>disponível em http://www.tre-ba.jus.br/transparencia/relatorios-cnj/tabelas-de-lotacao-de-pessoal-tlp, acesso em 17/7/2018</w:t>
      </w:r>
      <w:r w:rsidR="0013766F" w:rsidRPr="00517D19">
        <w:rPr>
          <w:rFonts w:ascii="Times New Roman" w:hAnsi="Times New Roman" w:cs="Times New Roman"/>
          <w:sz w:val="24"/>
          <w:szCs w:val="24"/>
        </w:rPr>
        <w:t>)</w:t>
      </w:r>
      <w:r w:rsidR="0013766F" w:rsidRPr="00A863EF">
        <w:rPr>
          <w:rFonts w:ascii="Times New Roman" w:hAnsi="Times New Roman" w:cs="Times New Roman"/>
          <w:sz w:val="24"/>
          <w:szCs w:val="24"/>
        </w:rPr>
        <w:t>, observadas regras dispostas na sobredita Resolução.</w:t>
      </w:r>
      <w:r w:rsidR="00A40BCF" w:rsidRPr="00A863EF">
        <w:rPr>
          <w:rFonts w:ascii="Times New Roman" w:hAnsi="Times New Roman" w:cs="Times New Roman"/>
          <w:sz w:val="24"/>
          <w:szCs w:val="24"/>
        </w:rPr>
        <w:t xml:space="preserve"> </w:t>
      </w:r>
    </w:p>
    <w:p w:rsidR="000A37EE" w:rsidRPr="00A863EF" w:rsidRDefault="000A37EE" w:rsidP="00A863EF">
      <w:pPr>
        <w:pStyle w:val="TextosemFormatao"/>
        <w:numPr>
          <w:ilvl w:val="1"/>
          <w:numId w:val="1"/>
        </w:numPr>
        <w:spacing w:after="120"/>
        <w:ind w:left="426" w:hanging="568"/>
        <w:jc w:val="both"/>
        <w:rPr>
          <w:rFonts w:ascii="Times New Roman" w:hAnsi="Times New Roman" w:cs="Times New Roman"/>
          <w:color w:val="000000" w:themeColor="text1"/>
          <w:sz w:val="24"/>
          <w:szCs w:val="24"/>
        </w:rPr>
      </w:pPr>
      <w:r w:rsidRPr="007115F3">
        <w:rPr>
          <w:rFonts w:ascii="Times New Roman" w:hAnsi="Times New Roman" w:cs="Times New Roman"/>
          <w:sz w:val="24"/>
          <w:szCs w:val="24"/>
        </w:rPr>
        <w:t xml:space="preserve">Registre-se </w:t>
      </w:r>
      <w:r w:rsidRPr="00A863EF">
        <w:rPr>
          <w:rFonts w:ascii="Times New Roman" w:hAnsi="Times New Roman" w:cs="Times New Roman"/>
          <w:sz w:val="24"/>
          <w:szCs w:val="24"/>
        </w:rPr>
        <w:t xml:space="preserve">que a metodologia utilizada para dimensionar o perfil quantitativo e qualitativo ideal da força de trabalho das unidades deste Regional tem por base o mapeamento de competências associado ao levantamento de esforço por atividade (DFT por atribuições e/ou DFT por indicadores de referência). </w:t>
      </w:r>
    </w:p>
    <w:p w:rsidR="00233DE9" w:rsidRPr="00A863EF" w:rsidRDefault="007115F3" w:rsidP="00A863EF">
      <w:pPr>
        <w:pStyle w:val="TextosemFormatao"/>
        <w:numPr>
          <w:ilvl w:val="1"/>
          <w:numId w:val="1"/>
        </w:numPr>
        <w:spacing w:after="120"/>
        <w:ind w:left="426" w:hanging="568"/>
        <w:jc w:val="both"/>
        <w:rPr>
          <w:rFonts w:ascii="Times New Roman" w:hAnsi="Times New Roman" w:cs="Times New Roman"/>
          <w:color w:val="000000" w:themeColor="text1"/>
          <w:sz w:val="24"/>
          <w:szCs w:val="24"/>
        </w:rPr>
      </w:pPr>
      <w:r w:rsidRPr="007115F3">
        <w:rPr>
          <w:rFonts w:ascii="Times New Roman" w:hAnsi="Times New Roman" w:cs="Times New Roman"/>
          <w:spacing w:val="-2"/>
          <w:sz w:val="24"/>
          <w:szCs w:val="24"/>
        </w:rPr>
        <w:t>Pontue-se</w:t>
      </w:r>
      <w:r w:rsidR="00233DE9" w:rsidRPr="007115F3">
        <w:rPr>
          <w:rFonts w:ascii="Times New Roman" w:hAnsi="Times New Roman" w:cs="Times New Roman"/>
          <w:spacing w:val="-2"/>
          <w:sz w:val="24"/>
          <w:szCs w:val="24"/>
        </w:rPr>
        <w:t xml:space="preserve"> </w:t>
      </w:r>
      <w:r w:rsidR="00233DE9" w:rsidRPr="00A863EF">
        <w:rPr>
          <w:rFonts w:ascii="Times New Roman" w:hAnsi="Times New Roman" w:cs="Times New Roman"/>
          <w:color w:val="000000" w:themeColor="text1"/>
          <w:spacing w:val="-2"/>
          <w:sz w:val="24"/>
          <w:szCs w:val="24"/>
        </w:rPr>
        <w:t xml:space="preserve">que a referida metodologia vem sendo aperfeiçoada e adequada à realidade do Tribunal, desde </w:t>
      </w:r>
      <w:proofErr w:type="gramStart"/>
      <w:r w:rsidR="00233DE9" w:rsidRPr="00A863EF">
        <w:rPr>
          <w:rFonts w:ascii="Times New Roman" w:hAnsi="Times New Roman" w:cs="Times New Roman"/>
          <w:color w:val="000000" w:themeColor="text1"/>
          <w:spacing w:val="-2"/>
          <w:sz w:val="24"/>
          <w:szCs w:val="24"/>
        </w:rPr>
        <w:t>2016, quando da realização de projeto piloto, na própria Unidade de Pessoal e na Coordenadoria de Planejamento, Estratégia</w:t>
      </w:r>
      <w:proofErr w:type="gramEnd"/>
      <w:r w:rsidR="00233DE9" w:rsidRPr="00A863EF">
        <w:rPr>
          <w:rFonts w:ascii="Times New Roman" w:hAnsi="Times New Roman" w:cs="Times New Roman"/>
          <w:color w:val="000000" w:themeColor="text1"/>
          <w:spacing w:val="-2"/>
          <w:sz w:val="24"/>
          <w:szCs w:val="24"/>
        </w:rPr>
        <w:t xml:space="preserve"> e Gestão (COPEG). Também foi objeto de explanação, na condição de boa prática, em evento denominado I Fórum de Desenvolvimento da Justiça Eleitoral, realizado em março/2018, no TRE-PA. </w:t>
      </w:r>
    </w:p>
    <w:p w:rsidR="0013766F" w:rsidRPr="00A863EF" w:rsidRDefault="007115F3" w:rsidP="00A863EF">
      <w:pPr>
        <w:pStyle w:val="TextosemFormatao"/>
        <w:numPr>
          <w:ilvl w:val="1"/>
          <w:numId w:val="1"/>
        </w:numPr>
        <w:spacing w:after="120"/>
        <w:ind w:left="426" w:hanging="568"/>
        <w:jc w:val="both"/>
        <w:rPr>
          <w:rFonts w:ascii="Times New Roman" w:hAnsi="Times New Roman" w:cs="Times New Roman"/>
          <w:color w:val="000000" w:themeColor="text1"/>
          <w:sz w:val="24"/>
          <w:szCs w:val="24"/>
        </w:rPr>
      </w:pPr>
      <w:r w:rsidRPr="007115F3">
        <w:rPr>
          <w:rFonts w:ascii="Times New Roman" w:hAnsi="Times New Roman" w:cs="Times New Roman"/>
          <w:sz w:val="24"/>
          <w:szCs w:val="24"/>
        </w:rPr>
        <w:t>Anote-se</w:t>
      </w:r>
      <w:r w:rsidR="0013766F" w:rsidRPr="007115F3">
        <w:rPr>
          <w:rFonts w:ascii="Times New Roman" w:hAnsi="Times New Roman" w:cs="Times New Roman"/>
          <w:sz w:val="24"/>
          <w:szCs w:val="24"/>
        </w:rPr>
        <w:t xml:space="preserve"> </w:t>
      </w:r>
      <w:r w:rsidR="0013766F" w:rsidRPr="00A863EF">
        <w:rPr>
          <w:rFonts w:ascii="Times New Roman" w:hAnsi="Times New Roman" w:cs="Times New Roman"/>
          <w:sz w:val="24"/>
          <w:szCs w:val="24"/>
        </w:rPr>
        <w:t xml:space="preserve">que os trabalhos de DFT são </w:t>
      </w:r>
      <w:r w:rsidR="0013766F" w:rsidRPr="00517D19">
        <w:rPr>
          <w:rFonts w:ascii="Times New Roman" w:hAnsi="Times New Roman" w:cs="Times New Roman"/>
          <w:sz w:val="24"/>
          <w:szCs w:val="24"/>
        </w:rPr>
        <w:t>desenvolvidos</w:t>
      </w:r>
      <w:r w:rsidR="0013766F" w:rsidRPr="00A863EF">
        <w:rPr>
          <w:rFonts w:ascii="Times New Roman" w:hAnsi="Times New Roman" w:cs="Times New Roman"/>
          <w:sz w:val="24"/>
          <w:szCs w:val="24"/>
        </w:rPr>
        <w:t xml:space="preserve"> consoante cronograma de atividades do Projeto Gestão por Competências, considerando que os resultados do referido projeto são utilizados como insumo para os trabalhos de dimensionamento do quadro de pessoal. </w:t>
      </w:r>
      <w:r w:rsidR="000A37EE" w:rsidRPr="00A863EF">
        <w:rPr>
          <w:rFonts w:ascii="Times New Roman" w:hAnsi="Times New Roman" w:cs="Times New Roman"/>
          <w:sz w:val="24"/>
          <w:szCs w:val="24"/>
        </w:rPr>
        <w:t>Dess</w:t>
      </w:r>
      <w:r w:rsidR="00A40BCF" w:rsidRPr="00A863EF">
        <w:rPr>
          <w:rFonts w:ascii="Times New Roman" w:hAnsi="Times New Roman" w:cs="Times New Roman"/>
          <w:sz w:val="24"/>
          <w:szCs w:val="24"/>
        </w:rPr>
        <w:t>a forma</w:t>
      </w:r>
      <w:r w:rsidR="0013766F" w:rsidRPr="00A863EF">
        <w:rPr>
          <w:rFonts w:ascii="Times New Roman" w:hAnsi="Times New Roman" w:cs="Times New Roman"/>
          <w:sz w:val="24"/>
          <w:szCs w:val="24"/>
        </w:rPr>
        <w:t xml:space="preserve">, desde 2016, quando da retomada do Projeto Gestão por Competências e com o auxílio de consultoria especializada contratada, a SGP tem </w:t>
      </w:r>
      <w:r w:rsidR="000A37EE" w:rsidRPr="00517D19">
        <w:rPr>
          <w:rFonts w:ascii="Times New Roman" w:hAnsi="Times New Roman" w:cs="Times New Roman"/>
          <w:sz w:val="24"/>
          <w:szCs w:val="24"/>
        </w:rPr>
        <w:t>realizado</w:t>
      </w:r>
      <w:r w:rsidR="000A37EE" w:rsidRPr="00A863EF">
        <w:rPr>
          <w:rFonts w:ascii="Times New Roman" w:hAnsi="Times New Roman" w:cs="Times New Roman"/>
          <w:sz w:val="24"/>
          <w:szCs w:val="24"/>
        </w:rPr>
        <w:t xml:space="preserve"> </w:t>
      </w:r>
      <w:r w:rsidR="0013766F" w:rsidRPr="00A863EF">
        <w:rPr>
          <w:rFonts w:ascii="Times New Roman" w:hAnsi="Times New Roman" w:cs="Times New Roman"/>
          <w:sz w:val="24"/>
          <w:szCs w:val="24"/>
        </w:rPr>
        <w:t xml:space="preserve">os trabalhos de mapeamento de competências e dimensionamento da força de trabalho </w:t>
      </w:r>
      <w:r w:rsidR="000A37EE" w:rsidRPr="00A863EF">
        <w:rPr>
          <w:rFonts w:ascii="Times New Roman" w:hAnsi="Times New Roman" w:cs="Times New Roman"/>
          <w:sz w:val="24"/>
          <w:szCs w:val="24"/>
        </w:rPr>
        <w:t>em</w:t>
      </w:r>
      <w:r w:rsidR="0013766F" w:rsidRPr="00A863EF">
        <w:rPr>
          <w:rFonts w:ascii="Times New Roman" w:hAnsi="Times New Roman" w:cs="Times New Roman"/>
          <w:sz w:val="24"/>
          <w:szCs w:val="24"/>
        </w:rPr>
        <w:t xml:space="preserve"> unidades priorizadas.</w:t>
      </w:r>
    </w:p>
    <w:p w:rsidR="0013766F" w:rsidRPr="00A863EF" w:rsidRDefault="0013766F" w:rsidP="00A863EF">
      <w:pPr>
        <w:pStyle w:val="TextosemFormatao"/>
        <w:numPr>
          <w:ilvl w:val="1"/>
          <w:numId w:val="1"/>
        </w:numPr>
        <w:spacing w:after="120"/>
        <w:ind w:left="426" w:hanging="568"/>
        <w:jc w:val="both"/>
        <w:rPr>
          <w:rFonts w:ascii="Times New Roman" w:hAnsi="Times New Roman" w:cs="Times New Roman"/>
          <w:color w:val="000000" w:themeColor="text1"/>
          <w:sz w:val="24"/>
          <w:szCs w:val="24"/>
        </w:rPr>
      </w:pPr>
      <w:r w:rsidRPr="007115F3">
        <w:rPr>
          <w:rFonts w:ascii="Times New Roman" w:hAnsi="Times New Roman" w:cs="Times New Roman"/>
          <w:spacing w:val="-4"/>
          <w:sz w:val="24"/>
          <w:szCs w:val="24"/>
        </w:rPr>
        <w:t xml:space="preserve">Ressalte-se que </w:t>
      </w:r>
      <w:r w:rsidR="000A37EE" w:rsidRPr="00517D19">
        <w:rPr>
          <w:rFonts w:ascii="Times New Roman" w:hAnsi="Times New Roman" w:cs="Times New Roman"/>
          <w:spacing w:val="-4"/>
          <w:sz w:val="24"/>
          <w:szCs w:val="24"/>
        </w:rPr>
        <w:t xml:space="preserve">o referido </w:t>
      </w:r>
      <w:r w:rsidRPr="00A863EF">
        <w:rPr>
          <w:rFonts w:ascii="Times New Roman" w:hAnsi="Times New Roman" w:cs="Times New Roman"/>
          <w:color w:val="000000" w:themeColor="text1"/>
          <w:spacing w:val="-4"/>
          <w:sz w:val="24"/>
          <w:szCs w:val="24"/>
        </w:rPr>
        <w:t xml:space="preserve">cronograma </w:t>
      </w:r>
      <w:r w:rsidR="00233DE9" w:rsidRPr="00517D19">
        <w:rPr>
          <w:rFonts w:ascii="Times New Roman" w:hAnsi="Times New Roman" w:cs="Times New Roman"/>
          <w:spacing w:val="-4"/>
          <w:sz w:val="24"/>
          <w:szCs w:val="24"/>
        </w:rPr>
        <w:t xml:space="preserve">é </w:t>
      </w:r>
      <w:r w:rsidRPr="00A863EF">
        <w:rPr>
          <w:rFonts w:ascii="Times New Roman" w:hAnsi="Times New Roman" w:cs="Times New Roman"/>
          <w:color w:val="000000" w:themeColor="text1"/>
          <w:spacing w:val="-4"/>
          <w:sz w:val="24"/>
          <w:szCs w:val="24"/>
        </w:rPr>
        <w:t>estabelecido, observados os seguintes critérios: número de unidades integrantes da área a ser dimensionada de modo a compatibilizar o esforço com a capacidade operacional da área gestora do processo de trabalho; existência de recomendação de auditoria requerendo mapeamento de competências e/ou dimensionamento da força de trabalho de unidade específica, em caráter prioritário; contexto de ano eleitoral e não eleitoral, de modo a não impactar unidades envolvidas em atividades preparatórias do pleito, em exercícios em que se realizam eleições; e situações críticas, a exemplo de unidades com quantitativo considerável de aposentáveis.</w:t>
      </w:r>
    </w:p>
    <w:p w:rsidR="0013766F" w:rsidRDefault="0013766F" w:rsidP="00A863EF">
      <w:pPr>
        <w:pStyle w:val="TextosemFormatao"/>
        <w:numPr>
          <w:ilvl w:val="1"/>
          <w:numId w:val="1"/>
        </w:numPr>
        <w:spacing w:after="120"/>
        <w:ind w:left="426" w:hanging="568"/>
        <w:jc w:val="both"/>
        <w:rPr>
          <w:rFonts w:ascii="Times New Roman" w:hAnsi="Times New Roman" w:cs="Times New Roman"/>
          <w:color w:val="000000" w:themeColor="text1"/>
          <w:sz w:val="24"/>
          <w:szCs w:val="24"/>
        </w:rPr>
      </w:pPr>
      <w:r w:rsidRPr="007115F3">
        <w:rPr>
          <w:rFonts w:ascii="Times New Roman" w:hAnsi="Times New Roman" w:cs="Times New Roman"/>
          <w:sz w:val="24"/>
          <w:szCs w:val="24"/>
        </w:rPr>
        <w:t>Esclareça-se que</w:t>
      </w:r>
      <w:r w:rsidRPr="00A863EF">
        <w:rPr>
          <w:rFonts w:ascii="Times New Roman" w:hAnsi="Times New Roman" w:cs="Times New Roman"/>
          <w:color w:val="000000" w:themeColor="text1"/>
          <w:sz w:val="24"/>
          <w:szCs w:val="24"/>
        </w:rPr>
        <w:t xml:space="preserve">, não obstante transcurso de mais de dois anos de implementação, não se verificou documentação do método, notadamente dos procedimentos aperfeiçoados ou adequados à realidade deste Regional a partir de sistemática proposta pela empresa de consultoria contratada, ou, ainda, formalização de normativo interno regulamentador do correspondente processo de trabalho, comprometendo, por consequência, a gestão do conhecimento, em face da dependência da empresa de consultoria contratada, bem como da concentração de </w:t>
      </w:r>
      <w:r w:rsidRPr="00A863EF">
        <w:rPr>
          <w:rFonts w:ascii="Times New Roman" w:hAnsi="Times New Roman" w:cs="Times New Roman"/>
          <w:i/>
          <w:color w:val="000000" w:themeColor="text1"/>
          <w:sz w:val="24"/>
          <w:szCs w:val="24"/>
        </w:rPr>
        <w:t>expertise</w:t>
      </w:r>
      <w:r w:rsidRPr="00A863EF">
        <w:rPr>
          <w:rFonts w:ascii="Times New Roman" w:hAnsi="Times New Roman" w:cs="Times New Roman"/>
          <w:color w:val="000000" w:themeColor="text1"/>
          <w:sz w:val="24"/>
          <w:szCs w:val="24"/>
        </w:rPr>
        <w:t xml:space="preserve"> em alguns servidores lotados </w:t>
      </w:r>
      <w:proofErr w:type="gramStart"/>
      <w:r w:rsidRPr="00A863EF">
        <w:rPr>
          <w:rFonts w:ascii="Times New Roman" w:hAnsi="Times New Roman" w:cs="Times New Roman"/>
          <w:color w:val="000000" w:themeColor="text1"/>
          <w:sz w:val="24"/>
          <w:szCs w:val="24"/>
        </w:rPr>
        <w:t>na SEDES</w:t>
      </w:r>
      <w:proofErr w:type="gramEnd"/>
      <w:r w:rsidRPr="00A863EF">
        <w:rPr>
          <w:rFonts w:ascii="Times New Roman" w:hAnsi="Times New Roman" w:cs="Times New Roman"/>
          <w:color w:val="000000" w:themeColor="text1"/>
          <w:sz w:val="24"/>
          <w:szCs w:val="24"/>
        </w:rPr>
        <w:t>.</w:t>
      </w:r>
    </w:p>
    <w:p w:rsidR="00E0457B" w:rsidRDefault="00E0457B" w:rsidP="00A863EF">
      <w:pPr>
        <w:pStyle w:val="TextosemFormatao"/>
        <w:numPr>
          <w:ilvl w:val="1"/>
          <w:numId w:val="1"/>
        </w:numPr>
        <w:spacing w:after="120"/>
        <w:ind w:left="426" w:hanging="568"/>
        <w:jc w:val="both"/>
        <w:rPr>
          <w:rFonts w:ascii="Times New Roman" w:hAnsi="Times New Roman" w:cs="Times New Roman"/>
          <w:color w:val="000000" w:themeColor="text1"/>
          <w:sz w:val="24"/>
          <w:szCs w:val="24"/>
        </w:rPr>
      </w:pPr>
      <w:r w:rsidRPr="00A863EF">
        <w:rPr>
          <w:rFonts w:ascii="Times New Roman" w:hAnsi="Times New Roman" w:cs="Times New Roman"/>
          <w:color w:val="000000" w:themeColor="text1"/>
          <w:sz w:val="24"/>
          <w:szCs w:val="24"/>
        </w:rPr>
        <w:t>De acordo com o Relatório de Gestão 2017, o TRE-BA conta com força de trabalho composta por 502 servidores de carreira, na área meio, e 956, na área fim. No que tange</w:t>
      </w:r>
      <w:r w:rsidR="00CF176D">
        <w:rPr>
          <w:rFonts w:ascii="Times New Roman" w:hAnsi="Times New Roman" w:cs="Times New Roman"/>
          <w:color w:val="000000" w:themeColor="text1"/>
          <w:sz w:val="24"/>
          <w:szCs w:val="24"/>
        </w:rPr>
        <w:t>,</w:t>
      </w:r>
      <w:r w:rsidRPr="00A863EF">
        <w:rPr>
          <w:rFonts w:ascii="Times New Roman" w:hAnsi="Times New Roman" w:cs="Times New Roman"/>
          <w:color w:val="000000" w:themeColor="text1"/>
          <w:sz w:val="24"/>
          <w:szCs w:val="24"/>
        </w:rPr>
        <w:t xml:space="preserve"> especificamente</w:t>
      </w:r>
      <w:r w:rsidR="00CF176D">
        <w:rPr>
          <w:rFonts w:ascii="Times New Roman" w:hAnsi="Times New Roman" w:cs="Times New Roman"/>
          <w:color w:val="000000" w:themeColor="text1"/>
          <w:sz w:val="24"/>
          <w:szCs w:val="24"/>
        </w:rPr>
        <w:t>,</w:t>
      </w:r>
      <w:r w:rsidRPr="00A863EF">
        <w:rPr>
          <w:rFonts w:ascii="Times New Roman" w:hAnsi="Times New Roman" w:cs="Times New Roman"/>
          <w:color w:val="000000" w:themeColor="text1"/>
          <w:sz w:val="24"/>
          <w:szCs w:val="24"/>
        </w:rPr>
        <w:t xml:space="preserve"> à STI, a força de trabalho é composta por 111 profissionais, dos quais: 23 (20,72%) são servidores efetivos da carreira de TIC do Tribunal; 22 (19,82%) são servidores efetivos de outras carreiras do Tribunal; </w:t>
      </w:r>
      <w:proofErr w:type="gramStart"/>
      <w:r w:rsidRPr="00A863EF">
        <w:rPr>
          <w:rFonts w:ascii="Times New Roman" w:hAnsi="Times New Roman" w:cs="Times New Roman"/>
          <w:color w:val="000000" w:themeColor="text1"/>
          <w:sz w:val="24"/>
          <w:szCs w:val="24"/>
        </w:rPr>
        <w:t>1</w:t>
      </w:r>
      <w:proofErr w:type="gramEnd"/>
      <w:r w:rsidRPr="00A863EF">
        <w:rPr>
          <w:rFonts w:ascii="Times New Roman" w:hAnsi="Times New Roman" w:cs="Times New Roman"/>
          <w:color w:val="000000" w:themeColor="text1"/>
          <w:sz w:val="24"/>
          <w:szCs w:val="24"/>
        </w:rPr>
        <w:t xml:space="preserve"> (0,9%) é servidor efetivo de TIC de outro órgão; 1 (0,9%) é servidor de outra carreira de outro órgão; 62 (55,86%) são terceirizados; e 2 (1,8%) são estagiários.</w:t>
      </w:r>
    </w:p>
    <w:p w:rsidR="00233DE9" w:rsidRPr="00517D19" w:rsidRDefault="007115F3" w:rsidP="00A863EF">
      <w:pPr>
        <w:pStyle w:val="TextosemFormatao"/>
        <w:numPr>
          <w:ilvl w:val="1"/>
          <w:numId w:val="1"/>
        </w:numPr>
        <w:spacing w:after="120"/>
        <w:ind w:left="426" w:hanging="568"/>
        <w:jc w:val="both"/>
        <w:rPr>
          <w:rFonts w:ascii="Times New Roman" w:hAnsi="Times New Roman" w:cs="Times New Roman"/>
          <w:sz w:val="24"/>
          <w:szCs w:val="24"/>
        </w:rPr>
      </w:pPr>
      <w:r w:rsidRPr="007115F3">
        <w:rPr>
          <w:rFonts w:ascii="Times New Roman" w:hAnsi="Times New Roman" w:cs="Times New Roman"/>
          <w:spacing w:val="-6"/>
          <w:sz w:val="24"/>
          <w:szCs w:val="24"/>
        </w:rPr>
        <w:t>Consigne-se que</w:t>
      </w:r>
      <w:r w:rsidR="00233DE9" w:rsidRPr="007115F3">
        <w:rPr>
          <w:rFonts w:ascii="Times New Roman" w:hAnsi="Times New Roman" w:cs="Times New Roman"/>
          <w:spacing w:val="-6"/>
          <w:sz w:val="24"/>
          <w:szCs w:val="24"/>
        </w:rPr>
        <w:t xml:space="preserve">, consoante </w:t>
      </w:r>
      <w:r w:rsidR="00233DE9" w:rsidRPr="00517D19">
        <w:rPr>
          <w:rFonts w:ascii="Times New Roman" w:hAnsi="Times New Roman" w:cs="Times New Roman"/>
          <w:spacing w:val="-6"/>
          <w:sz w:val="24"/>
          <w:szCs w:val="24"/>
        </w:rPr>
        <w:t xml:space="preserve">informação prestada pela STI institucional, que a força de trabalho de TIC do TRE-BA </w:t>
      </w:r>
      <w:r w:rsidR="00971AD9">
        <w:rPr>
          <w:rFonts w:ascii="Times New Roman" w:hAnsi="Times New Roman" w:cs="Times New Roman"/>
          <w:spacing w:val="-6"/>
          <w:sz w:val="24"/>
          <w:szCs w:val="24"/>
        </w:rPr>
        <w:t xml:space="preserve">– 23 servidores – </w:t>
      </w:r>
      <w:r w:rsidR="00233DE9" w:rsidRPr="00517D19">
        <w:rPr>
          <w:rFonts w:ascii="Times New Roman" w:hAnsi="Times New Roman" w:cs="Times New Roman"/>
          <w:spacing w:val="-6"/>
          <w:sz w:val="24"/>
          <w:szCs w:val="24"/>
        </w:rPr>
        <w:t xml:space="preserve">encontra-se em desalinho com os referenciais mínimos estabelecidos pela Resolução CNJ nº 211/2015, haja vista que, consoante parâmetros </w:t>
      </w:r>
      <w:r w:rsidR="00233DE9" w:rsidRPr="00517D19">
        <w:rPr>
          <w:rFonts w:ascii="Times New Roman" w:hAnsi="Times New Roman" w:cs="Times New Roman"/>
          <w:spacing w:val="-6"/>
          <w:sz w:val="24"/>
          <w:szCs w:val="24"/>
        </w:rPr>
        <w:lastRenderedPageBreak/>
        <w:t xml:space="preserve">fornecidos pelo anexo I do referido normativo, considerados usuários internos e externos de TIC, o quadro </w:t>
      </w:r>
      <w:r w:rsidR="00E301C2" w:rsidRPr="00517D19">
        <w:rPr>
          <w:rFonts w:ascii="Times New Roman" w:hAnsi="Times New Roman" w:cs="Times New Roman"/>
          <w:spacing w:val="-6"/>
          <w:sz w:val="24"/>
          <w:szCs w:val="24"/>
        </w:rPr>
        <w:t>permanente de TIC deveria contar</w:t>
      </w:r>
      <w:r w:rsidR="00233DE9" w:rsidRPr="00517D19">
        <w:rPr>
          <w:rFonts w:ascii="Times New Roman" w:hAnsi="Times New Roman" w:cs="Times New Roman"/>
          <w:spacing w:val="-6"/>
          <w:sz w:val="24"/>
          <w:szCs w:val="24"/>
        </w:rPr>
        <w:t xml:space="preserve"> com, no mínimo, </w:t>
      </w:r>
      <w:r w:rsidR="00233DE9" w:rsidRPr="00971AD9">
        <w:rPr>
          <w:rFonts w:ascii="Times New Roman" w:hAnsi="Times New Roman" w:cs="Times New Roman"/>
          <w:spacing w:val="-6"/>
          <w:sz w:val="24"/>
          <w:szCs w:val="24"/>
        </w:rPr>
        <w:t>5</w:t>
      </w:r>
      <w:r w:rsidR="00AE2850" w:rsidRPr="00971AD9">
        <w:rPr>
          <w:rFonts w:ascii="Times New Roman" w:hAnsi="Times New Roman" w:cs="Times New Roman"/>
          <w:spacing w:val="-6"/>
          <w:sz w:val="24"/>
          <w:szCs w:val="24"/>
        </w:rPr>
        <w:t>2</w:t>
      </w:r>
      <w:r w:rsidR="00233DE9" w:rsidRPr="00971AD9">
        <w:rPr>
          <w:rFonts w:ascii="Times New Roman" w:hAnsi="Times New Roman" w:cs="Times New Roman"/>
          <w:spacing w:val="-6"/>
          <w:sz w:val="24"/>
          <w:szCs w:val="24"/>
        </w:rPr>
        <w:t xml:space="preserve"> </w:t>
      </w:r>
      <w:r w:rsidR="00233DE9" w:rsidRPr="00517D19">
        <w:rPr>
          <w:rFonts w:ascii="Times New Roman" w:hAnsi="Times New Roman" w:cs="Times New Roman"/>
          <w:spacing w:val="-6"/>
          <w:sz w:val="24"/>
          <w:szCs w:val="24"/>
        </w:rPr>
        <w:t>servidores.</w:t>
      </w:r>
    </w:p>
    <w:p w:rsidR="00E0457B" w:rsidRPr="00A70B6D" w:rsidRDefault="00E0457B" w:rsidP="00A863EF">
      <w:pPr>
        <w:pStyle w:val="TextosemFormatao"/>
        <w:numPr>
          <w:ilvl w:val="1"/>
          <w:numId w:val="1"/>
        </w:numPr>
        <w:spacing w:after="120"/>
        <w:ind w:left="426" w:hanging="568"/>
        <w:jc w:val="both"/>
        <w:rPr>
          <w:rFonts w:ascii="Times New Roman" w:hAnsi="Times New Roman" w:cs="Times New Roman"/>
          <w:color w:val="000000" w:themeColor="text1"/>
          <w:spacing w:val="-4"/>
          <w:sz w:val="24"/>
          <w:szCs w:val="24"/>
        </w:rPr>
      </w:pPr>
      <w:r w:rsidRPr="00A70B6D">
        <w:rPr>
          <w:rFonts w:ascii="Times New Roman" w:hAnsi="Times New Roman" w:cs="Times New Roman"/>
          <w:color w:val="000000" w:themeColor="text1"/>
          <w:spacing w:val="-4"/>
          <w:sz w:val="24"/>
          <w:szCs w:val="24"/>
        </w:rPr>
        <w:t>Registre-se que o Tribunal firmou dois contratos, objetiv</w:t>
      </w:r>
      <w:r w:rsidR="00E301C2" w:rsidRPr="00A70B6D">
        <w:rPr>
          <w:rFonts w:ascii="Times New Roman" w:hAnsi="Times New Roman" w:cs="Times New Roman"/>
          <w:color w:val="000000" w:themeColor="text1"/>
          <w:spacing w:val="-4"/>
          <w:sz w:val="24"/>
          <w:szCs w:val="24"/>
        </w:rPr>
        <w:t>ando a prestação de serviço de c</w:t>
      </w:r>
      <w:r w:rsidRPr="00A70B6D">
        <w:rPr>
          <w:rFonts w:ascii="Times New Roman" w:hAnsi="Times New Roman" w:cs="Times New Roman"/>
          <w:color w:val="000000" w:themeColor="text1"/>
          <w:spacing w:val="-4"/>
          <w:sz w:val="24"/>
          <w:szCs w:val="24"/>
        </w:rPr>
        <w:t xml:space="preserve">onsultoria para Programa de Capacitação em Dimensionamento da Força de Trabalho. O primeiro contrato, </w:t>
      </w:r>
      <w:r w:rsidR="00B2604A" w:rsidRPr="00A70B6D">
        <w:rPr>
          <w:rFonts w:ascii="Times New Roman" w:hAnsi="Times New Roman" w:cs="Times New Roman"/>
          <w:color w:val="000000" w:themeColor="text1"/>
          <w:spacing w:val="-4"/>
          <w:sz w:val="24"/>
          <w:szCs w:val="24"/>
        </w:rPr>
        <w:t xml:space="preserve">nº </w:t>
      </w:r>
      <w:r w:rsidRPr="00A70B6D">
        <w:rPr>
          <w:rFonts w:ascii="Times New Roman" w:hAnsi="Times New Roman" w:cs="Times New Roman"/>
          <w:color w:val="000000" w:themeColor="text1"/>
          <w:spacing w:val="-4"/>
          <w:sz w:val="24"/>
          <w:szCs w:val="24"/>
        </w:rPr>
        <w:t>98/2016, no valor de R$ 116.530,40 (cento e dezesseis mil, quinhentos e trinta reais e quarenta centavos), vigeu a partir de 28/11/2016 (PAD nº 13.718</w:t>
      </w:r>
      <w:r w:rsidR="00B2604A" w:rsidRPr="00A70B6D">
        <w:rPr>
          <w:rFonts w:ascii="Times New Roman" w:hAnsi="Times New Roman" w:cs="Times New Roman"/>
          <w:color w:val="000000" w:themeColor="text1"/>
          <w:spacing w:val="-4"/>
          <w:sz w:val="24"/>
          <w:szCs w:val="24"/>
        </w:rPr>
        <w:t xml:space="preserve">/2016). O segundo contrato, nº </w:t>
      </w:r>
      <w:r w:rsidRPr="00A70B6D">
        <w:rPr>
          <w:rFonts w:ascii="Times New Roman" w:hAnsi="Times New Roman" w:cs="Times New Roman"/>
          <w:color w:val="000000" w:themeColor="text1"/>
          <w:spacing w:val="-4"/>
          <w:sz w:val="24"/>
          <w:szCs w:val="24"/>
        </w:rPr>
        <w:t>26/2018, no valor de R$ 62.192,16 (sessenta e dois mil, cento e noventa e dois reais e dezesseis centavos), vigeu até 31/5/2018 (PAD nº 10.735/2017).</w:t>
      </w:r>
    </w:p>
    <w:p w:rsidR="00F312C6" w:rsidRPr="00D76371" w:rsidRDefault="00F662AF" w:rsidP="002808EC">
      <w:pPr>
        <w:pStyle w:val="PargrafodaLista"/>
        <w:spacing w:after="240"/>
        <w:ind w:left="357" w:hanging="357"/>
        <w:rPr>
          <w:sz w:val="24"/>
          <w:szCs w:val="24"/>
        </w:rPr>
      </w:pPr>
      <w:bookmarkStart w:id="24" w:name="_Toc520405195"/>
      <w:r w:rsidRPr="00D76371">
        <w:rPr>
          <w:sz w:val="24"/>
          <w:szCs w:val="24"/>
        </w:rPr>
        <w:t>OBJETIVO</w:t>
      </w:r>
      <w:bookmarkEnd w:id="24"/>
    </w:p>
    <w:p w:rsidR="00CB4E37" w:rsidRDefault="00BA79C0" w:rsidP="00A863EF">
      <w:pPr>
        <w:pStyle w:val="TextosemFormatao"/>
        <w:numPr>
          <w:ilvl w:val="1"/>
          <w:numId w:val="1"/>
        </w:numPr>
        <w:spacing w:after="120"/>
        <w:ind w:left="426" w:hanging="426"/>
        <w:jc w:val="both"/>
        <w:rPr>
          <w:rFonts w:ascii="Times New Roman" w:hAnsi="Times New Roman" w:cs="Times New Roman"/>
          <w:color w:val="000000" w:themeColor="text1"/>
          <w:sz w:val="24"/>
          <w:szCs w:val="24"/>
        </w:rPr>
      </w:pPr>
      <w:r w:rsidRPr="00A863EF">
        <w:rPr>
          <w:rFonts w:ascii="Times New Roman" w:hAnsi="Times New Roman" w:cs="Times New Roman"/>
          <w:color w:val="000000" w:themeColor="text1"/>
          <w:sz w:val="24"/>
          <w:szCs w:val="24"/>
        </w:rPr>
        <w:t xml:space="preserve">A ação fiscalizatória </w:t>
      </w:r>
      <w:proofErr w:type="gramStart"/>
      <w:r w:rsidRPr="00A863EF">
        <w:rPr>
          <w:rFonts w:ascii="Times New Roman" w:hAnsi="Times New Roman" w:cs="Times New Roman"/>
          <w:color w:val="000000" w:themeColor="text1"/>
          <w:sz w:val="24"/>
          <w:szCs w:val="24"/>
        </w:rPr>
        <w:t>sob</w:t>
      </w:r>
      <w:r w:rsidR="001F1F83" w:rsidRPr="00A863EF">
        <w:rPr>
          <w:rFonts w:ascii="Times New Roman" w:hAnsi="Times New Roman" w:cs="Times New Roman"/>
          <w:color w:val="000000" w:themeColor="text1"/>
          <w:sz w:val="24"/>
          <w:szCs w:val="24"/>
        </w:rPr>
        <w:t xml:space="preserve"> </w:t>
      </w:r>
      <w:r w:rsidRPr="00A863EF">
        <w:rPr>
          <w:rFonts w:ascii="Times New Roman" w:hAnsi="Times New Roman" w:cs="Times New Roman"/>
          <w:color w:val="000000" w:themeColor="text1"/>
          <w:sz w:val="24"/>
          <w:szCs w:val="24"/>
        </w:rPr>
        <w:t>exame</w:t>
      </w:r>
      <w:proofErr w:type="gramEnd"/>
      <w:r w:rsidRPr="00A863EF">
        <w:rPr>
          <w:rFonts w:ascii="Times New Roman" w:hAnsi="Times New Roman" w:cs="Times New Roman"/>
          <w:color w:val="000000" w:themeColor="text1"/>
          <w:sz w:val="24"/>
          <w:szCs w:val="24"/>
        </w:rPr>
        <w:t xml:space="preserve"> teve por </w:t>
      </w:r>
      <w:r w:rsidR="003719D7" w:rsidRPr="00A863EF">
        <w:rPr>
          <w:rFonts w:ascii="Times New Roman" w:hAnsi="Times New Roman" w:cs="Times New Roman"/>
          <w:color w:val="000000" w:themeColor="text1"/>
          <w:sz w:val="24"/>
          <w:szCs w:val="24"/>
        </w:rPr>
        <w:t xml:space="preserve">objetivo </w:t>
      </w:r>
      <w:r w:rsidR="00B55B80" w:rsidRPr="00A863EF">
        <w:rPr>
          <w:rFonts w:ascii="Times New Roman" w:hAnsi="Times New Roman" w:cs="Times New Roman"/>
          <w:color w:val="000000" w:themeColor="text1"/>
          <w:sz w:val="24"/>
          <w:szCs w:val="24"/>
        </w:rPr>
        <w:t xml:space="preserve">avaliar </w:t>
      </w:r>
      <w:r w:rsidR="00D3650B" w:rsidRPr="00A863EF">
        <w:rPr>
          <w:rFonts w:ascii="Times New Roman" w:hAnsi="Times New Roman" w:cs="Times New Roman"/>
          <w:color w:val="000000" w:themeColor="text1"/>
          <w:sz w:val="24"/>
          <w:szCs w:val="24"/>
        </w:rPr>
        <w:t xml:space="preserve">a efetividade da metodologia ou critérios utilizados e respectivos controles internos adotados no processo de gestão da força de trabalho como resposta aos riscos inerentes ao </w:t>
      </w:r>
      <w:proofErr w:type="spellStart"/>
      <w:r w:rsidR="00D3650B" w:rsidRPr="00A863EF">
        <w:rPr>
          <w:rFonts w:ascii="Times New Roman" w:hAnsi="Times New Roman" w:cs="Times New Roman"/>
          <w:color w:val="000000" w:themeColor="text1"/>
          <w:sz w:val="24"/>
          <w:szCs w:val="24"/>
        </w:rPr>
        <w:t>subprocesso</w:t>
      </w:r>
      <w:proofErr w:type="spellEnd"/>
      <w:r w:rsidR="00D3650B" w:rsidRPr="00A863EF">
        <w:rPr>
          <w:rFonts w:ascii="Times New Roman" w:hAnsi="Times New Roman" w:cs="Times New Roman"/>
          <w:color w:val="000000" w:themeColor="text1"/>
          <w:sz w:val="24"/>
          <w:szCs w:val="24"/>
        </w:rPr>
        <w:t xml:space="preserve"> de dimensionamento quantitativo e qualitativo da força de trabalho</w:t>
      </w:r>
      <w:r w:rsidRPr="00A863EF">
        <w:rPr>
          <w:rFonts w:ascii="Times New Roman" w:hAnsi="Times New Roman" w:cs="Times New Roman"/>
          <w:color w:val="000000" w:themeColor="text1"/>
          <w:sz w:val="24"/>
          <w:szCs w:val="24"/>
        </w:rPr>
        <w:t xml:space="preserve">.  </w:t>
      </w:r>
    </w:p>
    <w:p w:rsidR="00BA79C0" w:rsidRPr="00A863EF" w:rsidRDefault="00141578" w:rsidP="00A863EF">
      <w:pPr>
        <w:pStyle w:val="TextosemFormatao"/>
        <w:numPr>
          <w:ilvl w:val="1"/>
          <w:numId w:val="1"/>
        </w:numPr>
        <w:spacing w:after="120"/>
        <w:ind w:left="426" w:hanging="426"/>
        <w:jc w:val="both"/>
        <w:rPr>
          <w:rFonts w:ascii="Times New Roman" w:hAnsi="Times New Roman" w:cs="Times New Roman"/>
          <w:color w:val="000000" w:themeColor="text1"/>
          <w:sz w:val="24"/>
          <w:szCs w:val="24"/>
        </w:rPr>
      </w:pPr>
      <w:r w:rsidRPr="00A863EF">
        <w:rPr>
          <w:rFonts w:ascii="Times New Roman" w:hAnsi="Times New Roman" w:cs="Times New Roman"/>
          <w:spacing w:val="-2"/>
          <w:sz w:val="24"/>
          <w:szCs w:val="24"/>
        </w:rPr>
        <w:t xml:space="preserve">Constituíram objetivos específicos da sobredita auditoria, consoante </w:t>
      </w:r>
      <w:r w:rsidR="00E301C2" w:rsidRPr="00A863EF">
        <w:rPr>
          <w:rFonts w:ascii="Times New Roman" w:hAnsi="Times New Roman" w:cs="Times New Roman"/>
          <w:spacing w:val="-2"/>
          <w:sz w:val="24"/>
          <w:szCs w:val="24"/>
        </w:rPr>
        <w:t>P</w:t>
      </w:r>
      <w:r w:rsidRPr="00A863EF">
        <w:rPr>
          <w:rFonts w:ascii="Times New Roman" w:hAnsi="Times New Roman" w:cs="Times New Roman"/>
          <w:spacing w:val="-2"/>
          <w:sz w:val="24"/>
          <w:szCs w:val="24"/>
        </w:rPr>
        <w:t xml:space="preserve">rograma de Auditoria, avaliar: </w:t>
      </w:r>
      <w:r w:rsidR="00D3650B" w:rsidRPr="00A863EF">
        <w:rPr>
          <w:rFonts w:ascii="Times New Roman" w:hAnsi="Times New Roman" w:cs="Times New Roman"/>
          <w:sz w:val="24"/>
          <w:szCs w:val="24"/>
        </w:rPr>
        <w:t>metodologia ou critérios utilizados para definição do perfil quantitativo e qualitativo da força de trabalho necessária à asseguração das entregas e cumprimento dos objetivos e metas organizacionais, em face da estratégia organizacional definida</w:t>
      </w:r>
      <w:r w:rsidRPr="00A863EF">
        <w:rPr>
          <w:rFonts w:ascii="Times New Roman" w:hAnsi="Times New Roman" w:cs="Times New Roman"/>
          <w:spacing w:val="-2"/>
          <w:sz w:val="24"/>
          <w:szCs w:val="24"/>
        </w:rPr>
        <w:t xml:space="preserve">; </w:t>
      </w:r>
      <w:r w:rsidR="00D3650B" w:rsidRPr="00A863EF">
        <w:rPr>
          <w:rFonts w:ascii="Times New Roman" w:hAnsi="Times New Roman" w:cs="Times New Roman"/>
          <w:sz w:val="24"/>
          <w:szCs w:val="24"/>
        </w:rPr>
        <w:t>adequação, suficiência e efetividade dos controles internos instituídos em resposta aos riscos de não alcance dos objetivos do dimensionamento da força de trabalho;</w:t>
      </w:r>
      <w:r w:rsidRPr="00A863EF">
        <w:rPr>
          <w:rFonts w:ascii="Times New Roman" w:hAnsi="Times New Roman" w:cs="Times New Roman"/>
          <w:color w:val="FF0000"/>
          <w:spacing w:val="-2"/>
          <w:sz w:val="24"/>
          <w:szCs w:val="24"/>
        </w:rPr>
        <w:t xml:space="preserve"> </w:t>
      </w:r>
      <w:r w:rsidR="00D3650B" w:rsidRPr="00A863EF">
        <w:rPr>
          <w:rFonts w:ascii="Times New Roman" w:hAnsi="Times New Roman" w:cs="Times New Roman"/>
          <w:sz w:val="24"/>
          <w:szCs w:val="24"/>
        </w:rPr>
        <w:t>utilização de referenciais mínimos ou ideais de lotação para planejamento da força de trabalho</w:t>
      </w:r>
      <w:r w:rsidR="00E4553A" w:rsidRPr="00A863EF">
        <w:rPr>
          <w:rFonts w:ascii="Times New Roman" w:hAnsi="Times New Roman" w:cs="Times New Roman"/>
          <w:sz w:val="24"/>
          <w:szCs w:val="24"/>
        </w:rPr>
        <w:t>,</w:t>
      </w:r>
      <w:r w:rsidR="00D3650B" w:rsidRPr="00A863EF">
        <w:rPr>
          <w:rFonts w:ascii="Times New Roman" w:hAnsi="Times New Roman" w:cs="Times New Roman"/>
          <w:sz w:val="24"/>
          <w:szCs w:val="24"/>
        </w:rPr>
        <w:t xml:space="preserve"> planejamento de concurso público</w:t>
      </w:r>
      <w:r w:rsidR="00E4553A" w:rsidRPr="00A863EF">
        <w:rPr>
          <w:rFonts w:ascii="Times New Roman" w:hAnsi="Times New Roman" w:cs="Times New Roman"/>
          <w:sz w:val="24"/>
          <w:szCs w:val="24"/>
        </w:rPr>
        <w:t>,</w:t>
      </w:r>
      <w:r w:rsidR="00D3650B" w:rsidRPr="00A863EF">
        <w:rPr>
          <w:rFonts w:ascii="Times New Roman" w:hAnsi="Times New Roman" w:cs="Times New Roman"/>
          <w:sz w:val="24"/>
          <w:szCs w:val="24"/>
        </w:rPr>
        <w:t xml:space="preserve"> alocação inicial</w:t>
      </w:r>
      <w:r w:rsidR="00E4553A" w:rsidRPr="00A863EF">
        <w:rPr>
          <w:rFonts w:ascii="Times New Roman" w:hAnsi="Times New Roman" w:cs="Times New Roman"/>
          <w:sz w:val="24"/>
          <w:szCs w:val="24"/>
        </w:rPr>
        <w:t>,</w:t>
      </w:r>
      <w:r w:rsidR="00D3650B" w:rsidRPr="00A863EF">
        <w:rPr>
          <w:rFonts w:ascii="Times New Roman" w:hAnsi="Times New Roman" w:cs="Times New Roman"/>
          <w:sz w:val="24"/>
          <w:szCs w:val="24"/>
        </w:rPr>
        <w:t xml:space="preserve"> movimentação</w:t>
      </w:r>
      <w:r w:rsidR="00E4553A" w:rsidRPr="00A863EF">
        <w:rPr>
          <w:rFonts w:ascii="Times New Roman" w:hAnsi="Times New Roman" w:cs="Times New Roman"/>
          <w:sz w:val="24"/>
          <w:szCs w:val="24"/>
        </w:rPr>
        <w:t>,</w:t>
      </w:r>
      <w:r w:rsidR="00D3650B" w:rsidRPr="00A863EF">
        <w:rPr>
          <w:rFonts w:ascii="Times New Roman" w:hAnsi="Times New Roman" w:cs="Times New Roman"/>
          <w:sz w:val="24"/>
          <w:szCs w:val="24"/>
        </w:rPr>
        <w:t xml:space="preserve"> reestruturação</w:t>
      </w:r>
      <w:r w:rsidR="00E301C2" w:rsidRPr="00A863EF">
        <w:rPr>
          <w:rFonts w:ascii="Times New Roman" w:hAnsi="Times New Roman" w:cs="Times New Roman"/>
          <w:sz w:val="24"/>
          <w:szCs w:val="24"/>
        </w:rPr>
        <w:t xml:space="preserve"> </w:t>
      </w:r>
      <w:r w:rsidR="00E301C2" w:rsidRPr="00517D19">
        <w:rPr>
          <w:rFonts w:ascii="Times New Roman" w:hAnsi="Times New Roman" w:cs="Times New Roman"/>
          <w:sz w:val="24"/>
          <w:szCs w:val="24"/>
        </w:rPr>
        <w:t>administrativa</w:t>
      </w:r>
      <w:r w:rsidR="00D3650B" w:rsidRPr="00A863EF">
        <w:rPr>
          <w:rFonts w:ascii="Times New Roman" w:hAnsi="Times New Roman" w:cs="Times New Roman"/>
          <w:color w:val="0000CC"/>
          <w:sz w:val="24"/>
          <w:szCs w:val="24"/>
        </w:rPr>
        <w:t xml:space="preserve"> </w:t>
      </w:r>
      <w:r w:rsidR="00D3650B" w:rsidRPr="00A863EF">
        <w:rPr>
          <w:rFonts w:ascii="Times New Roman" w:hAnsi="Times New Roman" w:cs="Times New Roman"/>
          <w:sz w:val="24"/>
          <w:szCs w:val="24"/>
        </w:rPr>
        <w:t xml:space="preserve">e rezoneamento, </w:t>
      </w:r>
      <w:r w:rsidR="00E301C2" w:rsidRPr="00A863EF">
        <w:rPr>
          <w:rFonts w:ascii="Times New Roman" w:hAnsi="Times New Roman" w:cs="Times New Roman"/>
          <w:sz w:val="24"/>
          <w:szCs w:val="24"/>
        </w:rPr>
        <w:t>bem como</w:t>
      </w:r>
      <w:r w:rsidR="00D3650B" w:rsidRPr="00A863EF">
        <w:rPr>
          <w:rFonts w:ascii="Times New Roman" w:hAnsi="Times New Roman" w:cs="Times New Roman"/>
          <w:sz w:val="24"/>
          <w:szCs w:val="24"/>
        </w:rPr>
        <w:t xml:space="preserve"> respectivos impactos decorrentes de ausência de critérios ou de sua não utilização;</w:t>
      </w:r>
      <w:r w:rsidRPr="00A863EF">
        <w:rPr>
          <w:rFonts w:ascii="Times New Roman" w:hAnsi="Times New Roman" w:cs="Times New Roman"/>
          <w:color w:val="FF0000"/>
          <w:spacing w:val="-2"/>
          <w:sz w:val="24"/>
          <w:szCs w:val="24"/>
        </w:rPr>
        <w:t xml:space="preserve"> </w:t>
      </w:r>
      <w:r w:rsidR="00D3650B" w:rsidRPr="00A863EF">
        <w:rPr>
          <w:rFonts w:ascii="Times New Roman" w:hAnsi="Times New Roman" w:cs="Times New Roman"/>
          <w:sz w:val="24"/>
          <w:szCs w:val="24"/>
        </w:rPr>
        <w:t xml:space="preserve">impacto de alterações da estrutura organizacional decorrentes de reestruturação administrativa ou rezoneamento, na distribuição da força de trabalho; utilização de informações gerenciais relativas </w:t>
      </w:r>
      <w:proofErr w:type="gramStart"/>
      <w:r w:rsidR="00D3650B" w:rsidRPr="00A863EF">
        <w:rPr>
          <w:rFonts w:ascii="Times New Roman" w:hAnsi="Times New Roman" w:cs="Times New Roman"/>
          <w:sz w:val="24"/>
          <w:szCs w:val="24"/>
        </w:rPr>
        <w:t>a claros</w:t>
      </w:r>
      <w:proofErr w:type="gramEnd"/>
      <w:r w:rsidR="00D3650B" w:rsidRPr="00A863EF">
        <w:rPr>
          <w:rFonts w:ascii="Times New Roman" w:hAnsi="Times New Roman" w:cs="Times New Roman"/>
          <w:sz w:val="24"/>
          <w:szCs w:val="24"/>
        </w:rPr>
        <w:t xml:space="preserve"> de lotação, prováveis aposentadorias e ocupações críticas para planejamento da força de trabalho</w:t>
      </w:r>
      <w:r w:rsidR="00E301C2" w:rsidRPr="00A863EF">
        <w:rPr>
          <w:rFonts w:ascii="Times New Roman" w:hAnsi="Times New Roman" w:cs="Times New Roman"/>
          <w:sz w:val="24"/>
          <w:szCs w:val="24"/>
        </w:rPr>
        <w:t>;</w:t>
      </w:r>
      <w:r w:rsidRPr="00A863EF">
        <w:rPr>
          <w:rFonts w:ascii="Times New Roman" w:hAnsi="Times New Roman" w:cs="Times New Roman"/>
          <w:color w:val="FF0000"/>
          <w:spacing w:val="-2"/>
          <w:sz w:val="24"/>
          <w:szCs w:val="24"/>
        </w:rPr>
        <w:t xml:space="preserve"> </w:t>
      </w:r>
      <w:r w:rsidRPr="00A863EF">
        <w:rPr>
          <w:rFonts w:ascii="Times New Roman" w:hAnsi="Times New Roman" w:cs="Times New Roman"/>
          <w:spacing w:val="-2"/>
          <w:sz w:val="24"/>
          <w:szCs w:val="24"/>
        </w:rPr>
        <w:t>e</w:t>
      </w:r>
      <w:r w:rsidRPr="00A863EF">
        <w:rPr>
          <w:rFonts w:ascii="Times New Roman" w:hAnsi="Times New Roman" w:cs="Times New Roman"/>
          <w:color w:val="FF0000"/>
          <w:spacing w:val="-2"/>
          <w:sz w:val="24"/>
          <w:szCs w:val="24"/>
        </w:rPr>
        <w:t xml:space="preserve"> </w:t>
      </w:r>
      <w:r w:rsidR="00D3650B" w:rsidRPr="00A863EF">
        <w:rPr>
          <w:rFonts w:ascii="Times New Roman" w:hAnsi="Times New Roman" w:cs="Times New Roman"/>
          <w:sz w:val="24"/>
          <w:szCs w:val="24"/>
        </w:rPr>
        <w:t>alinhamento entre o plano anual de capacitação e o processo de DFT</w:t>
      </w:r>
      <w:r w:rsidR="00BA79C0" w:rsidRPr="00A863EF">
        <w:rPr>
          <w:rFonts w:ascii="Times New Roman" w:hAnsi="Times New Roman" w:cs="Times New Roman"/>
          <w:spacing w:val="-2"/>
          <w:sz w:val="24"/>
          <w:szCs w:val="24"/>
        </w:rPr>
        <w:t>.</w:t>
      </w:r>
    </w:p>
    <w:p w:rsidR="00F662AF" w:rsidRDefault="005E4BDF" w:rsidP="002808EC">
      <w:pPr>
        <w:pStyle w:val="PargrafodaLista"/>
        <w:spacing w:after="240"/>
        <w:ind w:left="357" w:hanging="357"/>
        <w:rPr>
          <w:sz w:val="24"/>
          <w:szCs w:val="24"/>
        </w:rPr>
      </w:pPr>
      <w:r w:rsidRPr="00F662AF">
        <w:rPr>
          <w:sz w:val="24"/>
          <w:szCs w:val="24"/>
        </w:rPr>
        <w:t xml:space="preserve"> </w:t>
      </w:r>
      <w:bookmarkStart w:id="25" w:name="_Toc520405196"/>
      <w:r w:rsidR="00FC34B2">
        <w:rPr>
          <w:sz w:val="24"/>
          <w:szCs w:val="24"/>
        </w:rPr>
        <w:t>ESCOPO</w:t>
      </w:r>
      <w:bookmarkEnd w:id="25"/>
    </w:p>
    <w:p w:rsidR="00FF581C" w:rsidRPr="00A70B6D" w:rsidRDefault="00FF581C" w:rsidP="00A863EF">
      <w:pPr>
        <w:pStyle w:val="TextosemFormatao"/>
        <w:numPr>
          <w:ilvl w:val="1"/>
          <w:numId w:val="1"/>
        </w:numPr>
        <w:spacing w:after="120"/>
        <w:ind w:left="426" w:hanging="426"/>
        <w:jc w:val="both"/>
        <w:rPr>
          <w:rFonts w:ascii="Times New Roman" w:hAnsi="Times New Roman" w:cs="Times New Roman"/>
          <w:i/>
          <w:color w:val="006600"/>
          <w:spacing w:val="-4"/>
          <w:sz w:val="24"/>
          <w:szCs w:val="24"/>
        </w:rPr>
      </w:pPr>
      <w:r w:rsidRPr="00A70B6D">
        <w:rPr>
          <w:rFonts w:ascii="Times New Roman" w:hAnsi="Times New Roman" w:cs="Times New Roman"/>
          <w:color w:val="000000" w:themeColor="text1"/>
          <w:spacing w:val="-4"/>
          <w:sz w:val="24"/>
          <w:szCs w:val="24"/>
        </w:rPr>
        <w:t xml:space="preserve">Consoante Plano de Trabalho da Auditoria Integrada da Justiça Eleitoral 2018 validado em Workshop realizado no TSE, em 12/3/2018, o escopo da presente auditoria restou circunscrito ao </w:t>
      </w:r>
      <w:proofErr w:type="spellStart"/>
      <w:r w:rsidRPr="00A70B6D">
        <w:rPr>
          <w:rFonts w:ascii="Times New Roman" w:hAnsi="Times New Roman" w:cs="Times New Roman"/>
          <w:color w:val="000000" w:themeColor="text1"/>
          <w:spacing w:val="-4"/>
          <w:sz w:val="24"/>
          <w:szCs w:val="24"/>
        </w:rPr>
        <w:t>subprocesso</w:t>
      </w:r>
      <w:proofErr w:type="spellEnd"/>
      <w:r w:rsidRPr="00A70B6D">
        <w:rPr>
          <w:rFonts w:ascii="Times New Roman" w:hAnsi="Times New Roman" w:cs="Times New Roman"/>
          <w:color w:val="000000" w:themeColor="text1"/>
          <w:spacing w:val="-4"/>
          <w:sz w:val="24"/>
          <w:szCs w:val="24"/>
        </w:rPr>
        <w:t xml:space="preserve"> dimensionamento da força de trabalho, observados aspectos quantitativo e qualitativo, compreendendo o período </w:t>
      </w:r>
      <w:r w:rsidRPr="00A70B6D">
        <w:rPr>
          <w:rFonts w:ascii="Times New Roman" w:hAnsi="Times New Roman" w:cs="Times New Roman"/>
          <w:spacing w:val="-4"/>
          <w:sz w:val="24"/>
          <w:szCs w:val="24"/>
        </w:rPr>
        <w:t xml:space="preserve">referente aos exercícios de 2016 a 2018. </w:t>
      </w:r>
    </w:p>
    <w:p w:rsidR="00D54931" w:rsidRPr="00A863EF" w:rsidRDefault="00D54931" w:rsidP="00A863EF">
      <w:pPr>
        <w:pStyle w:val="TextosemFormatao"/>
        <w:numPr>
          <w:ilvl w:val="1"/>
          <w:numId w:val="1"/>
        </w:numPr>
        <w:spacing w:after="120"/>
        <w:ind w:left="426" w:hanging="426"/>
        <w:jc w:val="both"/>
        <w:rPr>
          <w:rFonts w:ascii="Times New Roman" w:hAnsi="Times New Roman" w:cs="Times New Roman"/>
          <w:i/>
          <w:color w:val="006600"/>
          <w:sz w:val="24"/>
          <w:szCs w:val="24"/>
        </w:rPr>
      </w:pPr>
      <w:r w:rsidRPr="00A863EF">
        <w:rPr>
          <w:rFonts w:ascii="Times New Roman" w:hAnsi="Times New Roman" w:cs="Times New Roman"/>
          <w:color w:val="000000" w:themeColor="text1"/>
          <w:sz w:val="24"/>
          <w:szCs w:val="24"/>
        </w:rPr>
        <w:t xml:space="preserve">Utilizada a abordagem baseada em riscos (ABR), foram identificados </w:t>
      </w:r>
      <w:r w:rsidR="004F500E" w:rsidRPr="00CC3052">
        <w:rPr>
          <w:rFonts w:ascii="Times New Roman" w:hAnsi="Times New Roman" w:cs="Times New Roman"/>
          <w:sz w:val="24"/>
          <w:szCs w:val="24"/>
        </w:rPr>
        <w:t>oito</w:t>
      </w:r>
      <w:r w:rsidR="004F500E" w:rsidRPr="00A863EF">
        <w:rPr>
          <w:rFonts w:ascii="Times New Roman" w:hAnsi="Times New Roman" w:cs="Times New Roman"/>
          <w:color w:val="000000" w:themeColor="text1"/>
          <w:sz w:val="24"/>
          <w:szCs w:val="24"/>
        </w:rPr>
        <w:t xml:space="preserve"> </w:t>
      </w:r>
      <w:r w:rsidRPr="00A863EF">
        <w:rPr>
          <w:rFonts w:ascii="Times New Roman" w:hAnsi="Times New Roman" w:cs="Times New Roman"/>
          <w:color w:val="000000" w:themeColor="text1"/>
          <w:sz w:val="24"/>
          <w:szCs w:val="24"/>
        </w:rPr>
        <w:t>riscos</w:t>
      </w:r>
      <w:r w:rsidR="004A2E86" w:rsidRPr="00A863EF">
        <w:rPr>
          <w:rFonts w:ascii="Times New Roman" w:hAnsi="Times New Roman" w:cs="Times New Roman"/>
          <w:color w:val="000000" w:themeColor="text1"/>
          <w:sz w:val="24"/>
          <w:szCs w:val="24"/>
        </w:rPr>
        <w:t xml:space="preserve"> </w:t>
      </w:r>
      <w:r w:rsidR="004A2E86" w:rsidRPr="00CC3052">
        <w:rPr>
          <w:rFonts w:ascii="Times New Roman" w:hAnsi="Times New Roman" w:cs="Times New Roman"/>
          <w:sz w:val="24"/>
          <w:szCs w:val="24"/>
        </w:rPr>
        <w:t>inerentes</w:t>
      </w:r>
      <w:r w:rsidRPr="00A863EF">
        <w:rPr>
          <w:rFonts w:ascii="Times New Roman" w:hAnsi="Times New Roman" w:cs="Times New Roman"/>
          <w:color w:val="000000" w:themeColor="text1"/>
          <w:sz w:val="24"/>
          <w:szCs w:val="24"/>
        </w:rPr>
        <w:t xml:space="preserve"> ao </w:t>
      </w:r>
      <w:r w:rsidRPr="00A863EF">
        <w:rPr>
          <w:rFonts w:ascii="Times New Roman" w:hAnsi="Times New Roman" w:cs="Times New Roman"/>
          <w:sz w:val="24"/>
          <w:szCs w:val="24"/>
        </w:rPr>
        <w:t xml:space="preserve">processo auditado, </w:t>
      </w:r>
      <w:r w:rsidR="004A2E86" w:rsidRPr="00CC3052">
        <w:rPr>
          <w:rFonts w:ascii="Times New Roman" w:hAnsi="Times New Roman" w:cs="Times New Roman"/>
          <w:sz w:val="24"/>
          <w:szCs w:val="24"/>
        </w:rPr>
        <w:t xml:space="preserve">observada </w:t>
      </w:r>
      <w:r w:rsidRPr="00CC3052">
        <w:rPr>
          <w:rFonts w:ascii="Times New Roman" w:hAnsi="Times New Roman" w:cs="Times New Roman"/>
          <w:sz w:val="24"/>
          <w:szCs w:val="24"/>
        </w:rPr>
        <w:t>Matriz de Avaliação de Riscos (MAR) construída em conjunto com a SGP</w:t>
      </w:r>
      <w:r w:rsidR="00E301C2" w:rsidRPr="00CC3052">
        <w:rPr>
          <w:rFonts w:ascii="Times New Roman" w:hAnsi="Times New Roman" w:cs="Times New Roman"/>
          <w:sz w:val="24"/>
          <w:szCs w:val="24"/>
        </w:rPr>
        <w:t xml:space="preserve"> deste Regional</w:t>
      </w:r>
      <w:r w:rsidR="004A2E86" w:rsidRPr="00CC3052">
        <w:rPr>
          <w:rFonts w:ascii="Times New Roman" w:hAnsi="Times New Roman" w:cs="Times New Roman"/>
          <w:sz w:val="24"/>
          <w:szCs w:val="24"/>
        </w:rPr>
        <w:t xml:space="preserve">. Após </w:t>
      </w:r>
      <w:r w:rsidRPr="00A863EF">
        <w:rPr>
          <w:rFonts w:ascii="Times New Roman" w:hAnsi="Times New Roman" w:cs="Times New Roman"/>
          <w:sz w:val="24"/>
          <w:szCs w:val="24"/>
        </w:rPr>
        <w:t xml:space="preserve">identificação e avaliação dos controles a eles associados, </w:t>
      </w:r>
      <w:proofErr w:type="gramStart"/>
      <w:r w:rsidRPr="00CC3052">
        <w:rPr>
          <w:rFonts w:ascii="Times New Roman" w:hAnsi="Times New Roman" w:cs="Times New Roman"/>
          <w:sz w:val="24"/>
          <w:szCs w:val="24"/>
        </w:rPr>
        <w:t>concluiu</w:t>
      </w:r>
      <w:r w:rsidR="004A2E86" w:rsidRPr="00CC3052">
        <w:rPr>
          <w:rFonts w:ascii="Times New Roman" w:hAnsi="Times New Roman" w:cs="Times New Roman"/>
          <w:sz w:val="24"/>
          <w:szCs w:val="24"/>
        </w:rPr>
        <w:t>-se</w:t>
      </w:r>
      <w:proofErr w:type="gramEnd"/>
      <w:r w:rsidRPr="00CC3052">
        <w:rPr>
          <w:rFonts w:ascii="Times New Roman" w:hAnsi="Times New Roman" w:cs="Times New Roman"/>
          <w:sz w:val="24"/>
          <w:szCs w:val="24"/>
        </w:rPr>
        <w:t xml:space="preserve"> </w:t>
      </w:r>
      <w:r w:rsidR="004A2E86" w:rsidRPr="00A863EF">
        <w:rPr>
          <w:rFonts w:ascii="Times New Roman" w:hAnsi="Times New Roman" w:cs="Times New Roman"/>
          <w:sz w:val="24"/>
          <w:szCs w:val="24"/>
        </w:rPr>
        <w:t>pela subsis</w:t>
      </w:r>
      <w:r w:rsidRPr="00A863EF">
        <w:rPr>
          <w:rFonts w:ascii="Times New Roman" w:hAnsi="Times New Roman" w:cs="Times New Roman"/>
          <w:sz w:val="24"/>
          <w:szCs w:val="24"/>
        </w:rPr>
        <w:t>tência de um risco residual de nível extremo (desatualização do DFT), seis de nível alto (priorização inadequada de unidades a serem dimensionada</w:t>
      </w:r>
      <w:r w:rsidR="00B2604A" w:rsidRPr="00A863EF">
        <w:rPr>
          <w:rFonts w:ascii="Times New Roman" w:hAnsi="Times New Roman" w:cs="Times New Roman"/>
          <w:sz w:val="24"/>
          <w:szCs w:val="24"/>
        </w:rPr>
        <w:t>s</w:t>
      </w:r>
      <w:r w:rsidRPr="00A863EF">
        <w:rPr>
          <w:rFonts w:ascii="Times New Roman" w:hAnsi="Times New Roman" w:cs="Times New Roman"/>
          <w:sz w:val="24"/>
          <w:szCs w:val="24"/>
        </w:rPr>
        <w:t xml:space="preserve">, ausência ou insuficiência de patrocínio dos gestores da unidade a ser dimensionada, MAP inconsistente, DFT inadequado, relatório do DFT inconsistente e não sensibilização dos gestores para utilização dos resultados do DFT) e um de nível médio (resistência na validação dos </w:t>
      </w:r>
      <w:proofErr w:type="spellStart"/>
      <w:r w:rsidRPr="00A863EF">
        <w:rPr>
          <w:rFonts w:ascii="Times New Roman" w:hAnsi="Times New Roman" w:cs="Times New Roman"/>
          <w:sz w:val="24"/>
          <w:szCs w:val="24"/>
        </w:rPr>
        <w:t>MAPs</w:t>
      </w:r>
      <w:proofErr w:type="spellEnd"/>
      <w:r w:rsidRPr="00A863EF">
        <w:rPr>
          <w:rFonts w:ascii="Times New Roman" w:hAnsi="Times New Roman" w:cs="Times New Roman"/>
          <w:sz w:val="24"/>
          <w:szCs w:val="24"/>
        </w:rPr>
        <w:t>).</w:t>
      </w:r>
      <w:r w:rsidR="00B128BB" w:rsidRPr="00A863EF">
        <w:rPr>
          <w:rFonts w:ascii="Times New Roman" w:hAnsi="Times New Roman" w:cs="Times New Roman"/>
          <w:sz w:val="24"/>
          <w:szCs w:val="24"/>
        </w:rPr>
        <w:t xml:space="preserve"> </w:t>
      </w:r>
    </w:p>
    <w:p w:rsidR="00690A25" w:rsidRPr="00A863EF" w:rsidRDefault="004A2E86" w:rsidP="00A863EF">
      <w:pPr>
        <w:pStyle w:val="TextosemFormatao"/>
        <w:numPr>
          <w:ilvl w:val="1"/>
          <w:numId w:val="1"/>
        </w:numPr>
        <w:spacing w:after="120"/>
        <w:ind w:left="426" w:hanging="426"/>
        <w:jc w:val="both"/>
        <w:rPr>
          <w:rFonts w:ascii="Times New Roman" w:hAnsi="Times New Roman" w:cs="Times New Roman"/>
          <w:i/>
          <w:color w:val="006600"/>
          <w:sz w:val="24"/>
          <w:szCs w:val="24"/>
        </w:rPr>
      </w:pPr>
      <w:r w:rsidRPr="00CC3052">
        <w:rPr>
          <w:rFonts w:ascii="Times New Roman" w:hAnsi="Times New Roman" w:cs="Times New Roman"/>
          <w:sz w:val="24"/>
          <w:szCs w:val="24"/>
        </w:rPr>
        <w:t>Assim,</w:t>
      </w:r>
      <w:r w:rsidR="00690A25" w:rsidRPr="00CC3052">
        <w:rPr>
          <w:rFonts w:ascii="Times New Roman" w:hAnsi="Times New Roman" w:cs="Times New Roman"/>
          <w:sz w:val="24"/>
          <w:szCs w:val="24"/>
        </w:rPr>
        <w:t xml:space="preserve"> </w:t>
      </w:r>
      <w:r w:rsidR="00593DFC" w:rsidRPr="00CC3052">
        <w:rPr>
          <w:rFonts w:ascii="Times New Roman" w:hAnsi="Times New Roman" w:cs="Times New Roman"/>
          <w:sz w:val="24"/>
          <w:szCs w:val="24"/>
        </w:rPr>
        <w:t xml:space="preserve">considerada a capacidade operacional da Unidade de Auditoria, </w:t>
      </w:r>
      <w:r w:rsidR="00690A25" w:rsidRPr="00CC3052">
        <w:rPr>
          <w:rFonts w:ascii="Times New Roman" w:hAnsi="Times New Roman" w:cs="Times New Roman"/>
          <w:sz w:val="24"/>
          <w:szCs w:val="24"/>
        </w:rPr>
        <w:t>d</w:t>
      </w:r>
      <w:r w:rsidR="000D4C54" w:rsidRPr="00CC3052">
        <w:rPr>
          <w:rFonts w:ascii="Times New Roman" w:hAnsi="Times New Roman" w:cs="Times New Roman"/>
          <w:sz w:val="24"/>
          <w:szCs w:val="24"/>
        </w:rPr>
        <w:t xml:space="preserve">elimitou-se </w:t>
      </w:r>
      <w:r w:rsidR="00690A25" w:rsidRPr="00CC3052">
        <w:rPr>
          <w:rFonts w:ascii="Times New Roman" w:hAnsi="Times New Roman" w:cs="Times New Roman"/>
          <w:sz w:val="24"/>
          <w:szCs w:val="24"/>
        </w:rPr>
        <w:t xml:space="preserve">o escopo da presente auditoria, às </w:t>
      </w:r>
      <w:r w:rsidR="000D4C54" w:rsidRPr="00CC3052">
        <w:rPr>
          <w:rFonts w:ascii="Times New Roman" w:hAnsi="Times New Roman" w:cs="Times New Roman"/>
          <w:sz w:val="24"/>
          <w:szCs w:val="24"/>
        </w:rPr>
        <w:t xml:space="preserve">atividades </w:t>
      </w:r>
      <w:r w:rsidR="00690A25" w:rsidRPr="00CC3052">
        <w:rPr>
          <w:rFonts w:ascii="Times New Roman" w:hAnsi="Times New Roman" w:cs="Times New Roman"/>
          <w:sz w:val="24"/>
          <w:szCs w:val="24"/>
        </w:rPr>
        <w:t xml:space="preserve">associadas </w:t>
      </w:r>
      <w:r w:rsidR="000D4C54" w:rsidRPr="00CC3052">
        <w:rPr>
          <w:rFonts w:ascii="Times New Roman" w:hAnsi="Times New Roman" w:cs="Times New Roman"/>
          <w:sz w:val="24"/>
          <w:szCs w:val="24"/>
        </w:rPr>
        <w:t xml:space="preserve">aos </w:t>
      </w:r>
      <w:r w:rsidR="00A40BCF" w:rsidRPr="00CC3052">
        <w:rPr>
          <w:rFonts w:ascii="Times New Roman" w:hAnsi="Times New Roman" w:cs="Times New Roman"/>
          <w:sz w:val="24"/>
          <w:szCs w:val="24"/>
        </w:rPr>
        <w:t xml:space="preserve">riscos </w:t>
      </w:r>
      <w:r w:rsidR="00690A25" w:rsidRPr="00CC3052">
        <w:rPr>
          <w:rFonts w:ascii="Times New Roman" w:hAnsi="Times New Roman" w:cs="Times New Roman"/>
          <w:sz w:val="24"/>
          <w:szCs w:val="24"/>
        </w:rPr>
        <w:t xml:space="preserve">residuais de maior expressividade do </w:t>
      </w:r>
      <w:r w:rsidR="00A40BCF" w:rsidRPr="00CC3052">
        <w:rPr>
          <w:rFonts w:ascii="Times New Roman" w:hAnsi="Times New Roman" w:cs="Times New Roman"/>
          <w:sz w:val="24"/>
          <w:szCs w:val="24"/>
        </w:rPr>
        <w:t>processo de DFT</w:t>
      </w:r>
      <w:r w:rsidR="00593DFC" w:rsidRPr="00CC3052">
        <w:rPr>
          <w:rFonts w:ascii="Times New Roman" w:hAnsi="Times New Roman" w:cs="Times New Roman"/>
          <w:sz w:val="24"/>
          <w:szCs w:val="24"/>
        </w:rPr>
        <w:t xml:space="preserve"> – grau alto ou extremo –</w:t>
      </w:r>
      <w:r w:rsidR="00690A25" w:rsidRPr="00CC3052">
        <w:rPr>
          <w:rFonts w:ascii="Times New Roman" w:hAnsi="Times New Roman" w:cs="Times New Roman"/>
          <w:sz w:val="24"/>
          <w:szCs w:val="24"/>
        </w:rPr>
        <w:t>,</w:t>
      </w:r>
      <w:r w:rsidR="000D4C54" w:rsidRPr="00CC3052">
        <w:rPr>
          <w:rFonts w:ascii="Times New Roman" w:hAnsi="Times New Roman" w:cs="Times New Roman"/>
          <w:sz w:val="24"/>
          <w:szCs w:val="24"/>
        </w:rPr>
        <w:t xml:space="preserve"> quais sejam</w:t>
      </w:r>
      <w:r w:rsidR="00A40BCF" w:rsidRPr="00CC3052">
        <w:rPr>
          <w:rFonts w:ascii="Times New Roman" w:hAnsi="Times New Roman" w:cs="Times New Roman"/>
          <w:sz w:val="24"/>
          <w:szCs w:val="24"/>
        </w:rPr>
        <w:t xml:space="preserve">: </w:t>
      </w:r>
      <w:r w:rsidR="003C2F57" w:rsidRPr="00CC3052">
        <w:rPr>
          <w:rFonts w:ascii="Times New Roman" w:hAnsi="Times New Roman" w:cs="Times New Roman"/>
          <w:sz w:val="24"/>
          <w:szCs w:val="24"/>
        </w:rPr>
        <w:t xml:space="preserve">priorização </w:t>
      </w:r>
      <w:r w:rsidR="003C2F57" w:rsidRPr="00CC3052">
        <w:rPr>
          <w:rFonts w:ascii="Times New Roman" w:hAnsi="Times New Roman" w:cs="Times New Roman"/>
          <w:sz w:val="24"/>
          <w:szCs w:val="24"/>
        </w:rPr>
        <w:lastRenderedPageBreak/>
        <w:t>inadequada de unidades a serem dimensionadas</w:t>
      </w:r>
      <w:r w:rsidR="002A1BA3" w:rsidRPr="00CC3052">
        <w:rPr>
          <w:rFonts w:ascii="Times New Roman" w:hAnsi="Times New Roman" w:cs="Times New Roman"/>
          <w:sz w:val="24"/>
          <w:szCs w:val="24"/>
        </w:rPr>
        <w:t xml:space="preserve"> (R1)</w:t>
      </w:r>
      <w:r w:rsidR="003C2F57" w:rsidRPr="00CC3052">
        <w:rPr>
          <w:rFonts w:ascii="Times New Roman" w:hAnsi="Times New Roman" w:cs="Times New Roman"/>
          <w:sz w:val="24"/>
          <w:szCs w:val="24"/>
        </w:rPr>
        <w:t>; ausência ou insuficiência de patrocínio dos gestores da unidade a ser dimensionada</w:t>
      </w:r>
      <w:r w:rsidR="00F051E6" w:rsidRPr="00CC3052">
        <w:rPr>
          <w:rFonts w:ascii="Times New Roman" w:hAnsi="Times New Roman" w:cs="Times New Roman"/>
          <w:sz w:val="24"/>
          <w:szCs w:val="24"/>
        </w:rPr>
        <w:t xml:space="preserve"> (R2)</w:t>
      </w:r>
      <w:r w:rsidR="003C2F57" w:rsidRPr="00CC3052">
        <w:rPr>
          <w:rFonts w:ascii="Times New Roman" w:hAnsi="Times New Roman" w:cs="Times New Roman"/>
          <w:sz w:val="24"/>
          <w:szCs w:val="24"/>
        </w:rPr>
        <w:t>; MAP inconsistente</w:t>
      </w:r>
      <w:r w:rsidR="00F051E6" w:rsidRPr="00CC3052">
        <w:rPr>
          <w:rFonts w:ascii="Times New Roman" w:hAnsi="Times New Roman" w:cs="Times New Roman"/>
          <w:sz w:val="24"/>
          <w:szCs w:val="24"/>
        </w:rPr>
        <w:t xml:space="preserve"> (R4)</w:t>
      </w:r>
      <w:r w:rsidR="003C2F57" w:rsidRPr="00CC3052">
        <w:rPr>
          <w:rFonts w:ascii="Times New Roman" w:hAnsi="Times New Roman" w:cs="Times New Roman"/>
          <w:sz w:val="24"/>
          <w:szCs w:val="24"/>
        </w:rPr>
        <w:t>; DFT inadequado</w:t>
      </w:r>
      <w:r w:rsidR="00F051E6" w:rsidRPr="00CC3052">
        <w:rPr>
          <w:rFonts w:ascii="Times New Roman" w:hAnsi="Times New Roman" w:cs="Times New Roman"/>
          <w:sz w:val="24"/>
          <w:szCs w:val="24"/>
        </w:rPr>
        <w:t xml:space="preserve"> (R6)</w:t>
      </w:r>
      <w:r w:rsidR="003C2F57" w:rsidRPr="00CC3052">
        <w:rPr>
          <w:rFonts w:ascii="Times New Roman" w:hAnsi="Times New Roman" w:cs="Times New Roman"/>
          <w:sz w:val="24"/>
          <w:szCs w:val="24"/>
        </w:rPr>
        <w:t>; relatório do DFT inconsistente</w:t>
      </w:r>
      <w:r w:rsidR="00F051E6" w:rsidRPr="00CC3052">
        <w:rPr>
          <w:rFonts w:ascii="Times New Roman" w:hAnsi="Times New Roman" w:cs="Times New Roman"/>
          <w:sz w:val="24"/>
          <w:szCs w:val="24"/>
        </w:rPr>
        <w:t xml:space="preserve"> (R7)</w:t>
      </w:r>
      <w:r w:rsidR="003C2F57" w:rsidRPr="00CC3052">
        <w:rPr>
          <w:rFonts w:ascii="Times New Roman" w:hAnsi="Times New Roman" w:cs="Times New Roman"/>
          <w:sz w:val="24"/>
          <w:szCs w:val="24"/>
        </w:rPr>
        <w:t>; não sensibilização dos gestores para utilização dos resultados do DFT</w:t>
      </w:r>
      <w:r w:rsidR="00F051E6" w:rsidRPr="00CC3052">
        <w:rPr>
          <w:rFonts w:ascii="Times New Roman" w:hAnsi="Times New Roman" w:cs="Times New Roman"/>
          <w:sz w:val="24"/>
          <w:szCs w:val="24"/>
        </w:rPr>
        <w:t xml:space="preserve"> (R8)</w:t>
      </w:r>
      <w:r w:rsidR="00690A25" w:rsidRPr="00CC3052">
        <w:rPr>
          <w:rFonts w:ascii="Times New Roman" w:hAnsi="Times New Roman" w:cs="Times New Roman"/>
          <w:sz w:val="24"/>
          <w:szCs w:val="24"/>
        </w:rPr>
        <w:t>;</w:t>
      </w:r>
      <w:r w:rsidR="003C2F57" w:rsidRPr="00CC3052">
        <w:rPr>
          <w:rFonts w:ascii="Times New Roman" w:hAnsi="Times New Roman" w:cs="Times New Roman"/>
          <w:sz w:val="24"/>
          <w:szCs w:val="24"/>
        </w:rPr>
        <w:t xml:space="preserve"> e Desatualização do DFT</w:t>
      </w:r>
      <w:r w:rsidR="00F051E6" w:rsidRPr="00CC3052">
        <w:rPr>
          <w:rFonts w:ascii="Times New Roman" w:hAnsi="Times New Roman" w:cs="Times New Roman"/>
          <w:sz w:val="24"/>
          <w:szCs w:val="24"/>
        </w:rPr>
        <w:t xml:space="preserve"> (R9)</w:t>
      </w:r>
      <w:r w:rsidR="003C2F57" w:rsidRPr="00CC3052">
        <w:rPr>
          <w:rFonts w:ascii="Times New Roman" w:hAnsi="Times New Roman" w:cs="Times New Roman"/>
          <w:sz w:val="24"/>
          <w:szCs w:val="24"/>
        </w:rPr>
        <w:t>.</w:t>
      </w:r>
      <w:r w:rsidR="003C2F57" w:rsidRPr="00A863EF">
        <w:rPr>
          <w:rFonts w:ascii="Times New Roman" w:hAnsi="Times New Roman" w:cs="Times New Roman"/>
          <w:color w:val="00B050"/>
          <w:sz w:val="24"/>
          <w:szCs w:val="24"/>
        </w:rPr>
        <w:t xml:space="preserve"> </w:t>
      </w:r>
    </w:p>
    <w:p w:rsidR="00B128BB" w:rsidRPr="00CC3052" w:rsidRDefault="004A2E86" w:rsidP="00A863EF">
      <w:pPr>
        <w:pStyle w:val="TextosemFormatao"/>
        <w:numPr>
          <w:ilvl w:val="1"/>
          <w:numId w:val="1"/>
        </w:numPr>
        <w:spacing w:after="120"/>
        <w:ind w:left="426" w:hanging="426"/>
        <w:jc w:val="both"/>
        <w:rPr>
          <w:rFonts w:ascii="Times New Roman" w:hAnsi="Times New Roman" w:cs="Times New Roman"/>
          <w:i/>
          <w:sz w:val="24"/>
          <w:szCs w:val="24"/>
        </w:rPr>
      </w:pPr>
      <w:r w:rsidRPr="00CC3052">
        <w:rPr>
          <w:rFonts w:ascii="Times New Roman" w:hAnsi="Times New Roman" w:cs="Times New Roman"/>
          <w:sz w:val="24"/>
          <w:szCs w:val="24"/>
        </w:rPr>
        <w:t xml:space="preserve">Adicionalmente, foram incluídos no escopo quatro </w:t>
      </w:r>
      <w:r w:rsidR="003C2F57" w:rsidRPr="00CC3052">
        <w:rPr>
          <w:rFonts w:ascii="Times New Roman" w:hAnsi="Times New Roman" w:cs="Times New Roman"/>
          <w:sz w:val="24"/>
          <w:szCs w:val="24"/>
        </w:rPr>
        <w:t xml:space="preserve">riscos </w:t>
      </w:r>
      <w:r w:rsidR="00B128BB" w:rsidRPr="00CC3052">
        <w:rPr>
          <w:rFonts w:ascii="Times New Roman" w:hAnsi="Times New Roman" w:cs="Times New Roman"/>
          <w:sz w:val="24"/>
          <w:szCs w:val="24"/>
        </w:rPr>
        <w:t>padronizados pelo TSE</w:t>
      </w:r>
      <w:r w:rsidR="002A1BA3" w:rsidRPr="00CC3052">
        <w:rPr>
          <w:rFonts w:ascii="Times New Roman" w:hAnsi="Times New Roman" w:cs="Times New Roman"/>
          <w:sz w:val="24"/>
          <w:szCs w:val="24"/>
        </w:rPr>
        <w:t>,</w:t>
      </w:r>
      <w:r w:rsidR="000D4C54" w:rsidRPr="00CC3052">
        <w:rPr>
          <w:rFonts w:ascii="Times New Roman" w:hAnsi="Times New Roman" w:cs="Times New Roman"/>
          <w:sz w:val="24"/>
          <w:szCs w:val="24"/>
        </w:rPr>
        <w:t xml:space="preserve"> </w:t>
      </w:r>
      <w:r w:rsidR="002A1BA3" w:rsidRPr="00CC3052">
        <w:rPr>
          <w:rFonts w:ascii="Times New Roman" w:hAnsi="Times New Roman" w:cs="Times New Roman"/>
          <w:sz w:val="24"/>
          <w:szCs w:val="24"/>
        </w:rPr>
        <w:t>consolidados</w:t>
      </w:r>
      <w:r w:rsidR="000D4C54" w:rsidRPr="00CC3052">
        <w:rPr>
          <w:rFonts w:ascii="Times New Roman" w:hAnsi="Times New Roman" w:cs="Times New Roman"/>
          <w:sz w:val="24"/>
          <w:szCs w:val="24"/>
        </w:rPr>
        <w:t xml:space="preserve"> em matriz de testes pelo </w:t>
      </w:r>
      <w:r w:rsidR="00F051E6" w:rsidRPr="00CC3052">
        <w:rPr>
          <w:rFonts w:ascii="Times New Roman" w:hAnsi="Times New Roman" w:cs="Times New Roman"/>
          <w:sz w:val="24"/>
          <w:szCs w:val="24"/>
        </w:rPr>
        <w:t>Grupo de Trabalho d</w:t>
      </w:r>
      <w:r w:rsidRPr="00CC3052">
        <w:rPr>
          <w:rFonts w:ascii="Times New Roman" w:hAnsi="Times New Roman" w:cs="Times New Roman"/>
          <w:sz w:val="24"/>
          <w:szCs w:val="24"/>
        </w:rPr>
        <w:t>a</w:t>
      </w:r>
      <w:r w:rsidR="00F051E6" w:rsidRPr="00CC3052">
        <w:rPr>
          <w:rFonts w:ascii="Times New Roman" w:hAnsi="Times New Roman" w:cs="Times New Roman"/>
          <w:sz w:val="24"/>
          <w:szCs w:val="24"/>
        </w:rPr>
        <w:t xml:space="preserve"> Auditoria </w:t>
      </w:r>
      <w:r w:rsidRPr="00CC3052">
        <w:rPr>
          <w:rFonts w:ascii="Times New Roman" w:hAnsi="Times New Roman" w:cs="Times New Roman"/>
          <w:sz w:val="24"/>
          <w:szCs w:val="24"/>
        </w:rPr>
        <w:t xml:space="preserve">Integrada </w:t>
      </w:r>
      <w:r w:rsidR="00F051E6" w:rsidRPr="00CC3052">
        <w:rPr>
          <w:rFonts w:ascii="Times New Roman" w:hAnsi="Times New Roman" w:cs="Times New Roman"/>
          <w:sz w:val="24"/>
          <w:szCs w:val="24"/>
        </w:rPr>
        <w:t>(</w:t>
      </w:r>
      <w:r w:rsidR="000D4C54" w:rsidRPr="00CC3052">
        <w:rPr>
          <w:rFonts w:ascii="Times New Roman" w:hAnsi="Times New Roman" w:cs="Times New Roman"/>
          <w:sz w:val="24"/>
          <w:szCs w:val="24"/>
        </w:rPr>
        <w:t>GTA</w:t>
      </w:r>
      <w:r w:rsidR="00F051E6" w:rsidRPr="00CC3052">
        <w:rPr>
          <w:rFonts w:ascii="Times New Roman" w:hAnsi="Times New Roman" w:cs="Times New Roman"/>
          <w:sz w:val="24"/>
          <w:szCs w:val="24"/>
        </w:rPr>
        <w:t>)</w:t>
      </w:r>
      <w:r w:rsidR="000D4C54" w:rsidRPr="00CC3052">
        <w:rPr>
          <w:rFonts w:ascii="Times New Roman" w:hAnsi="Times New Roman" w:cs="Times New Roman"/>
          <w:sz w:val="24"/>
          <w:szCs w:val="24"/>
        </w:rPr>
        <w:t xml:space="preserve">, </w:t>
      </w:r>
      <w:r w:rsidRPr="00CC3052">
        <w:rPr>
          <w:rFonts w:ascii="Times New Roman" w:hAnsi="Times New Roman" w:cs="Times New Roman"/>
          <w:sz w:val="24"/>
          <w:szCs w:val="24"/>
        </w:rPr>
        <w:t>quais sejam</w:t>
      </w:r>
      <w:r w:rsidR="000D4C54" w:rsidRPr="00CC3052">
        <w:rPr>
          <w:rFonts w:ascii="Times New Roman" w:hAnsi="Times New Roman" w:cs="Times New Roman"/>
          <w:sz w:val="24"/>
          <w:szCs w:val="24"/>
        </w:rPr>
        <w:t>: alocação e movimentação inadequada (</w:t>
      </w:r>
      <w:proofErr w:type="gramStart"/>
      <w:r w:rsidR="000D4C54" w:rsidRPr="00CC3052">
        <w:rPr>
          <w:rFonts w:ascii="Times New Roman" w:hAnsi="Times New Roman" w:cs="Times New Roman"/>
          <w:sz w:val="24"/>
          <w:szCs w:val="24"/>
        </w:rPr>
        <w:t>quantitativa/qualitativa</w:t>
      </w:r>
      <w:proofErr w:type="gramEnd"/>
      <w:r w:rsidR="000D4C54" w:rsidRPr="00CC3052">
        <w:rPr>
          <w:rFonts w:ascii="Times New Roman" w:hAnsi="Times New Roman" w:cs="Times New Roman"/>
          <w:sz w:val="24"/>
          <w:szCs w:val="24"/>
        </w:rPr>
        <w:t>) de pessoal</w:t>
      </w:r>
      <w:r w:rsidR="00F051E6" w:rsidRPr="00CC3052">
        <w:rPr>
          <w:rFonts w:ascii="Times New Roman" w:hAnsi="Times New Roman" w:cs="Times New Roman"/>
          <w:sz w:val="24"/>
          <w:szCs w:val="24"/>
        </w:rPr>
        <w:t xml:space="preserve"> (R1 – TSE)</w:t>
      </w:r>
      <w:r w:rsidR="000D4C54" w:rsidRPr="00CC3052">
        <w:rPr>
          <w:rFonts w:ascii="Times New Roman" w:hAnsi="Times New Roman" w:cs="Times New Roman"/>
          <w:sz w:val="24"/>
          <w:szCs w:val="24"/>
        </w:rPr>
        <w:t>; criação ou alteração de estrutura organizacional sem observância da força de trabalho necessária ao cumprimento da estratégia organizacional</w:t>
      </w:r>
      <w:r w:rsidR="00F051E6" w:rsidRPr="00CC3052">
        <w:rPr>
          <w:rFonts w:ascii="Times New Roman" w:hAnsi="Times New Roman" w:cs="Times New Roman"/>
          <w:sz w:val="24"/>
          <w:szCs w:val="24"/>
        </w:rPr>
        <w:t xml:space="preserve"> (R2 – TSE)</w:t>
      </w:r>
      <w:r w:rsidR="000D4C54" w:rsidRPr="00CC3052">
        <w:rPr>
          <w:rFonts w:ascii="Times New Roman" w:hAnsi="Times New Roman" w:cs="Times New Roman"/>
          <w:sz w:val="24"/>
          <w:szCs w:val="24"/>
        </w:rPr>
        <w:t>; déficit de pessoal</w:t>
      </w:r>
      <w:r w:rsidR="00F051E6" w:rsidRPr="00CC3052">
        <w:rPr>
          <w:rFonts w:ascii="Times New Roman" w:hAnsi="Times New Roman" w:cs="Times New Roman"/>
          <w:sz w:val="24"/>
          <w:szCs w:val="24"/>
        </w:rPr>
        <w:t xml:space="preserve"> (R3 – TSE)</w:t>
      </w:r>
      <w:r w:rsidRPr="00CC3052">
        <w:rPr>
          <w:rFonts w:ascii="Times New Roman" w:hAnsi="Times New Roman" w:cs="Times New Roman"/>
          <w:sz w:val="24"/>
          <w:szCs w:val="24"/>
        </w:rPr>
        <w:t xml:space="preserve">; e </w:t>
      </w:r>
      <w:r w:rsidR="000D4C54" w:rsidRPr="00CC3052">
        <w:rPr>
          <w:rFonts w:ascii="Times New Roman" w:hAnsi="Times New Roman" w:cs="Times New Roman"/>
          <w:sz w:val="24"/>
          <w:szCs w:val="24"/>
        </w:rPr>
        <w:t>falta de identificação das ocupações críticas</w:t>
      </w:r>
      <w:r w:rsidR="00F051E6" w:rsidRPr="00CC3052">
        <w:rPr>
          <w:rFonts w:ascii="Times New Roman" w:hAnsi="Times New Roman" w:cs="Times New Roman"/>
          <w:sz w:val="24"/>
          <w:szCs w:val="24"/>
        </w:rPr>
        <w:t xml:space="preserve"> (R4 – TSE)</w:t>
      </w:r>
      <w:r w:rsidRPr="00CC3052">
        <w:rPr>
          <w:rFonts w:ascii="Times New Roman" w:hAnsi="Times New Roman" w:cs="Times New Roman"/>
          <w:sz w:val="24"/>
          <w:szCs w:val="24"/>
        </w:rPr>
        <w:t>.</w:t>
      </w:r>
    </w:p>
    <w:p w:rsidR="00C51158" w:rsidRDefault="00F662AF" w:rsidP="002808EC">
      <w:pPr>
        <w:pStyle w:val="PargrafodaLista"/>
        <w:spacing w:after="240"/>
        <w:ind w:left="357" w:hanging="357"/>
        <w:rPr>
          <w:sz w:val="24"/>
          <w:szCs w:val="24"/>
        </w:rPr>
      </w:pPr>
      <w:r w:rsidRPr="00C51158">
        <w:rPr>
          <w:sz w:val="24"/>
          <w:szCs w:val="24"/>
        </w:rPr>
        <w:t xml:space="preserve">  </w:t>
      </w:r>
      <w:bookmarkStart w:id="26" w:name="_Toc520405197"/>
      <w:r w:rsidRPr="00C51158">
        <w:rPr>
          <w:sz w:val="24"/>
          <w:szCs w:val="24"/>
        </w:rPr>
        <w:t>CRITÉRIOS</w:t>
      </w:r>
      <w:bookmarkEnd w:id="26"/>
    </w:p>
    <w:p w:rsidR="00593DFC" w:rsidRPr="00BE0BB1" w:rsidRDefault="00447E93" w:rsidP="00A863EF">
      <w:pPr>
        <w:pStyle w:val="TextosemFormatao"/>
        <w:numPr>
          <w:ilvl w:val="1"/>
          <w:numId w:val="1"/>
        </w:numPr>
        <w:spacing w:after="120"/>
        <w:ind w:left="426" w:hanging="426"/>
        <w:jc w:val="both"/>
        <w:rPr>
          <w:rFonts w:ascii="Times New Roman" w:hAnsi="Times New Roman" w:cs="Times New Roman"/>
          <w:i/>
          <w:color w:val="006600"/>
          <w:spacing w:val="-4"/>
          <w:sz w:val="24"/>
          <w:szCs w:val="24"/>
        </w:rPr>
      </w:pPr>
      <w:r w:rsidRPr="00BE0BB1">
        <w:rPr>
          <w:rFonts w:ascii="Times New Roman" w:hAnsi="Times New Roman" w:cs="Times New Roman"/>
          <w:color w:val="000000" w:themeColor="text1"/>
          <w:spacing w:val="-4"/>
          <w:sz w:val="24"/>
          <w:szCs w:val="24"/>
        </w:rPr>
        <w:t xml:space="preserve">Constituíram principais critérios referenciais para delimitação de achados de auditoria: Constituição Federal Brasileira de 1988; Resolução CNJ nº 211, de 15 de dezembro de 2015, que institui a Estratégia Nacional de Tecnologia da Informação e Comunicação do Poder Judiciário; Resolução CNJ nº 240, de 9 se setembro de 2016, que dispõe sobre a Política Nacional de Gestão de Pessoas do âmbito do Poder Judiciário; Resolução Administrativa TRE-BA nº 3, de 15 de setembro de 2004, que dispõe sobre o provimento e a distribuição dos cargos efetivos de Analista Judiciário e de Técnico Judiciário, criados pela Lei nº 10.842, de 20 de fevereiro de 2004, para o quadro de pessoal do Tribunal Regional Eleitoral da Bahia, destinados às Zonas Eleitorais; Resolução Administrativa TRE-BA nº 3, de 19 de fevereiro de 2014, que dispõe sobre a jornada de trabalho, controle de frequência, serviço extraordinário e “banco de horas” no âmbito do TRE-BA; Resolução Administrativa TRE-BA nº 12, de 18 de dezembro de 2017, que institui a Política de Gestão de Pessoas do TRE-BA; Resolução Administrativa do TRE-BA nº 12, de 30 de abril de 2018, que aprova o Regulamento Interno da Secretaria do Tribunal; Resolução Administrativa TRE-BA nº 15, de 13 de junho de 2018, que dispõe sobre o Sistema de Governança e Gestão do TRE-BA; Resolução Administrativa do TRE-BA nº 16, de 13 de junho de 2018, que institui o Sistema de Gestão de Riscos (SGR) no âmbito do TRE-BA; Resolução Administrativa TRE-BA nº 18, de 20 de junho de 2018, que dispõe sobre a Política de Gestão de Pessoas da área de Tecnologia da Informação e Comunicação (TIC); Instrução Normativa da Presidência TRE-BA nº 2, de 19 de junho de 2018, que institui o processo de gerenciamento de capacitação de TIC do TRE-BA; </w:t>
      </w:r>
      <w:r w:rsidR="0084577E" w:rsidRPr="00BE0BB1">
        <w:rPr>
          <w:rFonts w:ascii="Times New Roman" w:hAnsi="Times New Roman" w:cs="Times New Roman"/>
          <w:spacing w:val="-4"/>
          <w:sz w:val="24"/>
          <w:szCs w:val="24"/>
        </w:rPr>
        <w:t xml:space="preserve">Instrução Normativa da Presidência TRE-BA nº 3/2018, que institui o modelo de gestão por competência organizacional; </w:t>
      </w:r>
      <w:r w:rsidRPr="00BE0BB1">
        <w:rPr>
          <w:rFonts w:ascii="Times New Roman" w:hAnsi="Times New Roman" w:cs="Times New Roman"/>
          <w:color w:val="000000" w:themeColor="text1"/>
          <w:spacing w:val="-4"/>
          <w:sz w:val="24"/>
          <w:szCs w:val="24"/>
        </w:rPr>
        <w:t xml:space="preserve">Portaria DG nº 359, de 15 de junho de 2007, que trata sobre lotação e </w:t>
      </w:r>
      <w:proofErr w:type="spellStart"/>
      <w:r w:rsidRPr="00BE0BB1">
        <w:rPr>
          <w:rFonts w:ascii="Times New Roman" w:hAnsi="Times New Roman" w:cs="Times New Roman"/>
          <w:color w:val="000000" w:themeColor="text1"/>
          <w:spacing w:val="-4"/>
          <w:sz w:val="24"/>
          <w:szCs w:val="24"/>
        </w:rPr>
        <w:t>relotação</w:t>
      </w:r>
      <w:proofErr w:type="spellEnd"/>
      <w:r w:rsidRPr="00BE0BB1">
        <w:rPr>
          <w:rFonts w:ascii="Times New Roman" w:hAnsi="Times New Roman" w:cs="Times New Roman"/>
          <w:color w:val="000000" w:themeColor="text1"/>
          <w:spacing w:val="-4"/>
          <w:sz w:val="24"/>
          <w:szCs w:val="24"/>
        </w:rPr>
        <w:t xml:space="preserve"> de servidores no âmbito do TRE-BA; Portaria da Presidência nº 407, de 20 de outubro de 2015, que dispõe sobre o aproveitamento das vagas de lotação dos cartórios eleitorais, do interior do Estado, decorrentes de claros de lotação, nos processos seletivos de remoção; Referencial Básico de Governança do Tribunal de Contas da União (TCU), versão 2, 2014, que define a estrutura referencial de governança aplicável a órgãos e entidades da Administração Pública; Acórdão TCU nº 1.172/2015 - Plenário; Acórdão TCU nº 2.212/2015 – Plenário; Acórdão TCU nº 1.594/2016 - Plenário; Acórdão TCU nº 2.133/2017 – Plenário; Acórdão TCU nº 2.138/2017 – Plenário; e Acórdão TCU nº 588/2018 – Plenário</w:t>
      </w:r>
      <w:r w:rsidR="00A77084" w:rsidRPr="00BE0BB1">
        <w:rPr>
          <w:rFonts w:ascii="Times New Roman" w:hAnsi="Times New Roman" w:cs="Times New Roman"/>
          <w:color w:val="000000" w:themeColor="text1"/>
          <w:spacing w:val="-4"/>
          <w:sz w:val="24"/>
          <w:szCs w:val="24"/>
        </w:rPr>
        <w:t xml:space="preserve">. </w:t>
      </w:r>
    </w:p>
    <w:p w:rsidR="00630D25" w:rsidRPr="00CC3052" w:rsidRDefault="005E4BDF" w:rsidP="003A74CE">
      <w:pPr>
        <w:pStyle w:val="PargrafodaLista"/>
        <w:spacing w:after="240"/>
        <w:ind w:left="357" w:hanging="357"/>
        <w:rPr>
          <w:sz w:val="24"/>
          <w:szCs w:val="24"/>
        </w:rPr>
      </w:pPr>
      <w:r w:rsidRPr="00F608EB">
        <w:rPr>
          <w:sz w:val="24"/>
          <w:szCs w:val="24"/>
        </w:rPr>
        <w:t xml:space="preserve"> </w:t>
      </w:r>
      <w:bookmarkStart w:id="27" w:name="_Toc520405198"/>
      <w:r w:rsidR="00F662AF">
        <w:rPr>
          <w:sz w:val="24"/>
          <w:szCs w:val="24"/>
        </w:rPr>
        <w:t>METODOLOGIA</w:t>
      </w:r>
      <w:r w:rsidR="008A572D">
        <w:rPr>
          <w:sz w:val="24"/>
          <w:szCs w:val="24"/>
        </w:rPr>
        <w:t xml:space="preserve">, </w:t>
      </w:r>
      <w:r w:rsidR="00F662AF">
        <w:rPr>
          <w:sz w:val="24"/>
          <w:szCs w:val="24"/>
        </w:rPr>
        <w:t>LIMITAÇ</w:t>
      </w:r>
      <w:r w:rsidR="003A74CE">
        <w:rPr>
          <w:sz w:val="24"/>
          <w:szCs w:val="24"/>
        </w:rPr>
        <w:t>ÕES</w:t>
      </w:r>
      <w:r w:rsidR="00F662AF">
        <w:rPr>
          <w:sz w:val="24"/>
          <w:szCs w:val="24"/>
        </w:rPr>
        <w:t xml:space="preserve"> </w:t>
      </w:r>
      <w:r w:rsidR="00C51158">
        <w:rPr>
          <w:sz w:val="24"/>
          <w:szCs w:val="24"/>
        </w:rPr>
        <w:t>IMPOSTAS AO EXAME</w:t>
      </w:r>
      <w:r w:rsidR="008A572D">
        <w:rPr>
          <w:sz w:val="24"/>
          <w:szCs w:val="24"/>
        </w:rPr>
        <w:t xml:space="preserve"> </w:t>
      </w:r>
      <w:r w:rsidR="008A572D" w:rsidRPr="00CC3052">
        <w:rPr>
          <w:sz w:val="24"/>
          <w:szCs w:val="24"/>
        </w:rPr>
        <w:t xml:space="preserve">E </w:t>
      </w:r>
      <w:proofErr w:type="gramStart"/>
      <w:r w:rsidR="008A572D" w:rsidRPr="00CC3052">
        <w:rPr>
          <w:sz w:val="24"/>
          <w:szCs w:val="24"/>
        </w:rPr>
        <w:t>BENEFÍCIOS</w:t>
      </w:r>
      <w:bookmarkEnd w:id="27"/>
      <w:proofErr w:type="gramEnd"/>
    </w:p>
    <w:p w:rsidR="0087259E" w:rsidRDefault="0087259E" w:rsidP="00A863EF">
      <w:pPr>
        <w:pStyle w:val="TextosemFormatao"/>
        <w:numPr>
          <w:ilvl w:val="1"/>
          <w:numId w:val="1"/>
        </w:numPr>
        <w:spacing w:after="120"/>
        <w:ind w:left="426" w:hanging="426"/>
        <w:jc w:val="both"/>
        <w:rPr>
          <w:rFonts w:ascii="Times New Roman" w:hAnsi="Times New Roman" w:cs="Times New Roman"/>
          <w:color w:val="000000" w:themeColor="text1"/>
          <w:sz w:val="24"/>
          <w:szCs w:val="24"/>
        </w:rPr>
      </w:pPr>
      <w:r w:rsidRPr="00F54A97">
        <w:rPr>
          <w:rFonts w:ascii="Times New Roman" w:hAnsi="Times New Roman" w:cs="Times New Roman"/>
          <w:color w:val="000000" w:themeColor="text1"/>
          <w:sz w:val="24"/>
          <w:szCs w:val="24"/>
        </w:rPr>
        <w:t xml:space="preserve">Para definição da natureza e extensão dos procedimentos e testes aplicados, utilizou-se abordagem baseada em risco, de modo a identificar eventos potencialmente impeditivos </w:t>
      </w:r>
      <w:r w:rsidRPr="00F54A97">
        <w:rPr>
          <w:rFonts w:ascii="Times New Roman" w:hAnsi="Times New Roman" w:cs="Times New Roman"/>
          <w:color w:val="000000" w:themeColor="text1"/>
          <w:sz w:val="24"/>
          <w:szCs w:val="24"/>
        </w:rPr>
        <w:lastRenderedPageBreak/>
        <w:t xml:space="preserve">e/ou </w:t>
      </w:r>
      <w:proofErr w:type="spellStart"/>
      <w:r w:rsidRPr="00F54A97">
        <w:rPr>
          <w:rFonts w:ascii="Times New Roman" w:hAnsi="Times New Roman" w:cs="Times New Roman"/>
          <w:color w:val="000000" w:themeColor="text1"/>
          <w:sz w:val="24"/>
          <w:szCs w:val="24"/>
        </w:rPr>
        <w:t>dificultadores</w:t>
      </w:r>
      <w:proofErr w:type="spellEnd"/>
      <w:r w:rsidRPr="00F54A97">
        <w:rPr>
          <w:rFonts w:ascii="Times New Roman" w:hAnsi="Times New Roman" w:cs="Times New Roman"/>
          <w:color w:val="000000" w:themeColor="text1"/>
          <w:sz w:val="24"/>
          <w:szCs w:val="24"/>
        </w:rPr>
        <w:t xml:space="preserve"> do alcance dos objetivos do processo avaliado e alinhar o enfoque da auditoria aos aspectos de maior relevância, em face da criticidade </w:t>
      </w:r>
      <w:r w:rsidR="00522546">
        <w:rPr>
          <w:rFonts w:ascii="Times New Roman" w:hAnsi="Times New Roman" w:cs="Times New Roman"/>
          <w:color w:val="000000" w:themeColor="text1"/>
          <w:sz w:val="24"/>
          <w:szCs w:val="24"/>
        </w:rPr>
        <w:t xml:space="preserve">dos riscos associados à </w:t>
      </w:r>
      <w:r w:rsidRPr="00F54A97">
        <w:rPr>
          <w:rFonts w:ascii="Times New Roman" w:hAnsi="Times New Roman" w:cs="Times New Roman"/>
          <w:color w:val="000000" w:themeColor="text1"/>
          <w:sz w:val="24"/>
          <w:szCs w:val="24"/>
        </w:rPr>
        <w:t>atividade desenvolvida</w:t>
      </w:r>
      <w:r>
        <w:rPr>
          <w:rFonts w:ascii="Times New Roman" w:hAnsi="Times New Roman" w:cs="Times New Roman"/>
          <w:color w:val="000000" w:themeColor="text1"/>
          <w:sz w:val="24"/>
          <w:szCs w:val="24"/>
        </w:rPr>
        <w:t>.</w:t>
      </w:r>
    </w:p>
    <w:p w:rsidR="00756077" w:rsidRPr="00CC3052" w:rsidRDefault="00756077" w:rsidP="00A863EF">
      <w:pPr>
        <w:pStyle w:val="TextosemFormatao"/>
        <w:numPr>
          <w:ilvl w:val="1"/>
          <w:numId w:val="1"/>
        </w:numPr>
        <w:spacing w:after="120"/>
        <w:ind w:left="426" w:hanging="426"/>
        <w:jc w:val="both"/>
        <w:rPr>
          <w:rFonts w:ascii="Times New Roman" w:hAnsi="Times New Roman" w:cs="Times New Roman"/>
          <w:sz w:val="24"/>
          <w:szCs w:val="24"/>
        </w:rPr>
      </w:pPr>
      <w:r w:rsidRPr="00CC3052">
        <w:rPr>
          <w:rFonts w:ascii="Times New Roman" w:hAnsi="Times New Roman" w:cs="Times New Roman"/>
          <w:sz w:val="24"/>
          <w:szCs w:val="24"/>
        </w:rPr>
        <w:t>Para atendimento aos objetivos fixados, restaram elaboradas três questões de auditoria destinadas a nortear a realização de procedimentos e testes definidos: QA1: o processo/metodologia ou critério utilizado para dimensionamento quantitativo e qualitativo da força de trabalho instrumentaliza adequadamente a gestão da força de trabalho no intuito de assegurar o cumprimento da estratégia d</w:t>
      </w:r>
      <w:r w:rsidR="00BE0BB1">
        <w:rPr>
          <w:rFonts w:ascii="Times New Roman" w:hAnsi="Times New Roman" w:cs="Times New Roman"/>
          <w:sz w:val="24"/>
          <w:szCs w:val="24"/>
        </w:rPr>
        <w:t>o TRE-BA para o ciclo 2016-2021</w:t>
      </w:r>
      <w:proofErr w:type="gramStart"/>
      <w:r w:rsidR="00BE0BB1">
        <w:rPr>
          <w:rFonts w:ascii="Times New Roman" w:hAnsi="Times New Roman" w:cs="Times New Roman"/>
          <w:sz w:val="24"/>
          <w:szCs w:val="24"/>
        </w:rPr>
        <w:t>?</w:t>
      </w:r>
      <w:r w:rsidRPr="00CC3052">
        <w:rPr>
          <w:rFonts w:ascii="Times New Roman" w:hAnsi="Times New Roman" w:cs="Times New Roman"/>
          <w:sz w:val="24"/>
          <w:szCs w:val="24"/>
        </w:rPr>
        <w:t>;</w:t>
      </w:r>
      <w:proofErr w:type="gramEnd"/>
      <w:r w:rsidRPr="00CC3052">
        <w:rPr>
          <w:rFonts w:ascii="Times New Roman" w:hAnsi="Times New Roman" w:cs="Times New Roman"/>
          <w:sz w:val="24"/>
          <w:szCs w:val="24"/>
        </w:rPr>
        <w:t xml:space="preserve"> QA2: os </w:t>
      </w:r>
      <w:r w:rsidR="00BE1077">
        <w:rPr>
          <w:rFonts w:ascii="Times New Roman" w:hAnsi="Times New Roman" w:cs="Times New Roman"/>
          <w:sz w:val="24"/>
          <w:szCs w:val="24"/>
        </w:rPr>
        <w:t>controles internos instituídos s</w:t>
      </w:r>
      <w:r w:rsidRPr="00CC3052">
        <w:rPr>
          <w:rFonts w:ascii="Times New Roman" w:hAnsi="Times New Roman" w:cs="Times New Roman"/>
          <w:sz w:val="24"/>
          <w:szCs w:val="24"/>
        </w:rPr>
        <w:t>ão adequados, suficientes e efetivos à asseguração dos objetivos do processo de trabalho</w:t>
      </w:r>
      <w:proofErr w:type="gramStart"/>
      <w:r w:rsidRPr="00CC3052">
        <w:rPr>
          <w:rFonts w:ascii="Times New Roman" w:hAnsi="Times New Roman" w:cs="Times New Roman"/>
          <w:sz w:val="24"/>
          <w:szCs w:val="24"/>
        </w:rPr>
        <w:t>?;</w:t>
      </w:r>
      <w:proofErr w:type="gramEnd"/>
      <w:r w:rsidRPr="00CC3052">
        <w:rPr>
          <w:rFonts w:ascii="Times New Roman" w:hAnsi="Times New Roman" w:cs="Times New Roman"/>
          <w:sz w:val="24"/>
          <w:szCs w:val="24"/>
        </w:rPr>
        <w:t xml:space="preserve"> </w:t>
      </w:r>
      <w:proofErr w:type="gramStart"/>
      <w:r w:rsidRPr="00CC3052">
        <w:rPr>
          <w:rFonts w:ascii="Times New Roman" w:hAnsi="Times New Roman" w:cs="Times New Roman"/>
          <w:sz w:val="24"/>
          <w:szCs w:val="24"/>
        </w:rPr>
        <w:t>e</w:t>
      </w:r>
      <w:proofErr w:type="gramEnd"/>
      <w:r w:rsidRPr="00CC3052">
        <w:rPr>
          <w:rFonts w:ascii="Times New Roman" w:hAnsi="Times New Roman" w:cs="Times New Roman"/>
          <w:sz w:val="24"/>
          <w:szCs w:val="24"/>
        </w:rPr>
        <w:t xml:space="preserve"> QA3:</w:t>
      </w:r>
      <w:r w:rsidR="008A572D" w:rsidRPr="00CC3052">
        <w:rPr>
          <w:rFonts w:ascii="Times New Roman" w:hAnsi="Times New Roman" w:cs="Times New Roman"/>
          <w:sz w:val="24"/>
          <w:szCs w:val="24"/>
        </w:rPr>
        <w:t xml:space="preserve"> </w:t>
      </w:r>
      <w:r w:rsidRPr="00CC3052">
        <w:rPr>
          <w:rFonts w:ascii="Times New Roman" w:hAnsi="Times New Roman" w:cs="Times New Roman"/>
          <w:sz w:val="24"/>
          <w:szCs w:val="24"/>
        </w:rPr>
        <w:t>a gestão da força de trabalho guarda alinhamento com o DFT estabelecido?</w:t>
      </w:r>
    </w:p>
    <w:p w:rsidR="00BC128F" w:rsidRPr="00A863EF" w:rsidRDefault="00177F2B" w:rsidP="00A863EF">
      <w:pPr>
        <w:pStyle w:val="TextosemFormatao"/>
        <w:numPr>
          <w:ilvl w:val="1"/>
          <w:numId w:val="1"/>
        </w:numPr>
        <w:spacing w:after="120"/>
        <w:ind w:left="426" w:hanging="426"/>
        <w:jc w:val="both"/>
        <w:rPr>
          <w:rFonts w:ascii="Times New Roman" w:hAnsi="Times New Roman" w:cs="Times New Roman"/>
          <w:color w:val="000000" w:themeColor="text1"/>
          <w:sz w:val="24"/>
          <w:szCs w:val="24"/>
        </w:rPr>
      </w:pPr>
      <w:r w:rsidRPr="00A863EF">
        <w:rPr>
          <w:rFonts w:ascii="Times New Roman" w:hAnsi="Times New Roman" w:cs="Times New Roman"/>
          <w:sz w:val="24"/>
          <w:szCs w:val="24"/>
        </w:rPr>
        <w:t>O início</w:t>
      </w:r>
      <w:r w:rsidR="00DE77B1" w:rsidRPr="00A863EF">
        <w:rPr>
          <w:rFonts w:ascii="Times New Roman" w:hAnsi="Times New Roman" w:cs="Times New Roman"/>
          <w:sz w:val="24"/>
          <w:szCs w:val="24"/>
        </w:rPr>
        <w:t xml:space="preserve"> dos trabalhos restou subsidiad</w:t>
      </w:r>
      <w:r w:rsidRPr="00A863EF">
        <w:rPr>
          <w:rFonts w:ascii="Times New Roman" w:hAnsi="Times New Roman" w:cs="Times New Roman"/>
          <w:sz w:val="24"/>
          <w:szCs w:val="24"/>
        </w:rPr>
        <w:t>o</w:t>
      </w:r>
      <w:r w:rsidR="00DE77B1" w:rsidRPr="00A863EF">
        <w:rPr>
          <w:rFonts w:ascii="Times New Roman" w:hAnsi="Times New Roman" w:cs="Times New Roman"/>
          <w:sz w:val="24"/>
          <w:szCs w:val="24"/>
        </w:rPr>
        <w:t xml:space="preserve"> pela expedição do Comunica</w:t>
      </w:r>
      <w:r w:rsidR="001A126F" w:rsidRPr="00A863EF">
        <w:rPr>
          <w:rFonts w:ascii="Times New Roman" w:hAnsi="Times New Roman" w:cs="Times New Roman"/>
          <w:sz w:val="24"/>
          <w:szCs w:val="24"/>
        </w:rPr>
        <w:t>do</w:t>
      </w:r>
      <w:r w:rsidR="00DE77B1" w:rsidRPr="00A863EF">
        <w:rPr>
          <w:rFonts w:ascii="Times New Roman" w:hAnsi="Times New Roman" w:cs="Times New Roman"/>
          <w:sz w:val="24"/>
          <w:szCs w:val="24"/>
        </w:rPr>
        <w:t xml:space="preserve"> Circular de Auditoria nº </w:t>
      </w:r>
      <w:r w:rsidR="003719D7" w:rsidRPr="00A863EF">
        <w:rPr>
          <w:rFonts w:ascii="Times New Roman" w:hAnsi="Times New Roman" w:cs="Times New Roman"/>
          <w:sz w:val="24"/>
          <w:szCs w:val="24"/>
        </w:rPr>
        <w:t>1/2018/COGES/SCI</w:t>
      </w:r>
      <w:r w:rsidR="00DE77B1" w:rsidRPr="00A863EF">
        <w:rPr>
          <w:rFonts w:ascii="Times New Roman" w:hAnsi="Times New Roman" w:cs="Times New Roman"/>
          <w:sz w:val="24"/>
          <w:szCs w:val="24"/>
        </w:rPr>
        <w:t xml:space="preserve"> (PAD nº </w:t>
      </w:r>
      <w:r w:rsidR="00F7133C" w:rsidRPr="00A863EF">
        <w:rPr>
          <w:rFonts w:ascii="Times New Roman" w:hAnsi="Times New Roman" w:cs="Times New Roman"/>
          <w:sz w:val="24"/>
          <w:szCs w:val="24"/>
        </w:rPr>
        <w:t>8.079</w:t>
      </w:r>
      <w:r w:rsidR="003719D7" w:rsidRPr="00A863EF">
        <w:rPr>
          <w:rFonts w:ascii="Times New Roman" w:hAnsi="Times New Roman" w:cs="Times New Roman"/>
          <w:sz w:val="24"/>
          <w:szCs w:val="24"/>
        </w:rPr>
        <w:t>/</w:t>
      </w:r>
      <w:r w:rsidR="00DE77B1" w:rsidRPr="00A863EF">
        <w:rPr>
          <w:rFonts w:ascii="Times New Roman" w:hAnsi="Times New Roman" w:cs="Times New Roman"/>
          <w:sz w:val="24"/>
          <w:szCs w:val="24"/>
        </w:rPr>
        <w:t>201</w:t>
      </w:r>
      <w:r w:rsidR="003719D7" w:rsidRPr="00A863EF">
        <w:rPr>
          <w:rFonts w:ascii="Times New Roman" w:hAnsi="Times New Roman" w:cs="Times New Roman"/>
          <w:sz w:val="24"/>
          <w:szCs w:val="24"/>
        </w:rPr>
        <w:t>8</w:t>
      </w:r>
      <w:r w:rsidR="00DE77B1" w:rsidRPr="00A863EF">
        <w:rPr>
          <w:rFonts w:ascii="Times New Roman" w:hAnsi="Times New Roman" w:cs="Times New Roman"/>
          <w:sz w:val="24"/>
          <w:szCs w:val="24"/>
        </w:rPr>
        <w:t xml:space="preserve">), </w:t>
      </w:r>
      <w:r w:rsidRPr="00A863EF">
        <w:rPr>
          <w:rFonts w:ascii="Times New Roman" w:hAnsi="Times New Roman" w:cs="Times New Roman"/>
          <w:sz w:val="24"/>
          <w:szCs w:val="24"/>
        </w:rPr>
        <w:t xml:space="preserve">que </w:t>
      </w:r>
      <w:r w:rsidR="00BC128F" w:rsidRPr="00A863EF">
        <w:rPr>
          <w:rFonts w:ascii="Times New Roman" w:hAnsi="Times New Roman" w:cs="Times New Roman"/>
          <w:sz w:val="24"/>
          <w:szCs w:val="24"/>
        </w:rPr>
        <w:t xml:space="preserve">inaugurou </w:t>
      </w:r>
      <w:r w:rsidRPr="00A863EF">
        <w:rPr>
          <w:rFonts w:ascii="Times New Roman" w:hAnsi="Times New Roman" w:cs="Times New Roman"/>
          <w:sz w:val="24"/>
          <w:szCs w:val="24"/>
        </w:rPr>
        <w:t xml:space="preserve">os </w:t>
      </w:r>
      <w:r w:rsidR="00BC128F" w:rsidRPr="00A863EF">
        <w:rPr>
          <w:rFonts w:ascii="Times New Roman" w:hAnsi="Times New Roman" w:cs="Times New Roman"/>
          <w:sz w:val="24"/>
          <w:szCs w:val="24"/>
        </w:rPr>
        <w:t>procedimentos</w:t>
      </w:r>
      <w:r w:rsidRPr="00A863EF">
        <w:rPr>
          <w:rFonts w:ascii="Times New Roman" w:hAnsi="Times New Roman" w:cs="Times New Roman"/>
          <w:sz w:val="24"/>
          <w:szCs w:val="24"/>
        </w:rPr>
        <w:t xml:space="preserve"> relativos à Auditoria de Gestão 2018 – Exercício </w:t>
      </w:r>
      <w:r w:rsidR="00703250" w:rsidRPr="00A863EF">
        <w:rPr>
          <w:rFonts w:ascii="Times New Roman" w:hAnsi="Times New Roman" w:cs="Times New Roman"/>
          <w:sz w:val="24"/>
          <w:szCs w:val="24"/>
        </w:rPr>
        <w:t>2</w:t>
      </w:r>
      <w:r w:rsidR="00D61211" w:rsidRPr="00A863EF">
        <w:rPr>
          <w:rFonts w:ascii="Times New Roman" w:hAnsi="Times New Roman" w:cs="Times New Roman"/>
          <w:sz w:val="24"/>
          <w:szCs w:val="24"/>
        </w:rPr>
        <w:t>01</w:t>
      </w:r>
      <w:r w:rsidR="00703250" w:rsidRPr="00A863EF">
        <w:rPr>
          <w:rFonts w:ascii="Times New Roman" w:hAnsi="Times New Roman" w:cs="Times New Roman"/>
          <w:sz w:val="24"/>
          <w:szCs w:val="24"/>
        </w:rPr>
        <w:t>7</w:t>
      </w:r>
      <w:r w:rsidRPr="00A863EF">
        <w:rPr>
          <w:rFonts w:ascii="Times New Roman" w:hAnsi="Times New Roman" w:cs="Times New Roman"/>
          <w:sz w:val="24"/>
          <w:szCs w:val="24"/>
        </w:rPr>
        <w:t>, da qual</w:t>
      </w:r>
      <w:r w:rsidR="00BC128F" w:rsidRPr="00A863EF">
        <w:rPr>
          <w:rFonts w:ascii="Times New Roman" w:hAnsi="Times New Roman" w:cs="Times New Roman"/>
          <w:sz w:val="24"/>
          <w:szCs w:val="24"/>
        </w:rPr>
        <w:t xml:space="preserve"> a Auditoria </w:t>
      </w:r>
      <w:r w:rsidR="00E4553A" w:rsidRPr="00A863EF">
        <w:rPr>
          <w:rFonts w:ascii="Times New Roman" w:hAnsi="Times New Roman" w:cs="Times New Roman"/>
          <w:sz w:val="24"/>
          <w:szCs w:val="24"/>
        </w:rPr>
        <w:t>Integrada</w:t>
      </w:r>
      <w:r w:rsidR="00BC128F" w:rsidRPr="00A863EF">
        <w:rPr>
          <w:rFonts w:ascii="Times New Roman" w:hAnsi="Times New Roman" w:cs="Times New Roman"/>
          <w:sz w:val="24"/>
          <w:szCs w:val="24"/>
        </w:rPr>
        <w:t xml:space="preserve"> </w:t>
      </w:r>
      <w:r w:rsidR="00E4553A" w:rsidRPr="00A863EF">
        <w:rPr>
          <w:rFonts w:ascii="Times New Roman" w:hAnsi="Times New Roman" w:cs="Times New Roman"/>
          <w:sz w:val="24"/>
          <w:szCs w:val="24"/>
        </w:rPr>
        <w:t>TSE/</w:t>
      </w:r>
      <w:proofErr w:type="spellStart"/>
      <w:r w:rsidR="00E4553A" w:rsidRPr="00A863EF">
        <w:rPr>
          <w:rFonts w:ascii="Times New Roman" w:hAnsi="Times New Roman" w:cs="Times New Roman"/>
          <w:sz w:val="24"/>
          <w:szCs w:val="24"/>
        </w:rPr>
        <w:t>TREs</w:t>
      </w:r>
      <w:proofErr w:type="spellEnd"/>
      <w:r w:rsidR="00BC128F" w:rsidRPr="00A863EF">
        <w:rPr>
          <w:rFonts w:ascii="Times New Roman" w:hAnsi="Times New Roman" w:cs="Times New Roman"/>
          <w:sz w:val="24"/>
          <w:szCs w:val="24"/>
        </w:rPr>
        <w:t xml:space="preserve"> – Exercício 2018 – </w:t>
      </w:r>
      <w:r w:rsidR="00141578" w:rsidRPr="00A863EF">
        <w:rPr>
          <w:rFonts w:ascii="Times New Roman" w:hAnsi="Times New Roman" w:cs="Times New Roman"/>
          <w:sz w:val="24"/>
          <w:szCs w:val="24"/>
        </w:rPr>
        <w:t>constituiu</w:t>
      </w:r>
      <w:r w:rsidR="00BC128F" w:rsidRPr="00A863EF">
        <w:rPr>
          <w:rFonts w:ascii="Times New Roman" w:hAnsi="Times New Roman" w:cs="Times New Roman"/>
          <w:sz w:val="24"/>
          <w:szCs w:val="24"/>
        </w:rPr>
        <w:t xml:space="preserve"> parte integrante.</w:t>
      </w:r>
    </w:p>
    <w:p w:rsidR="0087259E" w:rsidRPr="00A863EF" w:rsidRDefault="0087259E" w:rsidP="00A863EF">
      <w:pPr>
        <w:pStyle w:val="TextosemFormatao"/>
        <w:numPr>
          <w:ilvl w:val="1"/>
          <w:numId w:val="1"/>
        </w:numPr>
        <w:spacing w:after="120"/>
        <w:ind w:left="426" w:hanging="426"/>
        <w:jc w:val="both"/>
        <w:rPr>
          <w:rFonts w:ascii="Times New Roman" w:hAnsi="Times New Roman" w:cs="Times New Roman"/>
          <w:color w:val="000000" w:themeColor="text1"/>
          <w:sz w:val="24"/>
          <w:szCs w:val="24"/>
        </w:rPr>
      </w:pPr>
      <w:r w:rsidRPr="00A863EF">
        <w:rPr>
          <w:rFonts w:ascii="Times New Roman" w:hAnsi="Times New Roman" w:cs="Times New Roman"/>
          <w:color w:val="000000" w:themeColor="text1"/>
          <w:spacing w:val="-2"/>
          <w:sz w:val="24"/>
          <w:szCs w:val="24"/>
        </w:rPr>
        <w:t>Para obtenção de entendimento acerca do objeto, ambiente e controle interno, foram expedidas Requisições de Documentos e/ou Informações (</w:t>
      </w:r>
      <w:proofErr w:type="spellStart"/>
      <w:r w:rsidRPr="00A863EF">
        <w:rPr>
          <w:rFonts w:ascii="Times New Roman" w:hAnsi="Times New Roman" w:cs="Times New Roman"/>
          <w:color w:val="000000" w:themeColor="text1"/>
          <w:spacing w:val="-2"/>
          <w:sz w:val="24"/>
          <w:szCs w:val="24"/>
        </w:rPr>
        <w:t>RDIs</w:t>
      </w:r>
      <w:proofErr w:type="spellEnd"/>
      <w:r w:rsidRPr="00A863EF">
        <w:rPr>
          <w:rFonts w:ascii="Times New Roman" w:hAnsi="Times New Roman" w:cs="Times New Roman"/>
          <w:color w:val="000000" w:themeColor="text1"/>
          <w:spacing w:val="-2"/>
          <w:sz w:val="24"/>
          <w:szCs w:val="24"/>
        </w:rPr>
        <w:t>) sob nº 15 (PAD nº 4.180/2018), 16 (PAD nº 4.181/2018), 17(PAD nº 4.440/2018), 20 (PAD nº 4.945/2018), 21 (PAD nº 4.974/2018), 22 (PAD nº 4.976/2018), 23 (PAD nº 5.475/2018</w:t>
      </w:r>
      <w:proofErr w:type="gramStart"/>
      <w:r w:rsidRPr="00A863EF">
        <w:rPr>
          <w:rFonts w:ascii="Times New Roman" w:hAnsi="Times New Roman" w:cs="Times New Roman"/>
          <w:color w:val="000000" w:themeColor="text1"/>
          <w:spacing w:val="-2"/>
          <w:sz w:val="24"/>
          <w:szCs w:val="24"/>
        </w:rPr>
        <w:t>)</w:t>
      </w:r>
      <w:proofErr w:type="gramEnd"/>
      <w:r w:rsidRPr="00A863EF">
        <w:rPr>
          <w:rFonts w:ascii="Times New Roman" w:hAnsi="Times New Roman" w:cs="Times New Roman"/>
          <w:color w:val="000000" w:themeColor="text1"/>
          <w:spacing w:val="-2"/>
          <w:sz w:val="24"/>
          <w:szCs w:val="24"/>
        </w:rPr>
        <w:t>/SEA</w:t>
      </w:r>
      <w:r w:rsidR="004A3C5E" w:rsidRPr="00A863EF">
        <w:rPr>
          <w:rFonts w:ascii="Times New Roman" w:hAnsi="Times New Roman" w:cs="Times New Roman"/>
          <w:color w:val="000000" w:themeColor="text1"/>
          <w:spacing w:val="-2"/>
          <w:sz w:val="24"/>
          <w:szCs w:val="24"/>
        </w:rPr>
        <w:t>GO</w:t>
      </w:r>
      <w:r w:rsidRPr="00A863EF">
        <w:rPr>
          <w:rFonts w:ascii="Times New Roman" w:hAnsi="Times New Roman" w:cs="Times New Roman"/>
          <w:color w:val="000000" w:themeColor="text1"/>
          <w:spacing w:val="-2"/>
          <w:sz w:val="24"/>
          <w:szCs w:val="24"/>
        </w:rPr>
        <w:t>/CO</w:t>
      </w:r>
      <w:r w:rsidR="004A3C5E" w:rsidRPr="00A863EF">
        <w:rPr>
          <w:rFonts w:ascii="Times New Roman" w:hAnsi="Times New Roman" w:cs="Times New Roman"/>
          <w:color w:val="000000" w:themeColor="text1"/>
          <w:spacing w:val="-2"/>
          <w:sz w:val="24"/>
          <w:szCs w:val="24"/>
        </w:rPr>
        <w:t>AUD</w:t>
      </w:r>
      <w:r w:rsidRPr="00A863EF">
        <w:rPr>
          <w:rFonts w:ascii="Times New Roman" w:hAnsi="Times New Roman" w:cs="Times New Roman"/>
          <w:color w:val="000000" w:themeColor="text1"/>
          <w:spacing w:val="-2"/>
          <w:sz w:val="24"/>
          <w:szCs w:val="24"/>
        </w:rPr>
        <w:t>/S</w:t>
      </w:r>
      <w:r w:rsidR="004A3C5E" w:rsidRPr="00A863EF">
        <w:rPr>
          <w:rFonts w:ascii="Times New Roman" w:hAnsi="Times New Roman" w:cs="Times New Roman"/>
          <w:color w:val="000000" w:themeColor="text1"/>
          <w:spacing w:val="-2"/>
          <w:sz w:val="24"/>
          <w:szCs w:val="24"/>
        </w:rPr>
        <w:t>AU</w:t>
      </w:r>
      <w:r w:rsidRPr="00A863EF">
        <w:rPr>
          <w:rFonts w:ascii="Times New Roman" w:hAnsi="Times New Roman" w:cs="Times New Roman"/>
          <w:color w:val="000000" w:themeColor="text1"/>
          <w:spacing w:val="-2"/>
          <w:sz w:val="24"/>
          <w:szCs w:val="24"/>
        </w:rPr>
        <w:t>.</w:t>
      </w:r>
    </w:p>
    <w:p w:rsidR="0087259E" w:rsidRPr="00A863EF" w:rsidRDefault="0087259E" w:rsidP="00A863EF">
      <w:pPr>
        <w:pStyle w:val="TextosemFormatao"/>
        <w:numPr>
          <w:ilvl w:val="1"/>
          <w:numId w:val="1"/>
        </w:numPr>
        <w:spacing w:after="120"/>
        <w:ind w:left="426" w:hanging="426"/>
        <w:jc w:val="both"/>
        <w:rPr>
          <w:rFonts w:ascii="Times New Roman" w:hAnsi="Times New Roman" w:cs="Times New Roman"/>
          <w:color w:val="000000" w:themeColor="text1"/>
          <w:sz w:val="24"/>
          <w:szCs w:val="24"/>
        </w:rPr>
      </w:pPr>
      <w:proofErr w:type="gramStart"/>
      <w:r w:rsidRPr="00A863EF">
        <w:rPr>
          <w:rFonts w:ascii="Times New Roman" w:hAnsi="Times New Roman" w:cs="Times New Roman"/>
          <w:color w:val="000000" w:themeColor="text1"/>
          <w:spacing w:val="-2"/>
          <w:sz w:val="24"/>
          <w:szCs w:val="24"/>
        </w:rPr>
        <w:t>Realizou-se</w:t>
      </w:r>
      <w:proofErr w:type="gramEnd"/>
      <w:r w:rsidRPr="00A863EF">
        <w:rPr>
          <w:rFonts w:ascii="Times New Roman" w:hAnsi="Times New Roman" w:cs="Times New Roman"/>
          <w:color w:val="000000" w:themeColor="text1"/>
          <w:spacing w:val="-2"/>
          <w:sz w:val="24"/>
          <w:szCs w:val="24"/>
        </w:rPr>
        <w:t>, ainda, reuniões setoriais com a SGP, em 16 e 23/4/2018 com vistas à construção da matriz de identificação e de análise e avalição de riscos associados ao processo de dimensionamento da força de trabalho do Tribunal.</w:t>
      </w:r>
    </w:p>
    <w:p w:rsidR="0087259E" w:rsidRPr="00BE0BB1" w:rsidRDefault="0087259E" w:rsidP="00A863EF">
      <w:pPr>
        <w:pStyle w:val="TextosemFormatao"/>
        <w:numPr>
          <w:ilvl w:val="1"/>
          <w:numId w:val="1"/>
        </w:numPr>
        <w:spacing w:after="120"/>
        <w:ind w:left="426" w:hanging="426"/>
        <w:jc w:val="both"/>
        <w:rPr>
          <w:rFonts w:ascii="Times New Roman" w:hAnsi="Times New Roman" w:cs="Times New Roman"/>
          <w:color w:val="000000" w:themeColor="text1"/>
          <w:spacing w:val="-4"/>
          <w:sz w:val="24"/>
          <w:szCs w:val="24"/>
        </w:rPr>
      </w:pPr>
      <w:r w:rsidRPr="00BE0BB1">
        <w:rPr>
          <w:rFonts w:ascii="Times New Roman" w:hAnsi="Times New Roman" w:cs="Times New Roman"/>
          <w:spacing w:val="-4"/>
          <w:sz w:val="24"/>
          <w:szCs w:val="24"/>
        </w:rPr>
        <w:t>A fase de execução, por sua vez, restou subsidiada pela expedição d</w:t>
      </w:r>
      <w:r w:rsidR="004A3C5E" w:rsidRPr="00BE0BB1">
        <w:rPr>
          <w:rFonts w:ascii="Times New Roman" w:hAnsi="Times New Roman" w:cs="Times New Roman"/>
          <w:spacing w:val="-4"/>
          <w:sz w:val="24"/>
          <w:szCs w:val="24"/>
        </w:rPr>
        <w:t>as</w:t>
      </w:r>
      <w:r w:rsidRPr="00BE0BB1">
        <w:rPr>
          <w:rFonts w:ascii="Times New Roman" w:hAnsi="Times New Roman" w:cs="Times New Roman"/>
          <w:spacing w:val="-4"/>
          <w:sz w:val="24"/>
          <w:szCs w:val="24"/>
        </w:rPr>
        <w:t xml:space="preserve"> </w:t>
      </w:r>
      <w:proofErr w:type="spellStart"/>
      <w:r w:rsidR="004A3C5E" w:rsidRPr="00BE0BB1">
        <w:rPr>
          <w:rFonts w:ascii="Times New Roman" w:hAnsi="Times New Roman" w:cs="Times New Roman"/>
          <w:spacing w:val="-4"/>
          <w:sz w:val="24"/>
          <w:szCs w:val="24"/>
        </w:rPr>
        <w:t>RDIs</w:t>
      </w:r>
      <w:proofErr w:type="spellEnd"/>
      <w:r w:rsidRPr="00BE0BB1">
        <w:rPr>
          <w:rFonts w:ascii="Times New Roman" w:hAnsi="Times New Roman" w:cs="Times New Roman"/>
          <w:spacing w:val="-4"/>
          <w:sz w:val="24"/>
          <w:szCs w:val="24"/>
        </w:rPr>
        <w:t xml:space="preserve"> Circular</w:t>
      </w:r>
      <w:r w:rsidR="004A3C5E" w:rsidRPr="00BE0BB1">
        <w:rPr>
          <w:rFonts w:ascii="Times New Roman" w:hAnsi="Times New Roman" w:cs="Times New Roman"/>
          <w:spacing w:val="-4"/>
          <w:sz w:val="24"/>
          <w:szCs w:val="24"/>
        </w:rPr>
        <w:t>es</w:t>
      </w:r>
      <w:r w:rsidRPr="00BE0BB1">
        <w:rPr>
          <w:rFonts w:ascii="Times New Roman" w:hAnsi="Times New Roman" w:cs="Times New Roman"/>
          <w:spacing w:val="-4"/>
          <w:sz w:val="24"/>
          <w:szCs w:val="24"/>
        </w:rPr>
        <w:t xml:space="preserve"> nº </w:t>
      </w:r>
      <w:r w:rsidR="004A3C5E" w:rsidRPr="00BE0BB1">
        <w:rPr>
          <w:rFonts w:ascii="Times New Roman" w:hAnsi="Times New Roman" w:cs="Times New Roman"/>
          <w:spacing w:val="-4"/>
          <w:sz w:val="24"/>
          <w:szCs w:val="24"/>
        </w:rPr>
        <w:t>10 (PAD nº 9.634/2018) e 11/ SEAGO/COAUD/SAU (PAD nº 9.635/2018) para aplicação de questionário a fim de levantar informações sobre o processo auditado</w:t>
      </w:r>
      <w:r w:rsidR="00522546" w:rsidRPr="00BE0BB1">
        <w:rPr>
          <w:rFonts w:ascii="Times New Roman" w:hAnsi="Times New Roman" w:cs="Times New Roman"/>
          <w:spacing w:val="-4"/>
          <w:sz w:val="24"/>
          <w:szCs w:val="24"/>
        </w:rPr>
        <w:t xml:space="preserve"> junto a unidades com a força de trabalho já dimensionada e aquelas com claro de lotação ou </w:t>
      </w:r>
      <w:r w:rsidR="00522546" w:rsidRPr="00BE0BB1">
        <w:rPr>
          <w:rFonts w:ascii="Times New Roman" w:hAnsi="Times New Roman" w:cs="Times New Roman"/>
          <w:i/>
          <w:spacing w:val="-4"/>
          <w:sz w:val="24"/>
          <w:szCs w:val="24"/>
        </w:rPr>
        <w:t>déficit</w:t>
      </w:r>
      <w:r w:rsidR="00522546" w:rsidRPr="00BE0BB1">
        <w:rPr>
          <w:rFonts w:ascii="Times New Roman" w:hAnsi="Times New Roman" w:cs="Times New Roman"/>
          <w:spacing w:val="-4"/>
          <w:sz w:val="24"/>
          <w:szCs w:val="24"/>
        </w:rPr>
        <w:t xml:space="preserve"> de pessoal</w:t>
      </w:r>
      <w:r w:rsidRPr="00BE0BB1">
        <w:rPr>
          <w:rFonts w:ascii="Times New Roman" w:hAnsi="Times New Roman" w:cs="Times New Roman"/>
          <w:spacing w:val="-4"/>
          <w:sz w:val="24"/>
          <w:szCs w:val="24"/>
        </w:rPr>
        <w:t xml:space="preserve"> </w:t>
      </w:r>
      <w:r w:rsidR="004A3C5E" w:rsidRPr="00BE0BB1">
        <w:rPr>
          <w:rFonts w:ascii="Times New Roman" w:hAnsi="Times New Roman" w:cs="Times New Roman"/>
          <w:spacing w:val="-4"/>
          <w:sz w:val="24"/>
          <w:szCs w:val="24"/>
        </w:rPr>
        <w:t>e</w:t>
      </w:r>
      <w:r w:rsidRPr="00BE0BB1">
        <w:rPr>
          <w:rFonts w:ascii="Times New Roman" w:hAnsi="Times New Roman" w:cs="Times New Roman"/>
          <w:spacing w:val="-4"/>
          <w:sz w:val="24"/>
          <w:szCs w:val="24"/>
        </w:rPr>
        <w:t xml:space="preserve"> </w:t>
      </w:r>
      <w:proofErr w:type="spellStart"/>
      <w:r w:rsidRPr="00BE0BB1">
        <w:rPr>
          <w:rFonts w:ascii="Times New Roman" w:hAnsi="Times New Roman" w:cs="Times New Roman"/>
          <w:spacing w:val="-4"/>
          <w:sz w:val="24"/>
          <w:szCs w:val="24"/>
        </w:rPr>
        <w:t>RDIs</w:t>
      </w:r>
      <w:proofErr w:type="spellEnd"/>
      <w:r w:rsidRPr="00BE0BB1">
        <w:rPr>
          <w:rFonts w:ascii="Times New Roman" w:hAnsi="Times New Roman" w:cs="Times New Roman"/>
          <w:spacing w:val="-4"/>
          <w:sz w:val="24"/>
          <w:szCs w:val="24"/>
        </w:rPr>
        <w:t xml:space="preserve"> nº </w:t>
      </w:r>
      <w:r w:rsidR="004A3C5E" w:rsidRPr="00BE0BB1">
        <w:rPr>
          <w:rFonts w:ascii="Times New Roman" w:hAnsi="Times New Roman" w:cs="Times New Roman"/>
          <w:spacing w:val="-4"/>
          <w:sz w:val="24"/>
          <w:szCs w:val="24"/>
        </w:rPr>
        <w:t>34 (PAD nº 8.252/2018), 35 (PAD nº 8.494/2018), 36 (PAD nº 8.495/2018), 38 (PAD nº 9.964/2018), 39 (PAD nº 10.441/2018), 40/2018 (PAD nº 10.442/2018)</w:t>
      </w:r>
      <w:r w:rsidRPr="00BE0BB1">
        <w:rPr>
          <w:rFonts w:ascii="Times New Roman" w:hAnsi="Times New Roman" w:cs="Times New Roman"/>
          <w:color w:val="000000" w:themeColor="text1"/>
          <w:spacing w:val="-4"/>
          <w:sz w:val="24"/>
          <w:szCs w:val="24"/>
        </w:rPr>
        <w:t>.</w:t>
      </w:r>
    </w:p>
    <w:p w:rsidR="00A863EF" w:rsidRPr="00A70B6D" w:rsidRDefault="003A74CE" w:rsidP="00A863EF">
      <w:pPr>
        <w:pStyle w:val="TextosemFormatao"/>
        <w:numPr>
          <w:ilvl w:val="1"/>
          <w:numId w:val="1"/>
        </w:numPr>
        <w:spacing w:after="120"/>
        <w:ind w:left="426" w:hanging="426"/>
        <w:jc w:val="both"/>
        <w:rPr>
          <w:rFonts w:ascii="Times New Roman" w:hAnsi="Times New Roman" w:cs="Times New Roman"/>
          <w:spacing w:val="-2"/>
          <w:sz w:val="24"/>
          <w:szCs w:val="24"/>
        </w:rPr>
      </w:pPr>
      <w:r w:rsidRPr="00CC3052">
        <w:rPr>
          <w:rFonts w:ascii="Times New Roman" w:hAnsi="Times New Roman" w:cs="Times New Roman"/>
          <w:spacing w:val="-2"/>
          <w:sz w:val="24"/>
          <w:szCs w:val="24"/>
        </w:rPr>
        <w:t>Esclareça-se que, p</w:t>
      </w:r>
      <w:r w:rsidR="00A863EF" w:rsidRPr="00CC3052">
        <w:rPr>
          <w:rFonts w:ascii="Times New Roman" w:hAnsi="Times New Roman" w:cs="Times New Roman"/>
          <w:spacing w:val="-2"/>
          <w:sz w:val="24"/>
          <w:szCs w:val="24"/>
        </w:rPr>
        <w:t xml:space="preserve">ara seleção das amostras a serem analisadas nos testes de auditoria, adotou-se metodologia definida pela Associação Brasileira de Normas Técnicas (ABNT) nas </w:t>
      </w:r>
      <w:proofErr w:type="spellStart"/>
      <w:r w:rsidR="00A863EF" w:rsidRPr="00CC3052">
        <w:rPr>
          <w:rFonts w:ascii="Times New Roman" w:hAnsi="Times New Roman" w:cs="Times New Roman"/>
          <w:spacing w:val="-2"/>
          <w:sz w:val="24"/>
          <w:szCs w:val="24"/>
        </w:rPr>
        <w:t>NBRs</w:t>
      </w:r>
      <w:proofErr w:type="spellEnd"/>
      <w:r w:rsidR="00A863EF" w:rsidRPr="00CC3052">
        <w:rPr>
          <w:rFonts w:ascii="Times New Roman" w:hAnsi="Times New Roman" w:cs="Times New Roman"/>
          <w:spacing w:val="-2"/>
          <w:sz w:val="24"/>
          <w:szCs w:val="24"/>
        </w:rPr>
        <w:t xml:space="preserve"> nº 5426 e 5427, que fornecem instruções para aplicação e administração dos procedimentos de amostragem por atributos.</w:t>
      </w:r>
      <w:r w:rsidR="00A863EF" w:rsidRPr="003A74CE">
        <w:rPr>
          <w:rFonts w:ascii="Times New Roman" w:hAnsi="Times New Roman" w:cs="Times New Roman"/>
          <w:color w:val="0000CC"/>
          <w:spacing w:val="-2"/>
          <w:sz w:val="24"/>
          <w:szCs w:val="24"/>
        </w:rPr>
        <w:t xml:space="preserve"> </w:t>
      </w:r>
    </w:p>
    <w:p w:rsidR="00A863EF" w:rsidRPr="00CC3052" w:rsidRDefault="003A74CE" w:rsidP="00A863EF">
      <w:pPr>
        <w:pStyle w:val="TextosemFormatao"/>
        <w:numPr>
          <w:ilvl w:val="1"/>
          <w:numId w:val="1"/>
        </w:numPr>
        <w:spacing w:after="120"/>
        <w:ind w:left="426" w:hanging="426"/>
        <w:jc w:val="both"/>
        <w:rPr>
          <w:rFonts w:ascii="Times New Roman" w:hAnsi="Times New Roman" w:cs="Times New Roman"/>
          <w:spacing w:val="-4"/>
          <w:sz w:val="24"/>
          <w:szCs w:val="24"/>
        </w:rPr>
      </w:pPr>
      <w:r w:rsidRPr="00CC3052">
        <w:rPr>
          <w:rFonts w:ascii="Times New Roman" w:hAnsi="Times New Roman" w:cs="Times New Roman"/>
          <w:spacing w:val="-4"/>
          <w:sz w:val="24"/>
          <w:szCs w:val="24"/>
        </w:rPr>
        <w:t>Assim, e</w:t>
      </w:r>
      <w:r w:rsidR="00A863EF" w:rsidRPr="00CC3052">
        <w:rPr>
          <w:rFonts w:ascii="Times New Roman" w:hAnsi="Times New Roman" w:cs="Times New Roman"/>
          <w:spacing w:val="-4"/>
          <w:sz w:val="24"/>
          <w:szCs w:val="24"/>
        </w:rPr>
        <w:t>m consonância com a sequência de operações definida nos referidos normativ</w:t>
      </w:r>
      <w:r w:rsidRPr="00CC3052">
        <w:rPr>
          <w:rFonts w:ascii="Times New Roman" w:hAnsi="Times New Roman" w:cs="Times New Roman"/>
          <w:spacing w:val="-4"/>
          <w:sz w:val="24"/>
          <w:szCs w:val="24"/>
        </w:rPr>
        <w:t>os, realizou-se, inicialmente, a</w:t>
      </w:r>
      <w:r w:rsidR="00A863EF" w:rsidRPr="00CC3052">
        <w:rPr>
          <w:rFonts w:ascii="Times New Roman" w:hAnsi="Times New Roman" w:cs="Times New Roman"/>
          <w:spacing w:val="-4"/>
          <w:sz w:val="24"/>
          <w:szCs w:val="24"/>
        </w:rPr>
        <w:t xml:space="preserve"> delimitação dos tamanhos dos lotes ou universos amostrais</w:t>
      </w:r>
      <w:r w:rsidRPr="00CC3052">
        <w:rPr>
          <w:rFonts w:ascii="Times New Roman" w:hAnsi="Times New Roman" w:cs="Times New Roman"/>
          <w:spacing w:val="-4"/>
          <w:sz w:val="24"/>
          <w:szCs w:val="24"/>
        </w:rPr>
        <w:t xml:space="preserve"> a partir de informações fornecidas pela Seção de Banco de Dados (SEBDA) em resposta a requisitos fornecidos</w:t>
      </w:r>
      <w:r w:rsidR="00A863EF" w:rsidRPr="00CC3052">
        <w:rPr>
          <w:rFonts w:ascii="Times New Roman" w:hAnsi="Times New Roman" w:cs="Times New Roman"/>
          <w:spacing w:val="-4"/>
          <w:sz w:val="24"/>
          <w:szCs w:val="24"/>
        </w:rPr>
        <w:t>, seguida da definição do nível de inspeção</w:t>
      </w:r>
      <w:r w:rsidR="00A863EF" w:rsidRPr="00CC3052">
        <w:rPr>
          <w:rFonts w:ascii="Times New Roman" w:hAnsi="Times New Roman" w:cs="Times New Roman"/>
          <w:spacing w:val="-4"/>
          <w:sz w:val="24"/>
          <w:szCs w:val="24"/>
          <w:vertAlign w:val="superscript"/>
        </w:rPr>
        <w:footnoteReference w:id="1"/>
      </w:r>
      <w:r w:rsidR="00A863EF" w:rsidRPr="00CC3052">
        <w:rPr>
          <w:rFonts w:ascii="Times New Roman" w:hAnsi="Times New Roman" w:cs="Times New Roman"/>
          <w:spacing w:val="-4"/>
          <w:sz w:val="24"/>
          <w:szCs w:val="24"/>
        </w:rPr>
        <w:t xml:space="preserve"> a ser utilizado</w:t>
      </w:r>
      <w:r w:rsidRPr="00CC3052">
        <w:rPr>
          <w:rFonts w:ascii="Times New Roman" w:hAnsi="Times New Roman" w:cs="Times New Roman"/>
          <w:spacing w:val="-4"/>
          <w:sz w:val="24"/>
          <w:szCs w:val="24"/>
        </w:rPr>
        <w:t xml:space="preserve"> – geral II –</w:t>
      </w:r>
      <w:r w:rsidR="00A863EF" w:rsidRPr="00CC3052">
        <w:rPr>
          <w:rFonts w:ascii="Times New Roman" w:hAnsi="Times New Roman" w:cs="Times New Roman"/>
          <w:spacing w:val="-4"/>
          <w:sz w:val="24"/>
          <w:szCs w:val="24"/>
        </w:rPr>
        <w:t>, bem como da determinação dos códigos literais dos tamanhos das amostras e do plano de amostragem</w:t>
      </w:r>
      <w:r w:rsidR="00A863EF" w:rsidRPr="00CC3052">
        <w:rPr>
          <w:rFonts w:ascii="Times New Roman" w:hAnsi="Times New Roman" w:cs="Times New Roman"/>
          <w:spacing w:val="-4"/>
          <w:sz w:val="24"/>
          <w:szCs w:val="24"/>
          <w:vertAlign w:val="superscript"/>
        </w:rPr>
        <w:footnoteReference w:id="2"/>
      </w:r>
      <w:r w:rsidR="00A863EF" w:rsidRPr="00CC3052">
        <w:rPr>
          <w:rFonts w:ascii="Times New Roman" w:hAnsi="Times New Roman" w:cs="Times New Roman"/>
          <w:spacing w:val="-4"/>
          <w:sz w:val="24"/>
          <w:szCs w:val="24"/>
        </w:rPr>
        <w:t xml:space="preserve"> correspondente – simples –, que, por sua vez, remeteu aos quantitativos de registros a serem analisados</w:t>
      </w:r>
      <w:r w:rsidRPr="00CC3052">
        <w:rPr>
          <w:rFonts w:ascii="Times New Roman" w:hAnsi="Times New Roman" w:cs="Times New Roman"/>
          <w:spacing w:val="-4"/>
          <w:sz w:val="24"/>
          <w:szCs w:val="24"/>
        </w:rPr>
        <w:t>, consoante detalhamento consignado no Programa de Auditoria</w:t>
      </w:r>
      <w:r w:rsidR="00A863EF" w:rsidRPr="00CC3052">
        <w:rPr>
          <w:rFonts w:ascii="Times New Roman" w:hAnsi="Times New Roman" w:cs="Times New Roman"/>
          <w:spacing w:val="-4"/>
          <w:sz w:val="24"/>
          <w:szCs w:val="24"/>
        </w:rPr>
        <w:t>.</w:t>
      </w:r>
    </w:p>
    <w:p w:rsidR="003A74CE" w:rsidRPr="00A70B6D" w:rsidRDefault="003A74CE" w:rsidP="003A74CE">
      <w:pPr>
        <w:pStyle w:val="TextosemFormatao"/>
        <w:numPr>
          <w:ilvl w:val="1"/>
          <w:numId w:val="1"/>
        </w:numPr>
        <w:spacing w:after="120"/>
        <w:ind w:left="426" w:hanging="426"/>
        <w:jc w:val="both"/>
        <w:rPr>
          <w:rFonts w:ascii="Times New Roman" w:hAnsi="Times New Roman" w:cs="Times New Roman"/>
          <w:spacing w:val="-4"/>
          <w:sz w:val="24"/>
          <w:szCs w:val="24"/>
        </w:rPr>
      </w:pPr>
      <w:r>
        <w:rPr>
          <w:rFonts w:ascii="Times New Roman" w:hAnsi="Times New Roman" w:cs="Times New Roman"/>
          <w:sz w:val="24"/>
          <w:szCs w:val="24"/>
        </w:rPr>
        <w:lastRenderedPageBreak/>
        <w:t>Registre-se que a</w:t>
      </w:r>
      <w:r w:rsidR="005D3259" w:rsidRPr="003A74CE">
        <w:rPr>
          <w:rFonts w:ascii="Times New Roman" w:hAnsi="Times New Roman" w:cs="Times New Roman"/>
          <w:sz w:val="24"/>
          <w:szCs w:val="24"/>
        </w:rPr>
        <w:t xml:space="preserve"> Resolução Administrativa do TRE-BA nº 6, de </w:t>
      </w:r>
      <w:proofErr w:type="gramStart"/>
      <w:r w:rsidR="005D3259" w:rsidRPr="003A74CE">
        <w:rPr>
          <w:rFonts w:ascii="Times New Roman" w:hAnsi="Times New Roman" w:cs="Times New Roman"/>
          <w:sz w:val="24"/>
          <w:szCs w:val="24"/>
        </w:rPr>
        <w:t>4</w:t>
      </w:r>
      <w:proofErr w:type="gramEnd"/>
      <w:r w:rsidR="005D3259" w:rsidRPr="003A74CE">
        <w:rPr>
          <w:rFonts w:ascii="Times New Roman" w:hAnsi="Times New Roman" w:cs="Times New Roman"/>
          <w:sz w:val="24"/>
          <w:szCs w:val="24"/>
        </w:rPr>
        <w:t xml:space="preserve"> de maio de 2015, que regulamenta e estabelece as atividades de auditoria, inspeção administrativa e fiscalização, no âmbito da Secretaria do Tribunal e dos Cartórios das Zonas Eleitorais do Estado, e </w:t>
      </w:r>
      <w:r w:rsidR="00113123" w:rsidRPr="003A74CE">
        <w:rPr>
          <w:rFonts w:ascii="Times New Roman" w:hAnsi="Times New Roman" w:cs="Times New Roman"/>
          <w:sz w:val="24"/>
          <w:szCs w:val="24"/>
        </w:rPr>
        <w:t xml:space="preserve">o </w:t>
      </w:r>
      <w:r w:rsidR="005D3259" w:rsidRPr="003A74CE">
        <w:rPr>
          <w:rFonts w:ascii="Times New Roman" w:hAnsi="Times New Roman" w:cs="Times New Roman"/>
          <w:sz w:val="24"/>
          <w:szCs w:val="24"/>
        </w:rPr>
        <w:t>respectivo manual de procedimentos, aprovado por meio da Portaria da Presidência do TRE-BA nº</w:t>
      </w:r>
      <w:r w:rsidR="00523741" w:rsidRPr="003A74CE">
        <w:rPr>
          <w:rFonts w:ascii="Times New Roman" w:hAnsi="Times New Roman" w:cs="Times New Roman"/>
          <w:sz w:val="24"/>
          <w:szCs w:val="24"/>
        </w:rPr>
        <w:t xml:space="preserve"> 87, de 15 de fevereiro de 2016</w:t>
      </w:r>
      <w:r w:rsidR="00113123" w:rsidRPr="003A74CE">
        <w:rPr>
          <w:rFonts w:ascii="Times New Roman" w:hAnsi="Times New Roman" w:cs="Times New Roman"/>
          <w:sz w:val="24"/>
          <w:szCs w:val="24"/>
        </w:rPr>
        <w:t>,</w:t>
      </w:r>
      <w:r w:rsidR="00523741" w:rsidRPr="003A74CE">
        <w:rPr>
          <w:rFonts w:ascii="Times New Roman" w:hAnsi="Times New Roman" w:cs="Times New Roman"/>
          <w:sz w:val="24"/>
          <w:szCs w:val="24"/>
        </w:rPr>
        <w:t xml:space="preserve"> nortearam o desenvolvimento das atividades pertinentes</w:t>
      </w:r>
      <w:r w:rsidR="00113123" w:rsidRPr="003A74CE">
        <w:rPr>
          <w:rFonts w:ascii="Times New Roman" w:hAnsi="Times New Roman" w:cs="Times New Roman"/>
          <w:sz w:val="24"/>
          <w:szCs w:val="24"/>
        </w:rPr>
        <w:t>.</w:t>
      </w:r>
      <w:r w:rsidR="00523741" w:rsidRPr="003A74CE">
        <w:rPr>
          <w:rFonts w:ascii="Times New Roman" w:hAnsi="Times New Roman" w:cs="Times New Roman"/>
          <w:sz w:val="24"/>
          <w:szCs w:val="24"/>
        </w:rPr>
        <w:t xml:space="preserve"> </w:t>
      </w:r>
    </w:p>
    <w:p w:rsidR="005D3259" w:rsidRPr="00A70B6D" w:rsidRDefault="00523741" w:rsidP="003A74CE">
      <w:pPr>
        <w:pStyle w:val="TextosemFormatao"/>
        <w:numPr>
          <w:ilvl w:val="1"/>
          <w:numId w:val="1"/>
        </w:numPr>
        <w:spacing w:after="120"/>
        <w:ind w:left="426" w:hanging="426"/>
        <w:jc w:val="both"/>
        <w:rPr>
          <w:rFonts w:ascii="Times New Roman" w:hAnsi="Times New Roman" w:cs="Times New Roman"/>
          <w:spacing w:val="-4"/>
          <w:sz w:val="24"/>
          <w:szCs w:val="24"/>
        </w:rPr>
      </w:pPr>
      <w:r w:rsidRPr="00A70B6D">
        <w:rPr>
          <w:rFonts w:ascii="Times New Roman" w:hAnsi="Times New Roman" w:cs="Times New Roman"/>
          <w:sz w:val="24"/>
          <w:szCs w:val="24"/>
        </w:rPr>
        <w:t xml:space="preserve">Também orientaram </w:t>
      </w:r>
      <w:r w:rsidR="005D3259" w:rsidRPr="00A70B6D">
        <w:rPr>
          <w:rFonts w:ascii="Times New Roman" w:hAnsi="Times New Roman" w:cs="Times New Roman"/>
          <w:sz w:val="24"/>
          <w:szCs w:val="24"/>
        </w:rPr>
        <w:t>os trabalhos realizados pela equipe de auditoria designada, a Resolução do CNJ nº 171</w:t>
      </w:r>
      <w:r w:rsidR="005D5927" w:rsidRPr="00A70B6D">
        <w:rPr>
          <w:rFonts w:ascii="Times New Roman" w:hAnsi="Times New Roman" w:cs="Times New Roman"/>
          <w:sz w:val="24"/>
          <w:szCs w:val="24"/>
        </w:rPr>
        <w:t xml:space="preserve">, de 1° de março de </w:t>
      </w:r>
      <w:r w:rsidR="005D3259" w:rsidRPr="00A70B6D">
        <w:rPr>
          <w:rFonts w:ascii="Times New Roman" w:hAnsi="Times New Roman" w:cs="Times New Roman"/>
          <w:sz w:val="24"/>
          <w:szCs w:val="24"/>
        </w:rPr>
        <w:t xml:space="preserve">2013, que dispõe sobre normas técnicas de auditoria, inspeção administrativa e fiscalização, no âmbito do Poder Judiciário, e as normas de auditoria editadas pelo </w:t>
      </w:r>
      <w:r w:rsidR="00546A8C" w:rsidRPr="00A70B6D">
        <w:rPr>
          <w:rFonts w:ascii="Times New Roman" w:hAnsi="Times New Roman" w:cs="Times New Roman"/>
          <w:sz w:val="24"/>
          <w:szCs w:val="24"/>
        </w:rPr>
        <w:t>TCU</w:t>
      </w:r>
      <w:r w:rsidR="005D3259" w:rsidRPr="00A70B6D">
        <w:rPr>
          <w:rFonts w:ascii="Times New Roman" w:hAnsi="Times New Roman" w:cs="Times New Roman"/>
          <w:sz w:val="24"/>
          <w:szCs w:val="24"/>
        </w:rPr>
        <w:t xml:space="preserve"> (</w:t>
      </w:r>
      <w:proofErr w:type="spellStart"/>
      <w:r w:rsidR="005D3259" w:rsidRPr="00A70B6D">
        <w:rPr>
          <w:rFonts w:ascii="Times New Roman" w:hAnsi="Times New Roman" w:cs="Times New Roman"/>
          <w:sz w:val="24"/>
          <w:szCs w:val="24"/>
        </w:rPr>
        <w:t>NATs</w:t>
      </w:r>
      <w:proofErr w:type="spellEnd"/>
      <w:r w:rsidR="005D3259" w:rsidRPr="00A70B6D">
        <w:rPr>
          <w:rFonts w:ascii="Times New Roman" w:hAnsi="Times New Roman" w:cs="Times New Roman"/>
          <w:sz w:val="24"/>
          <w:szCs w:val="24"/>
        </w:rPr>
        <w:t xml:space="preserve">) – Portaria TCU nº 280, de </w:t>
      </w:r>
      <w:proofErr w:type="gramStart"/>
      <w:r w:rsidR="005D3259" w:rsidRPr="00A70B6D">
        <w:rPr>
          <w:rFonts w:ascii="Times New Roman" w:hAnsi="Times New Roman" w:cs="Times New Roman"/>
          <w:sz w:val="24"/>
          <w:szCs w:val="24"/>
        </w:rPr>
        <w:t>8</w:t>
      </w:r>
      <w:proofErr w:type="gramEnd"/>
      <w:r w:rsidR="005D3259" w:rsidRPr="00A70B6D">
        <w:rPr>
          <w:rFonts w:ascii="Times New Roman" w:hAnsi="Times New Roman" w:cs="Times New Roman"/>
          <w:sz w:val="24"/>
          <w:szCs w:val="24"/>
        </w:rPr>
        <w:t xml:space="preserve"> de dezembro de 2010, alterada pela Portaria TCU nº 168, de 30 de junho de 2011</w:t>
      </w:r>
      <w:r w:rsidR="005D5927" w:rsidRPr="00A70B6D">
        <w:rPr>
          <w:rFonts w:ascii="Times New Roman" w:hAnsi="Times New Roman" w:cs="Times New Roman"/>
          <w:sz w:val="24"/>
          <w:szCs w:val="24"/>
        </w:rPr>
        <w:t>. As</w:t>
      </w:r>
      <w:r w:rsidR="005D3259" w:rsidRPr="00A70B6D">
        <w:rPr>
          <w:rFonts w:ascii="Times New Roman" w:hAnsi="Times New Roman" w:cs="Times New Roman"/>
          <w:sz w:val="24"/>
          <w:szCs w:val="24"/>
        </w:rPr>
        <w:t xml:space="preserve"> Normas Internacionais para a Prática Profissional de Auditoria Interna</w:t>
      </w:r>
      <w:r w:rsidR="005D5927" w:rsidRPr="00A70B6D">
        <w:rPr>
          <w:rFonts w:ascii="Times New Roman" w:hAnsi="Times New Roman" w:cs="Times New Roman"/>
          <w:sz w:val="24"/>
          <w:szCs w:val="24"/>
        </w:rPr>
        <w:t xml:space="preserve"> (IPPF)</w:t>
      </w:r>
      <w:r w:rsidR="005D3259" w:rsidRPr="00A70B6D">
        <w:rPr>
          <w:rFonts w:ascii="Times New Roman" w:hAnsi="Times New Roman" w:cs="Times New Roman"/>
          <w:sz w:val="24"/>
          <w:szCs w:val="24"/>
        </w:rPr>
        <w:t xml:space="preserve">, editadas pelo Instituto de Auditores Internos (IIA), </w:t>
      </w:r>
      <w:r w:rsidR="00143A29" w:rsidRPr="00A70B6D">
        <w:rPr>
          <w:rFonts w:ascii="Times New Roman" w:hAnsi="Times New Roman" w:cs="Times New Roman"/>
          <w:sz w:val="24"/>
          <w:szCs w:val="24"/>
        </w:rPr>
        <w:t>nortearam, também, as atividades desenvolvidas</w:t>
      </w:r>
      <w:r w:rsidR="005D3259" w:rsidRPr="00A70B6D">
        <w:rPr>
          <w:rFonts w:ascii="Times New Roman" w:hAnsi="Times New Roman" w:cs="Times New Roman"/>
          <w:sz w:val="24"/>
          <w:szCs w:val="24"/>
        </w:rPr>
        <w:t>.</w:t>
      </w:r>
    </w:p>
    <w:p w:rsidR="003A74CE" w:rsidRPr="00BE0BB1" w:rsidRDefault="003A74CE" w:rsidP="003A74CE">
      <w:pPr>
        <w:pStyle w:val="TextosemFormatao"/>
        <w:numPr>
          <w:ilvl w:val="1"/>
          <w:numId w:val="1"/>
        </w:numPr>
        <w:spacing w:after="120"/>
        <w:ind w:left="426" w:hanging="568"/>
        <w:jc w:val="both"/>
        <w:rPr>
          <w:rFonts w:ascii="Times New Roman" w:hAnsi="Times New Roman" w:cs="Times New Roman"/>
          <w:color w:val="000000" w:themeColor="text1"/>
          <w:sz w:val="24"/>
          <w:szCs w:val="24"/>
        </w:rPr>
      </w:pPr>
      <w:r w:rsidRPr="00BE0BB1">
        <w:rPr>
          <w:rFonts w:ascii="Times New Roman" w:hAnsi="Times New Roman" w:cs="Times New Roman"/>
          <w:sz w:val="24"/>
          <w:szCs w:val="24"/>
        </w:rPr>
        <w:t xml:space="preserve">Esclareça-se que nenhuma limitação foi imposta à execução dos trabalhos da presente auditoria. </w:t>
      </w:r>
    </w:p>
    <w:p w:rsidR="00546A8C" w:rsidRPr="008A572D" w:rsidRDefault="0054099A" w:rsidP="008A572D">
      <w:pPr>
        <w:pStyle w:val="TextosemFormatao"/>
        <w:numPr>
          <w:ilvl w:val="1"/>
          <w:numId w:val="1"/>
        </w:numPr>
        <w:spacing w:after="120"/>
        <w:ind w:left="426" w:hanging="568"/>
        <w:jc w:val="both"/>
        <w:rPr>
          <w:rFonts w:ascii="Times New Roman" w:hAnsi="Times New Roman" w:cs="Times New Roman"/>
          <w:color w:val="000000" w:themeColor="text1"/>
          <w:sz w:val="24"/>
          <w:szCs w:val="24"/>
        </w:rPr>
      </w:pPr>
      <w:r w:rsidRPr="008A572D">
        <w:rPr>
          <w:rFonts w:ascii="Times New Roman" w:hAnsi="Times New Roman" w:cs="Times New Roman"/>
          <w:sz w:val="24"/>
          <w:szCs w:val="24"/>
        </w:rPr>
        <w:t>Inobstante</w:t>
      </w:r>
      <w:r w:rsidR="00F94DC9" w:rsidRPr="008A572D">
        <w:rPr>
          <w:rFonts w:ascii="Times New Roman" w:hAnsi="Times New Roman" w:cs="Times New Roman"/>
          <w:sz w:val="24"/>
          <w:szCs w:val="24"/>
        </w:rPr>
        <w:t xml:space="preserve"> </w:t>
      </w:r>
      <w:r w:rsidR="00FD6A0C" w:rsidRPr="008A572D">
        <w:rPr>
          <w:rFonts w:ascii="Times New Roman" w:hAnsi="Times New Roman" w:cs="Times New Roman"/>
          <w:sz w:val="24"/>
          <w:szCs w:val="24"/>
        </w:rPr>
        <w:t xml:space="preserve">a já verificada </w:t>
      </w:r>
      <w:r w:rsidR="0042289B" w:rsidRPr="008A572D">
        <w:rPr>
          <w:rFonts w:ascii="Times New Roman" w:hAnsi="Times New Roman" w:cs="Times New Roman"/>
          <w:sz w:val="24"/>
          <w:szCs w:val="24"/>
        </w:rPr>
        <w:t>carên</w:t>
      </w:r>
      <w:r w:rsidR="00F94DC9" w:rsidRPr="008A572D">
        <w:rPr>
          <w:rFonts w:ascii="Times New Roman" w:hAnsi="Times New Roman" w:cs="Times New Roman"/>
          <w:sz w:val="24"/>
          <w:szCs w:val="24"/>
        </w:rPr>
        <w:t>cia do gerenciamento de riscos e instituição de controles internos, no âmbito deste Regional, espera-se que</w:t>
      </w:r>
      <w:r w:rsidRPr="008A572D">
        <w:rPr>
          <w:rFonts w:ascii="Times New Roman" w:hAnsi="Times New Roman" w:cs="Times New Roman"/>
          <w:sz w:val="24"/>
          <w:szCs w:val="24"/>
        </w:rPr>
        <w:t xml:space="preserve"> </w:t>
      </w:r>
      <w:r w:rsidR="00F94DC9" w:rsidRPr="008A572D">
        <w:rPr>
          <w:rFonts w:ascii="Times New Roman" w:hAnsi="Times New Roman" w:cs="Times New Roman"/>
          <w:sz w:val="24"/>
          <w:szCs w:val="24"/>
        </w:rPr>
        <w:t xml:space="preserve">a </w:t>
      </w:r>
      <w:r w:rsidRPr="008A572D">
        <w:rPr>
          <w:rFonts w:ascii="Times New Roman" w:hAnsi="Times New Roman" w:cs="Times New Roman"/>
          <w:sz w:val="24"/>
          <w:szCs w:val="24"/>
        </w:rPr>
        <w:t>apresentação</w:t>
      </w:r>
      <w:r w:rsidR="00F94DC9" w:rsidRPr="008A572D">
        <w:rPr>
          <w:rFonts w:ascii="Times New Roman" w:hAnsi="Times New Roman" w:cs="Times New Roman"/>
          <w:sz w:val="24"/>
          <w:szCs w:val="24"/>
        </w:rPr>
        <w:t xml:space="preserve"> d</w:t>
      </w:r>
      <w:r w:rsidRPr="008A572D">
        <w:rPr>
          <w:rFonts w:ascii="Times New Roman" w:hAnsi="Times New Roman" w:cs="Times New Roman"/>
          <w:sz w:val="24"/>
          <w:szCs w:val="24"/>
        </w:rPr>
        <w:t>o</w:t>
      </w:r>
      <w:r w:rsidR="00F94DC9" w:rsidRPr="008A572D">
        <w:rPr>
          <w:rFonts w:ascii="Times New Roman" w:hAnsi="Times New Roman" w:cs="Times New Roman"/>
          <w:sz w:val="24"/>
          <w:szCs w:val="24"/>
        </w:rPr>
        <w:t xml:space="preserve"> presente </w:t>
      </w:r>
      <w:r w:rsidRPr="008A572D">
        <w:rPr>
          <w:rFonts w:ascii="Times New Roman" w:hAnsi="Times New Roman" w:cs="Times New Roman"/>
          <w:sz w:val="24"/>
          <w:szCs w:val="24"/>
        </w:rPr>
        <w:t>relatório</w:t>
      </w:r>
      <w:r w:rsidR="001E4675" w:rsidRPr="008A572D">
        <w:rPr>
          <w:rFonts w:ascii="Times New Roman" w:hAnsi="Times New Roman" w:cs="Times New Roman"/>
          <w:sz w:val="24"/>
          <w:szCs w:val="24"/>
        </w:rPr>
        <w:t xml:space="preserve"> auxilie</w:t>
      </w:r>
      <w:r w:rsidRPr="008A572D">
        <w:rPr>
          <w:rFonts w:ascii="Times New Roman" w:hAnsi="Times New Roman" w:cs="Times New Roman"/>
          <w:sz w:val="24"/>
          <w:szCs w:val="24"/>
        </w:rPr>
        <w:t xml:space="preserve"> </w:t>
      </w:r>
      <w:r w:rsidR="00196096" w:rsidRPr="008A572D">
        <w:rPr>
          <w:rFonts w:ascii="Times New Roman" w:hAnsi="Times New Roman" w:cs="Times New Roman"/>
          <w:sz w:val="24"/>
          <w:szCs w:val="24"/>
        </w:rPr>
        <w:t xml:space="preserve">o TRE-BA </w:t>
      </w:r>
      <w:r w:rsidR="001E4675" w:rsidRPr="008A572D">
        <w:rPr>
          <w:rFonts w:ascii="Times New Roman" w:hAnsi="Times New Roman" w:cs="Times New Roman"/>
          <w:sz w:val="24"/>
          <w:szCs w:val="24"/>
        </w:rPr>
        <w:t xml:space="preserve">no aperfeiçoamento </w:t>
      </w:r>
      <w:r w:rsidR="002E2CCA" w:rsidRPr="008A572D">
        <w:rPr>
          <w:rFonts w:ascii="Times New Roman" w:hAnsi="Times New Roman" w:cs="Times New Roman"/>
          <w:sz w:val="24"/>
          <w:szCs w:val="24"/>
        </w:rPr>
        <w:t xml:space="preserve">do processo de dimensionamento da força de trabalho </w:t>
      </w:r>
      <w:r w:rsidRPr="008A572D">
        <w:rPr>
          <w:rFonts w:ascii="Times New Roman" w:hAnsi="Times New Roman" w:cs="Times New Roman"/>
          <w:sz w:val="24"/>
          <w:szCs w:val="24"/>
        </w:rPr>
        <w:t xml:space="preserve">e </w:t>
      </w:r>
      <w:r w:rsidR="001E4675" w:rsidRPr="008A572D">
        <w:rPr>
          <w:rFonts w:ascii="Times New Roman" w:hAnsi="Times New Roman" w:cs="Times New Roman"/>
          <w:sz w:val="24"/>
          <w:szCs w:val="24"/>
        </w:rPr>
        <w:t>instituição ou aprimoramento d</w:t>
      </w:r>
      <w:r w:rsidRPr="008A572D">
        <w:rPr>
          <w:rFonts w:ascii="Times New Roman" w:hAnsi="Times New Roman" w:cs="Times New Roman"/>
          <w:sz w:val="24"/>
          <w:szCs w:val="24"/>
        </w:rPr>
        <w:t>as respectivas sistemática</w:t>
      </w:r>
      <w:r w:rsidR="00F668EF" w:rsidRPr="008A572D">
        <w:rPr>
          <w:rFonts w:ascii="Times New Roman" w:hAnsi="Times New Roman" w:cs="Times New Roman"/>
          <w:sz w:val="24"/>
          <w:szCs w:val="24"/>
        </w:rPr>
        <w:t>s</w:t>
      </w:r>
      <w:r w:rsidRPr="008A572D">
        <w:rPr>
          <w:rFonts w:ascii="Times New Roman" w:hAnsi="Times New Roman" w:cs="Times New Roman"/>
          <w:sz w:val="24"/>
          <w:szCs w:val="24"/>
        </w:rPr>
        <w:t xml:space="preserve"> de controle</w:t>
      </w:r>
      <w:r w:rsidR="00FD6A0C" w:rsidRPr="008A572D">
        <w:rPr>
          <w:rFonts w:ascii="Times New Roman" w:hAnsi="Times New Roman" w:cs="Times New Roman"/>
          <w:sz w:val="24"/>
          <w:szCs w:val="24"/>
        </w:rPr>
        <w:t xml:space="preserve">, </w:t>
      </w:r>
      <w:r w:rsidR="00546A8C" w:rsidRPr="008A572D">
        <w:rPr>
          <w:rFonts w:ascii="Times New Roman" w:hAnsi="Times New Roman" w:cs="Times New Roman"/>
          <w:sz w:val="24"/>
          <w:szCs w:val="24"/>
        </w:rPr>
        <w:t xml:space="preserve">a fim de assegurar maior conformidade, eficiência, eficácia, economicidade e transparência à gestão, maximizando, assim, o desempenho da referida área, estratégica para a concretização da missão e </w:t>
      </w:r>
      <w:proofErr w:type="gramStart"/>
      <w:r w:rsidR="00546A8C" w:rsidRPr="008A572D">
        <w:rPr>
          <w:rFonts w:ascii="Times New Roman" w:hAnsi="Times New Roman" w:cs="Times New Roman"/>
          <w:sz w:val="24"/>
          <w:szCs w:val="24"/>
        </w:rPr>
        <w:t>o alcance da visão de futuro organizacionais</w:t>
      </w:r>
      <w:proofErr w:type="gramEnd"/>
      <w:r w:rsidR="00546A8C" w:rsidRPr="008A572D">
        <w:rPr>
          <w:rFonts w:ascii="Times New Roman" w:hAnsi="Times New Roman" w:cs="Times New Roman"/>
          <w:sz w:val="24"/>
          <w:szCs w:val="24"/>
        </w:rPr>
        <w:t>.</w:t>
      </w:r>
    </w:p>
    <w:p w:rsidR="000E2E3C" w:rsidRPr="00F608EB" w:rsidRDefault="000E2E3C" w:rsidP="000E2E3C">
      <w:pPr>
        <w:pStyle w:val="PargrafodaLista"/>
        <w:spacing w:after="240"/>
        <w:ind w:left="357" w:hanging="357"/>
        <w:rPr>
          <w:sz w:val="24"/>
          <w:szCs w:val="24"/>
        </w:rPr>
      </w:pPr>
      <w:bookmarkStart w:id="28" w:name="_Toc520405199"/>
      <w:r w:rsidRPr="00F608EB">
        <w:rPr>
          <w:sz w:val="24"/>
          <w:szCs w:val="24"/>
        </w:rPr>
        <w:t>BOAS PRÁTICAS DE GESTÃO</w:t>
      </w:r>
      <w:bookmarkEnd w:id="28"/>
    </w:p>
    <w:p w:rsidR="00F16B86" w:rsidRPr="003A74CE" w:rsidRDefault="000E2E3C" w:rsidP="003A74CE">
      <w:pPr>
        <w:pStyle w:val="TextosemFormatao"/>
        <w:numPr>
          <w:ilvl w:val="1"/>
          <w:numId w:val="1"/>
        </w:numPr>
        <w:spacing w:after="120"/>
        <w:ind w:left="426" w:hanging="426"/>
        <w:jc w:val="both"/>
        <w:rPr>
          <w:rFonts w:ascii="Times New Roman" w:hAnsi="Times New Roman" w:cs="Times New Roman"/>
          <w:sz w:val="24"/>
          <w:szCs w:val="24"/>
        </w:rPr>
      </w:pPr>
      <w:r w:rsidRPr="00F16B86">
        <w:rPr>
          <w:rFonts w:ascii="Times New Roman" w:hAnsi="Times New Roman" w:cs="Times New Roman"/>
          <w:sz w:val="24"/>
          <w:szCs w:val="24"/>
        </w:rPr>
        <w:t>A análise do conjunto probatório reunido ao longo da execução do presente proce</w:t>
      </w:r>
      <w:r w:rsidR="002E2CCA" w:rsidRPr="00F16B86">
        <w:rPr>
          <w:rFonts w:ascii="Times New Roman" w:hAnsi="Times New Roman" w:cs="Times New Roman"/>
          <w:sz w:val="24"/>
          <w:szCs w:val="24"/>
        </w:rPr>
        <w:t>dimento de auditoria evidenciou</w:t>
      </w:r>
      <w:r w:rsidRPr="00F16B86">
        <w:rPr>
          <w:rFonts w:ascii="Times New Roman" w:hAnsi="Times New Roman" w:cs="Times New Roman"/>
          <w:sz w:val="24"/>
          <w:szCs w:val="24"/>
        </w:rPr>
        <w:t xml:space="preserve"> </w:t>
      </w:r>
      <w:r w:rsidR="003A74CE" w:rsidRPr="00CC3052">
        <w:rPr>
          <w:rFonts w:ascii="Times New Roman" w:hAnsi="Times New Roman" w:cs="Times New Roman"/>
          <w:sz w:val="24"/>
          <w:szCs w:val="24"/>
        </w:rPr>
        <w:t xml:space="preserve">a adoção de </w:t>
      </w:r>
      <w:r w:rsidRPr="00F16B86">
        <w:rPr>
          <w:rFonts w:ascii="Times New Roman" w:hAnsi="Times New Roman" w:cs="Times New Roman"/>
          <w:sz w:val="24"/>
          <w:szCs w:val="24"/>
        </w:rPr>
        <w:t>boas práticas</w:t>
      </w:r>
      <w:r w:rsidR="002E2CCA" w:rsidRPr="00F16B86">
        <w:rPr>
          <w:rFonts w:ascii="Times New Roman" w:hAnsi="Times New Roman" w:cs="Times New Roman"/>
          <w:sz w:val="24"/>
          <w:szCs w:val="24"/>
        </w:rPr>
        <w:t xml:space="preserve"> de gestão, merecendo destaque</w:t>
      </w:r>
      <w:r w:rsidR="00F16B86">
        <w:rPr>
          <w:rFonts w:ascii="Times New Roman" w:hAnsi="Times New Roman" w:cs="Times New Roman"/>
          <w:sz w:val="24"/>
          <w:szCs w:val="24"/>
        </w:rPr>
        <w:t>:</w:t>
      </w:r>
    </w:p>
    <w:p w:rsidR="00F16B86" w:rsidRPr="00DA5F63" w:rsidRDefault="00DA5F63" w:rsidP="00C44DFA">
      <w:pPr>
        <w:numPr>
          <w:ilvl w:val="2"/>
          <w:numId w:val="1"/>
        </w:numPr>
        <w:spacing w:after="120" w:line="240" w:lineRule="auto"/>
        <w:jc w:val="both"/>
        <w:rPr>
          <w:rFonts w:ascii="Times New Roman" w:hAnsi="Times New Roman" w:cs="Times New Roman"/>
          <w:spacing w:val="-4"/>
          <w:sz w:val="24"/>
          <w:szCs w:val="24"/>
        </w:rPr>
      </w:pPr>
      <w:r w:rsidRPr="00DA5F63">
        <w:rPr>
          <w:rFonts w:ascii="Times New Roman" w:hAnsi="Times New Roman" w:cs="Times New Roman"/>
          <w:spacing w:val="-4"/>
          <w:sz w:val="24"/>
          <w:szCs w:val="24"/>
        </w:rPr>
        <w:t>P</w:t>
      </w:r>
      <w:r w:rsidR="00685AC3" w:rsidRPr="00DA5F63">
        <w:rPr>
          <w:rFonts w:ascii="Times New Roman" w:hAnsi="Times New Roman" w:cs="Times New Roman"/>
          <w:spacing w:val="-4"/>
          <w:sz w:val="24"/>
          <w:szCs w:val="24"/>
        </w:rPr>
        <w:t>rojeto estratégico de Dimens</w:t>
      </w:r>
      <w:r w:rsidR="00E84D43" w:rsidRPr="00DA5F63">
        <w:rPr>
          <w:rFonts w:ascii="Times New Roman" w:hAnsi="Times New Roman" w:cs="Times New Roman"/>
          <w:spacing w:val="-4"/>
          <w:sz w:val="24"/>
          <w:szCs w:val="24"/>
        </w:rPr>
        <w:t xml:space="preserve">ionamento da Força de Trabalho - </w:t>
      </w:r>
      <w:r w:rsidR="00685AC3" w:rsidRPr="00DA5F63">
        <w:rPr>
          <w:rFonts w:ascii="Times New Roman" w:hAnsi="Times New Roman" w:cs="Times New Roman"/>
          <w:spacing w:val="-4"/>
          <w:sz w:val="24"/>
          <w:szCs w:val="24"/>
        </w:rPr>
        <w:t>DFT</w:t>
      </w:r>
      <w:r w:rsidR="00E84D43" w:rsidRPr="00DA5F63">
        <w:rPr>
          <w:rFonts w:ascii="Times New Roman" w:hAnsi="Times New Roman" w:cs="Times New Roman"/>
          <w:spacing w:val="-4"/>
          <w:sz w:val="24"/>
          <w:szCs w:val="24"/>
        </w:rPr>
        <w:t xml:space="preserve"> - (PAD 13.718/2016) que objetiva</w:t>
      </w:r>
      <w:r w:rsidRPr="00DA5F63">
        <w:rPr>
          <w:rFonts w:ascii="Times New Roman" w:hAnsi="Times New Roman" w:cs="Times New Roman"/>
          <w:spacing w:val="-4"/>
          <w:sz w:val="24"/>
          <w:szCs w:val="24"/>
        </w:rPr>
        <w:t>:</w:t>
      </w:r>
      <w:r w:rsidR="00685AC3" w:rsidRPr="00DA5F63">
        <w:rPr>
          <w:rFonts w:ascii="Times New Roman" w:hAnsi="Times New Roman" w:cs="Times New Roman"/>
          <w:spacing w:val="-4"/>
          <w:sz w:val="24"/>
          <w:szCs w:val="24"/>
        </w:rPr>
        <w:t xml:space="preserve"> </w:t>
      </w:r>
      <w:r w:rsidR="00C44DFA" w:rsidRPr="00DA5F63">
        <w:rPr>
          <w:rFonts w:ascii="Times New Roman" w:hAnsi="Times New Roman" w:cs="Times New Roman"/>
          <w:spacing w:val="-4"/>
          <w:sz w:val="24"/>
          <w:szCs w:val="24"/>
        </w:rPr>
        <w:t xml:space="preserve">a priorização da conclusão de estudos sobre a definição do quantitativo ideal de servidores para cada unidade do Tribunal, de forma a permitir a definição de estratégias de gestão de </w:t>
      </w:r>
      <w:r w:rsidR="00E84D43" w:rsidRPr="00DA5F63">
        <w:rPr>
          <w:rFonts w:ascii="Times New Roman" w:hAnsi="Times New Roman" w:cs="Times New Roman"/>
          <w:spacing w:val="-4"/>
          <w:sz w:val="24"/>
          <w:szCs w:val="24"/>
        </w:rPr>
        <w:t>pessoas;</w:t>
      </w:r>
      <w:r w:rsidR="00C44DFA" w:rsidRPr="00DA5F63">
        <w:rPr>
          <w:rFonts w:ascii="Times New Roman" w:hAnsi="Times New Roman" w:cs="Times New Roman"/>
          <w:spacing w:val="-4"/>
          <w:sz w:val="24"/>
          <w:szCs w:val="24"/>
        </w:rPr>
        <w:t xml:space="preserve"> a adoção de medidas para assegurar a realização periódica de estudos de dimensionamento da força de trabalho para </w:t>
      </w:r>
      <w:r w:rsidRPr="00DA5F63">
        <w:rPr>
          <w:rFonts w:ascii="Times New Roman" w:hAnsi="Times New Roman" w:cs="Times New Roman"/>
          <w:spacing w:val="-4"/>
          <w:sz w:val="24"/>
          <w:szCs w:val="24"/>
        </w:rPr>
        <w:t>todo o Ó</w:t>
      </w:r>
      <w:r w:rsidR="00C44DFA" w:rsidRPr="00DA5F63">
        <w:rPr>
          <w:rFonts w:ascii="Times New Roman" w:hAnsi="Times New Roman" w:cs="Times New Roman"/>
          <w:spacing w:val="-4"/>
          <w:sz w:val="24"/>
          <w:szCs w:val="24"/>
        </w:rPr>
        <w:t>rgão, levando em consideração a projeção de necessidades futuras; bem como a fundamentação, baseada em critérios técnicos, das decisões relativas a quantitativo, perfil, alocação inicial e movimentação da força de trabalho e ainda a definição e monitoramento periódico das informações sobre a força de trabalho, t</w:t>
      </w:r>
      <w:r w:rsidR="00685AC3" w:rsidRPr="00DA5F63">
        <w:rPr>
          <w:rFonts w:ascii="Times New Roman" w:hAnsi="Times New Roman" w:cs="Times New Roman"/>
          <w:spacing w:val="-4"/>
          <w:sz w:val="24"/>
          <w:szCs w:val="24"/>
        </w:rPr>
        <w:t>endo sido dimensionada a força de trabalho da SGP e da COPEG, em 2016/2017, e SOF e SGA, em 2017/2018.</w:t>
      </w:r>
    </w:p>
    <w:p w:rsidR="00E84D43" w:rsidRPr="00CC3052" w:rsidRDefault="00F16B86" w:rsidP="00002F1E">
      <w:pPr>
        <w:numPr>
          <w:ilvl w:val="2"/>
          <w:numId w:val="1"/>
        </w:numPr>
        <w:spacing w:after="120" w:line="240" w:lineRule="auto"/>
        <w:jc w:val="both"/>
        <w:rPr>
          <w:rFonts w:ascii="Times New Roman" w:hAnsi="Times New Roman" w:cs="Times New Roman"/>
          <w:sz w:val="24"/>
          <w:szCs w:val="24"/>
        </w:rPr>
      </w:pPr>
      <w:r w:rsidRPr="00A77084">
        <w:rPr>
          <w:rFonts w:ascii="Times New Roman" w:hAnsi="Times New Roman" w:cs="Times New Roman"/>
          <w:sz w:val="24"/>
          <w:szCs w:val="24"/>
        </w:rPr>
        <w:t xml:space="preserve">Projeto </w:t>
      </w:r>
      <w:r w:rsidR="00DA5F63" w:rsidRPr="00CC3052">
        <w:rPr>
          <w:rFonts w:ascii="Times New Roman" w:hAnsi="Times New Roman" w:cs="Times New Roman"/>
          <w:sz w:val="24"/>
          <w:szCs w:val="24"/>
        </w:rPr>
        <w:t>estratégico</w:t>
      </w:r>
      <w:r w:rsidR="00DA5F63">
        <w:rPr>
          <w:rFonts w:ascii="Times New Roman" w:hAnsi="Times New Roman" w:cs="Times New Roman"/>
          <w:sz w:val="24"/>
          <w:szCs w:val="24"/>
        </w:rPr>
        <w:t xml:space="preserve"> </w:t>
      </w:r>
      <w:r w:rsidRPr="00A77084">
        <w:rPr>
          <w:rFonts w:ascii="Times New Roman" w:hAnsi="Times New Roman" w:cs="Times New Roman"/>
          <w:sz w:val="24"/>
          <w:szCs w:val="24"/>
        </w:rPr>
        <w:t xml:space="preserve">Gestão por Competências </w:t>
      </w:r>
      <w:r w:rsidR="00002F1E" w:rsidRPr="00A77084">
        <w:rPr>
          <w:rFonts w:ascii="Times New Roman" w:hAnsi="Times New Roman" w:cs="Times New Roman"/>
          <w:sz w:val="24"/>
          <w:szCs w:val="24"/>
        </w:rPr>
        <w:t>- 2016/</w:t>
      </w:r>
      <w:r w:rsidRPr="00A77084">
        <w:rPr>
          <w:rFonts w:ascii="Times New Roman" w:hAnsi="Times New Roman" w:cs="Times New Roman"/>
          <w:sz w:val="24"/>
          <w:szCs w:val="24"/>
        </w:rPr>
        <w:t>2021</w:t>
      </w:r>
      <w:r w:rsidR="00002F1E" w:rsidRPr="00A77084">
        <w:rPr>
          <w:rFonts w:ascii="Times New Roman" w:hAnsi="Times New Roman" w:cs="Times New Roman"/>
          <w:sz w:val="24"/>
          <w:szCs w:val="24"/>
        </w:rPr>
        <w:t xml:space="preserve">- (PAD nº 10.701/2017) </w:t>
      </w:r>
      <w:r w:rsidR="00DA5F63" w:rsidRPr="00CC3052">
        <w:rPr>
          <w:rFonts w:ascii="Times New Roman" w:hAnsi="Times New Roman" w:cs="Times New Roman"/>
          <w:sz w:val="24"/>
          <w:szCs w:val="24"/>
        </w:rPr>
        <w:t>que objetiva mapear as competências necessárias à asseguração das entregas das unidades do Tribunal;</w:t>
      </w:r>
    </w:p>
    <w:p w:rsidR="0098370B" w:rsidRPr="00A77084" w:rsidRDefault="0098370B" w:rsidP="0098370B">
      <w:pPr>
        <w:numPr>
          <w:ilvl w:val="2"/>
          <w:numId w:val="1"/>
        </w:numPr>
        <w:spacing w:after="120" w:line="240" w:lineRule="auto"/>
        <w:jc w:val="both"/>
        <w:rPr>
          <w:rFonts w:ascii="Times New Roman" w:hAnsi="Times New Roman" w:cs="Times New Roman"/>
          <w:sz w:val="24"/>
          <w:szCs w:val="24"/>
        </w:rPr>
      </w:pPr>
      <w:r w:rsidRPr="00A77084">
        <w:rPr>
          <w:rFonts w:ascii="Times New Roman" w:hAnsi="Times New Roman" w:cs="Times New Roman"/>
          <w:sz w:val="24"/>
          <w:szCs w:val="24"/>
        </w:rPr>
        <w:t>P</w:t>
      </w:r>
      <w:r>
        <w:rPr>
          <w:rFonts w:ascii="Times New Roman" w:hAnsi="Times New Roman" w:cs="Times New Roman"/>
          <w:sz w:val="24"/>
          <w:szCs w:val="24"/>
        </w:rPr>
        <w:t xml:space="preserve">rojeto Movimentar, </w:t>
      </w:r>
      <w:proofErr w:type="gramStart"/>
      <w:r>
        <w:rPr>
          <w:rFonts w:ascii="Times New Roman" w:hAnsi="Times New Roman" w:cs="Times New Roman"/>
          <w:sz w:val="24"/>
          <w:szCs w:val="24"/>
        </w:rPr>
        <w:t>implementado</w:t>
      </w:r>
      <w:proofErr w:type="gramEnd"/>
      <w:r>
        <w:rPr>
          <w:rFonts w:ascii="Times New Roman" w:hAnsi="Times New Roman" w:cs="Times New Roman"/>
          <w:sz w:val="24"/>
          <w:szCs w:val="24"/>
        </w:rPr>
        <w:t xml:space="preserve"> </w:t>
      </w:r>
      <w:r w:rsidRPr="00A77084">
        <w:rPr>
          <w:rFonts w:ascii="Times New Roman" w:hAnsi="Times New Roman" w:cs="Times New Roman"/>
          <w:sz w:val="24"/>
          <w:szCs w:val="24"/>
        </w:rPr>
        <w:t xml:space="preserve">em 2017, para </w:t>
      </w:r>
      <w:r>
        <w:rPr>
          <w:rFonts w:ascii="Times New Roman" w:hAnsi="Times New Roman" w:cs="Times New Roman"/>
          <w:sz w:val="24"/>
          <w:szCs w:val="24"/>
        </w:rPr>
        <w:t xml:space="preserve">suprir a carência de servidores nas áreas por meio de um critério de </w:t>
      </w:r>
      <w:r w:rsidRPr="00A77084">
        <w:rPr>
          <w:rFonts w:ascii="Times New Roman" w:hAnsi="Times New Roman" w:cs="Times New Roman"/>
          <w:sz w:val="24"/>
          <w:szCs w:val="24"/>
        </w:rPr>
        <w:t>lotação</w:t>
      </w:r>
      <w:r>
        <w:rPr>
          <w:rFonts w:ascii="Times New Roman" w:hAnsi="Times New Roman" w:cs="Times New Roman"/>
          <w:sz w:val="24"/>
          <w:szCs w:val="24"/>
        </w:rPr>
        <w:t xml:space="preserve"> que compatibiliza </w:t>
      </w:r>
      <w:r w:rsidRPr="00A77084">
        <w:rPr>
          <w:rFonts w:ascii="Times New Roman" w:hAnsi="Times New Roman" w:cs="Times New Roman"/>
          <w:sz w:val="24"/>
          <w:szCs w:val="24"/>
        </w:rPr>
        <w:t xml:space="preserve">o perfil do servidor </w:t>
      </w:r>
      <w:r>
        <w:rPr>
          <w:rFonts w:ascii="Times New Roman" w:hAnsi="Times New Roman" w:cs="Times New Roman"/>
          <w:sz w:val="24"/>
          <w:szCs w:val="24"/>
        </w:rPr>
        <w:t>e a necessidade de pessoal na unidade.</w:t>
      </w:r>
    </w:p>
    <w:p w:rsidR="00F11E16" w:rsidRPr="00A36902" w:rsidRDefault="00DA5F63" w:rsidP="00377294">
      <w:pPr>
        <w:numPr>
          <w:ilvl w:val="2"/>
          <w:numId w:val="1"/>
        </w:numPr>
        <w:spacing w:after="120" w:line="240" w:lineRule="auto"/>
        <w:jc w:val="both"/>
        <w:rPr>
          <w:rFonts w:ascii="Times New Roman" w:hAnsi="Times New Roman" w:cs="Times New Roman"/>
          <w:sz w:val="24"/>
          <w:szCs w:val="24"/>
        </w:rPr>
      </w:pPr>
      <w:r w:rsidRPr="00A36902">
        <w:rPr>
          <w:rFonts w:ascii="Times New Roman" w:hAnsi="Times New Roman" w:cs="Times New Roman"/>
          <w:sz w:val="24"/>
          <w:szCs w:val="24"/>
        </w:rPr>
        <w:t xml:space="preserve">Formalização de </w:t>
      </w:r>
      <w:r w:rsidR="00010E9C" w:rsidRPr="00A36902">
        <w:rPr>
          <w:rFonts w:ascii="Times New Roman" w:hAnsi="Times New Roman" w:cs="Times New Roman"/>
          <w:sz w:val="24"/>
          <w:szCs w:val="24"/>
        </w:rPr>
        <w:t>Política</w:t>
      </w:r>
      <w:r w:rsidRPr="00A36902">
        <w:rPr>
          <w:rFonts w:ascii="Times New Roman" w:hAnsi="Times New Roman" w:cs="Times New Roman"/>
          <w:sz w:val="24"/>
          <w:szCs w:val="24"/>
        </w:rPr>
        <w:t>s</w:t>
      </w:r>
      <w:r w:rsidR="00010E9C" w:rsidRPr="00A36902">
        <w:rPr>
          <w:rFonts w:ascii="Times New Roman" w:hAnsi="Times New Roman" w:cs="Times New Roman"/>
          <w:sz w:val="24"/>
          <w:szCs w:val="24"/>
        </w:rPr>
        <w:t xml:space="preserve"> de Gestão de Pessoas do Tribunal </w:t>
      </w:r>
      <w:r w:rsidR="00F11E16" w:rsidRPr="00A36902">
        <w:rPr>
          <w:rFonts w:ascii="Times New Roman" w:hAnsi="Times New Roman" w:cs="Times New Roman"/>
          <w:sz w:val="24"/>
          <w:szCs w:val="24"/>
        </w:rPr>
        <w:t>e d</w:t>
      </w:r>
      <w:r w:rsidRPr="00A36902">
        <w:rPr>
          <w:rFonts w:ascii="Times New Roman" w:hAnsi="Times New Roman" w:cs="Times New Roman"/>
          <w:sz w:val="24"/>
          <w:szCs w:val="24"/>
        </w:rPr>
        <w:t>a área de</w:t>
      </w:r>
      <w:r w:rsidR="00F11E16" w:rsidRPr="00A36902">
        <w:rPr>
          <w:rFonts w:ascii="Times New Roman" w:hAnsi="Times New Roman" w:cs="Times New Roman"/>
          <w:sz w:val="24"/>
          <w:szCs w:val="24"/>
        </w:rPr>
        <w:t xml:space="preserve"> TI</w:t>
      </w:r>
      <w:r w:rsidRPr="00A36902">
        <w:rPr>
          <w:rFonts w:ascii="Times New Roman" w:hAnsi="Times New Roman" w:cs="Times New Roman"/>
          <w:sz w:val="24"/>
          <w:szCs w:val="24"/>
        </w:rPr>
        <w:t>C</w:t>
      </w:r>
      <w:r w:rsidR="00F11E16" w:rsidRPr="00A36902">
        <w:rPr>
          <w:rFonts w:ascii="Times New Roman" w:hAnsi="Times New Roman" w:cs="Times New Roman"/>
          <w:sz w:val="24"/>
          <w:szCs w:val="24"/>
        </w:rPr>
        <w:t xml:space="preserve"> instituída</w:t>
      </w:r>
      <w:r w:rsidRPr="00A36902">
        <w:rPr>
          <w:rFonts w:ascii="Times New Roman" w:hAnsi="Times New Roman" w:cs="Times New Roman"/>
          <w:sz w:val="24"/>
          <w:szCs w:val="24"/>
        </w:rPr>
        <w:t>s</w:t>
      </w:r>
      <w:r w:rsidR="00F11E16" w:rsidRPr="00A36902">
        <w:rPr>
          <w:rFonts w:ascii="Times New Roman" w:hAnsi="Times New Roman" w:cs="Times New Roman"/>
          <w:sz w:val="24"/>
          <w:szCs w:val="24"/>
        </w:rPr>
        <w:t xml:space="preserve"> por meio da</w:t>
      </w:r>
      <w:r w:rsidRPr="00A36902">
        <w:rPr>
          <w:rFonts w:ascii="Times New Roman" w:hAnsi="Times New Roman" w:cs="Times New Roman"/>
          <w:sz w:val="24"/>
          <w:szCs w:val="24"/>
        </w:rPr>
        <w:t>s</w:t>
      </w:r>
      <w:r w:rsidR="00F11E16" w:rsidRPr="00A36902">
        <w:rPr>
          <w:rFonts w:ascii="Times New Roman" w:hAnsi="Times New Roman" w:cs="Times New Roman"/>
          <w:sz w:val="24"/>
          <w:szCs w:val="24"/>
        </w:rPr>
        <w:t xml:space="preserve"> Resoluç</w:t>
      </w:r>
      <w:r w:rsidRPr="00A36902">
        <w:rPr>
          <w:rFonts w:ascii="Times New Roman" w:hAnsi="Times New Roman" w:cs="Times New Roman"/>
          <w:sz w:val="24"/>
          <w:szCs w:val="24"/>
        </w:rPr>
        <w:t>ões Administrativas TRE-BA</w:t>
      </w:r>
      <w:r w:rsidR="00F11E16" w:rsidRPr="00A36902">
        <w:rPr>
          <w:rFonts w:ascii="Times New Roman" w:hAnsi="Times New Roman" w:cs="Times New Roman"/>
          <w:sz w:val="24"/>
          <w:szCs w:val="24"/>
        </w:rPr>
        <w:t xml:space="preserve"> nº 12/2017</w:t>
      </w:r>
      <w:r w:rsidRPr="00A36902">
        <w:rPr>
          <w:rFonts w:ascii="Times New Roman" w:hAnsi="Times New Roman" w:cs="Times New Roman"/>
          <w:sz w:val="24"/>
          <w:szCs w:val="24"/>
        </w:rPr>
        <w:t xml:space="preserve"> e 18/2018</w:t>
      </w:r>
      <w:r w:rsidR="00F11E16" w:rsidRPr="00A36902">
        <w:rPr>
          <w:rFonts w:ascii="Times New Roman" w:hAnsi="Times New Roman" w:cs="Times New Roman"/>
          <w:sz w:val="24"/>
          <w:szCs w:val="24"/>
        </w:rPr>
        <w:t xml:space="preserve">, </w:t>
      </w:r>
      <w:r w:rsidR="00F11E16" w:rsidRPr="00A36902">
        <w:rPr>
          <w:rFonts w:ascii="Times New Roman" w:hAnsi="Times New Roman" w:cs="Times New Roman"/>
          <w:sz w:val="24"/>
          <w:szCs w:val="24"/>
        </w:rPr>
        <w:lastRenderedPageBreak/>
        <w:t>que estabelece</w:t>
      </w:r>
      <w:r w:rsidRPr="00A36902">
        <w:rPr>
          <w:rFonts w:ascii="Times New Roman" w:hAnsi="Times New Roman" w:cs="Times New Roman"/>
          <w:sz w:val="24"/>
          <w:szCs w:val="24"/>
        </w:rPr>
        <w:t>m</w:t>
      </w:r>
      <w:r w:rsidR="00F11E16" w:rsidRPr="00A36902">
        <w:rPr>
          <w:rFonts w:ascii="Times New Roman" w:hAnsi="Times New Roman" w:cs="Times New Roman"/>
          <w:sz w:val="24"/>
          <w:szCs w:val="24"/>
        </w:rPr>
        <w:t xml:space="preserve"> o conjunto de princípios e diretrizes que orientam as práticas em gestão de pessoas, com vistas à obtenção de resultados desejados pela instituição.</w:t>
      </w:r>
    </w:p>
    <w:p w:rsidR="00010E9C" w:rsidRPr="00377294" w:rsidRDefault="00010E9C" w:rsidP="00377294">
      <w:pPr>
        <w:numPr>
          <w:ilvl w:val="2"/>
          <w:numId w:val="1"/>
        </w:numPr>
        <w:spacing w:after="120" w:line="240" w:lineRule="auto"/>
        <w:jc w:val="both"/>
        <w:rPr>
          <w:rFonts w:ascii="Times New Roman" w:hAnsi="Times New Roman" w:cs="Times New Roman"/>
          <w:sz w:val="24"/>
          <w:szCs w:val="24"/>
        </w:rPr>
      </w:pPr>
      <w:r w:rsidRPr="00377294">
        <w:rPr>
          <w:rFonts w:ascii="Times New Roman" w:hAnsi="Times New Roman" w:cs="Times New Roman"/>
          <w:sz w:val="24"/>
          <w:szCs w:val="24"/>
        </w:rPr>
        <w:t>Regulamentação dos claros de lotação</w:t>
      </w:r>
      <w:r w:rsidR="00377294" w:rsidRPr="00377294">
        <w:rPr>
          <w:rFonts w:ascii="Times New Roman" w:hAnsi="Times New Roman" w:cs="Times New Roman"/>
          <w:sz w:val="24"/>
          <w:szCs w:val="24"/>
        </w:rPr>
        <w:t>, aprovada por meio da Portaria nº 407, 20 de outubro de 2015, que dispõe sobre o aproveitamento das vagas de lotação dos cartórios eleitorais, do interior do Estado, decorrentes de claros de lotação, nos processos seletivos de remoção.</w:t>
      </w:r>
    </w:p>
    <w:p w:rsidR="002378AA" w:rsidRPr="00BE0BB1" w:rsidRDefault="00DA5F63" w:rsidP="002378AA">
      <w:pPr>
        <w:numPr>
          <w:ilvl w:val="2"/>
          <w:numId w:val="1"/>
        </w:numPr>
        <w:spacing w:after="120" w:line="240" w:lineRule="auto"/>
        <w:jc w:val="both"/>
        <w:rPr>
          <w:rFonts w:ascii="Times New Roman" w:hAnsi="Times New Roman" w:cs="Times New Roman"/>
          <w:spacing w:val="-4"/>
          <w:sz w:val="24"/>
          <w:szCs w:val="24"/>
        </w:rPr>
      </w:pPr>
      <w:proofErr w:type="gramStart"/>
      <w:r w:rsidRPr="00BE0BB1">
        <w:rPr>
          <w:rFonts w:ascii="Times New Roman" w:hAnsi="Times New Roman" w:cs="Times New Roman"/>
          <w:spacing w:val="-4"/>
          <w:sz w:val="24"/>
          <w:szCs w:val="24"/>
        </w:rPr>
        <w:t>Implementação</w:t>
      </w:r>
      <w:proofErr w:type="gramEnd"/>
      <w:r w:rsidRPr="00BE0BB1">
        <w:rPr>
          <w:rFonts w:ascii="Times New Roman" w:hAnsi="Times New Roman" w:cs="Times New Roman"/>
          <w:spacing w:val="-4"/>
          <w:sz w:val="24"/>
          <w:szCs w:val="24"/>
        </w:rPr>
        <w:t xml:space="preserve"> do </w:t>
      </w:r>
      <w:r w:rsidR="00010E9C" w:rsidRPr="00BE0BB1">
        <w:rPr>
          <w:rFonts w:ascii="Times New Roman" w:hAnsi="Times New Roman" w:cs="Times New Roman"/>
          <w:spacing w:val="-4"/>
          <w:sz w:val="24"/>
          <w:szCs w:val="24"/>
        </w:rPr>
        <w:t xml:space="preserve">Programa </w:t>
      </w:r>
      <w:r w:rsidR="002378AA" w:rsidRPr="00BE0BB1">
        <w:rPr>
          <w:rFonts w:ascii="Times New Roman" w:hAnsi="Times New Roman" w:cs="Times New Roman"/>
          <w:spacing w:val="-4"/>
          <w:sz w:val="24"/>
          <w:szCs w:val="24"/>
        </w:rPr>
        <w:t>TIVALORIZA</w:t>
      </w:r>
      <w:r w:rsidR="00377294" w:rsidRPr="00BE0BB1">
        <w:rPr>
          <w:rFonts w:ascii="Times New Roman" w:hAnsi="Times New Roman" w:cs="Times New Roman"/>
          <w:spacing w:val="-4"/>
          <w:sz w:val="24"/>
          <w:szCs w:val="24"/>
        </w:rPr>
        <w:t xml:space="preserve"> </w:t>
      </w:r>
      <w:r w:rsidR="002378AA" w:rsidRPr="00BE0BB1">
        <w:rPr>
          <w:rFonts w:ascii="Times New Roman" w:hAnsi="Times New Roman" w:cs="Times New Roman"/>
          <w:spacing w:val="-4"/>
          <w:sz w:val="24"/>
          <w:szCs w:val="24"/>
        </w:rPr>
        <w:t xml:space="preserve">(PAD nº 9.422/2018), que institui programa de reconhecimento dos servidores da área especializada em TIC, no âmbito do </w:t>
      </w:r>
      <w:r w:rsidRPr="00BE0BB1">
        <w:rPr>
          <w:rFonts w:ascii="Times New Roman" w:hAnsi="Times New Roman" w:cs="Times New Roman"/>
          <w:spacing w:val="-4"/>
          <w:sz w:val="24"/>
          <w:szCs w:val="24"/>
        </w:rPr>
        <w:t>TRE-BA.</w:t>
      </w:r>
    </w:p>
    <w:p w:rsidR="008A6AA1" w:rsidRPr="00A36902" w:rsidRDefault="008A6AA1" w:rsidP="002378AA">
      <w:pPr>
        <w:numPr>
          <w:ilvl w:val="2"/>
          <w:numId w:val="1"/>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Instituição de modelo de gestão de competência organizacional por meio da Instrução Normativa da Presidência nº 3, de </w:t>
      </w:r>
      <w:proofErr w:type="gramStart"/>
      <w:r>
        <w:rPr>
          <w:rFonts w:ascii="Times New Roman" w:hAnsi="Times New Roman" w:cs="Times New Roman"/>
          <w:sz w:val="24"/>
          <w:szCs w:val="24"/>
        </w:rPr>
        <w:t>3</w:t>
      </w:r>
      <w:proofErr w:type="gramEnd"/>
      <w:r>
        <w:rPr>
          <w:rFonts w:ascii="Times New Roman" w:hAnsi="Times New Roman" w:cs="Times New Roman"/>
          <w:sz w:val="24"/>
          <w:szCs w:val="24"/>
        </w:rPr>
        <w:t xml:space="preserve"> de julho de 2018.</w:t>
      </w:r>
    </w:p>
    <w:p w:rsidR="0012137D" w:rsidRPr="000C6202" w:rsidRDefault="00DA5F63" w:rsidP="006D0913">
      <w:pPr>
        <w:numPr>
          <w:ilvl w:val="2"/>
          <w:numId w:val="1"/>
        </w:numPr>
        <w:spacing w:after="120" w:line="240" w:lineRule="auto"/>
        <w:jc w:val="both"/>
        <w:rPr>
          <w:rFonts w:ascii="Times New Roman" w:hAnsi="Times New Roman" w:cs="Times New Roman"/>
          <w:color w:val="0D0D0D" w:themeColor="text1" w:themeTint="F2"/>
          <w:sz w:val="24"/>
          <w:szCs w:val="24"/>
        </w:rPr>
      </w:pPr>
      <w:r w:rsidRPr="000C6202">
        <w:rPr>
          <w:rFonts w:ascii="Times New Roman" w:hAnsi="Times New Roman" w:cs="Times New Roman"/>
          <w:color w:val="0D0D0D" w:themeColor="text1" w:themeTint="F2"/>
          <w:sz w:val="24"/>
          <w:szCs w:val="24"/>
        </w:rPr>
        <w:t xml:space="preserve">Instituição do </w:t>
      </w:r>
      <w:r w:rsidR="006D0913" w:rsidRPr="000C6202">
        <w:rPr>
          <w:rFonts w:ascii="Times New Roman" w:hAnsi="Times New Roman" w:cs="Times New Roman"/>
          <w:color w:val="0D0D0D" w:themeColor="text1" w:themeTint="F2"/>
          <w:sz w:val="24"/>
          <w:szCs w:val="24"/>
        </w:rPr>
        <w:t>Sistema de Governança e Gestão</w:t>
      </w:r>
      <w:r w:rsidRPr="000C6202">
        <w:rPr>
          <w:rFonts w:ascii="Times New Roman" w:hAnsi="Times New Roman" w:cs="Times New Roman"/>
          <w:color w:val="0D0D0D" w:themeColor="text1" w:themeTint="F2"/>
          <w:sz w:val="24"/>
          <w:szCs w:val="24"/>
        </w:rPr>
        <w:t xml:space="preserve"> organizacional</w:t>
      </w:r>
      <w:r w:rsidR="0012137D" w:rsidRPr="000C6202">
        <w:rPr>
          <w:rFonts w:ascii="Times New Roman" w:hAnsi="Times New Roman" w:cs="Times New Roman"/>
          <w:color w:val="0D0D0D" w:themeColor="text1" w:themeTint="F2"/>
          <w:sz w:val="24"/>
          <w:szCs w:val="24"/>
        </w:rPr>
        <w:t>, através da Resolução Administrativa TRE-BA nº 15, de 13 de junho de 2018,</w:t>
      </w:r>
      <w:r w:rsidR="006D0913" w:rsidRPr="000C6202">
        <w:rPr>
          <w:rFonts w:ascii="Times New Roman" w:hAnsi="Times New Roman" w:cs="Times New Roman"/>
          <w:color w:val="0D0D0D" w:themeColor="text1" w:themeTint="F2"/>
          <w:sz w:val="24"/>
          <w:szCs w:val="24"/>
        </w:rPr>
        <w:t xml:space="preserve"> que criou o Comitê de Gestão de Pessoas do TRE-BA com composição multidisciplinar</w:t>
      </w:r>
      <w:r w:rsidR="0012137D" w:rsidRPr="000C6202">
        <w:rPr>
          <w:rFonts w:ascii="Times New Roman" w:hAnsi="Times New Roman" w:cs="Times New Roman"/>
          <w:color w:val="0D0D0D" w:themeColor="text1" w:themeTint="F2"/>
          <w:sz w:val="24"/>
          <w:szCs w:val="24"/>
        </w:rPr>
        <w:t>.</w:t>
      </w:r>
    </w:p>
    <w:p w:rsidR="00DD214E" w:rsidRPr="0012137D" w:rsidRDefault="0096163D" w:rsidP="006D0913">
      <w:pPr>
        <w:numPr>
          <w:ilvl w:val="2"/>
          <w:numId w:val="1"/>
        </w:numPr>
        <w:spacing w:after="120" w:line="240" w:lineRule="auto"/>
        <w:jc w:val="both"/>
        <w:rPr>
          <w:rFonts w:ascii="Times New Roman" w:hAnsi="Times New Roman" w:cs="Times New Roman"/>
          <w:sz w:val="24"/>
          <w:szCs w:val="24"/>
        </w:rPr>
      </w:pPr>
      <w:r w:rsidRPr="0012137D">
        <w:rPr>
          <w:rFonts w:ascii="Times New Roman" w:hAnsi="Times New Roman" w:cs="Times New Roman"/>
          <w:sz w:val="24"/>
          <w:szCs w:val="24"/>
        </w:rPr>
        <w:t xml:space="preserve">Inclusão do </w:t>
      </w:r>
      <w:r w:rsidR="00DD214E" w:rsidRPr="0012137D">
        <w:rPr>
          <w:rFonts w:ascii="Times New Roman" w:hAnsi="Times New Roman" w:cs="Times New Roman"/>
          <w:sz w:val="24"/>
          <w:szCs w:val="24"/>
        </w:rPr>
        <w:t>Programa de Desenvolvimento de</w:t>
      </w:r>
      <w:r w:rsidR="0012137D">
        <w:rPr>
          <w:rFonts w:ascii="Times New Roman" w:hAnsi="Times New Roman" w:cs="Times New Roman"/>
          <w:sz w:val="24"/>
          <w:szCs w:val="24"/>
        </w:rPr>
        <w:t xml:space="preserve"> Líderes</w:t>
      </w:r>
      <w:r w:rsidRPr="0012137D">
        <w:rPr>
          <w:rFonts w:ascii="Times New Roman" w:hAnsi="Times New Roman" w:cs="Times New Roman"/>
          <w:sz w:val="24"/>
          <w:szCs w:val="24"/>
        </w:rPr>
        <w:t xml:space="preserve"> no Plano Anual de Capacitação do Órgão, </w:t>
      </w:r>
      <w:r w:rsidR="00DD214E" w:rsidRPr="0012137D">
        <w:rPr>
          <w:rFonts w:ascii="Times New Roman" w:hAnsi="Times New Roman" w:cs="Times New Roman"/>
          <w:sz w:val="24"/>
          <w:szCs w:val="24"/>
        </w:rPr>
        <w:t>destinado à Diretora-Geral, secretários, coordenadores, assessores e demais chefias da instituição</w:t>
      </w:r>
      <w:r w:rsidRPr="0012137D">
        <w:rPr>
          <w:rFonts w:ascii="Times New Roman" w:hAnsi="Times New Roman" w:cs="Times New Roman"/>
          <w:sz w:val="24"/>
          <w:szCs w:val="24"/>
        </w:rPr>
        <w:t>, bem como respectivos substitutos,</w:t>
      </w:r>
      <w:r w:rsidR="00DD214E" w:rsidRPr="0012137D">
        <w:rPr>
          <w:rFonts w:ascii="Times New Roman" w:hAnsi="Times New Roman" w:cs="Times New Roman"/>
          <w:sz w:val="24"/>
          <w:szCs w:val="24"/>
        </w:rPr>
        <w:t xml:space="preserve"> tendo como tema principal do evento neste ano o </w:t>
      </w:r>
      <w:r w:rsidR="00DD214E" w:rsidRPr="0012137D">
        <w:rPr>
          <w:rFonts w:ascii="Times New Roman" w:hAnsi="Times New Roman" w:cs="Times New Roman"/>
          <w:i/>
          <w:sz w:val="24"/>
          <w:szCs w:val="24"/>
        </w:rPr>
        <w:t>Coaching</w:t>
      </w:r>
      <w:r w:rsidR="00DD214E" w:rsidRPr="0012137D">
        <w:rPr>
          <w:rFonts w:ascii="Times New Roman" w:hAnsi="Times New Roman" w:cs="Times New Roman"/>
          <w:sz w:val="24"/>
          <w:szCs w:val="24"/>
        </w:rPr>
        <w:t>, técnica de desenvolvimento humano que pretende alcançar a transformação pessoal, maximizando o potencial individual e profissional.</w:t>
      </w:r>
    </w:p>
    <w:p w:rsidR="0080171E" w:rsidRPr="00F608EB" w:rsidRDefault="00E0441A" w:rsidP="0096163D">
      <w:pPr>
        <w:pStyle w:val="PargrafodaLista"/>
        <w:spacing w:after="240"/>
        <w:ind w:left="357" w:hanging="357"/>
        <w:rPr>
          <w:sz w:val="24"/>
          <w:szCs w:val="24"/>
        </w:rPr>
      </w:pPr>
      <w:bookmarkStart w:id="29" w:name="_Toc520405200"/>
      <w:r w:rsidRPr="00F608EB">
        <w:rPr>
          <w:sz w:val="24"/>
          <w:szCs w:val="24"/>
        </w:rPr>
        <w:t>ACHADOS DE AUDITORIA</w:t>
      </w:r>
      <w:bookmarkEnd w:id="29"/>
    </w:p>
    <w:p w:rsidR="00473149" w:rsidRPr="00F608EB" w:rsidRDefault="00473149" w:rsidP="00473149">
      <w:pPr>
        <w:pStyle w:val="TextosemFormatao"/>
        <w:numPr>
          <w:ilvl w:val="1"/>
          <w:numId w:val="1"/>
        </w:numPr>
        <w:spacing w:after="120"/>
        <w:ind w:left="426" w:hanging="426"/>
        <w:jc w:val="both"/>
        <w:rPr>
          <w:rFonts w:ascii="Times New Roman" w:hAnsi="Times New Roman" w:cs="Times New Roman"/>
          <w:sz w:val="24"/>
          <w:szCs w:val="24"/>
        </w:rPr>
      </w:pPr>
      <w:r w:rsidRPr="00F608EB">
        <w:rPr>
          <w:rFonts w:ascii="Times New Roman" w:hAnsi="Times New Roman" w:cs="Times New Roman"/>
          <w:sz w:val="24"/>
          <w:szCs w:val="24"/>
        </w:rPr>
        <w:t xml:space="preserve">Ultimadas as etapas reservadas ao exame, análise e cotejo de documentos, registros e demais fontes de </w:t>
      </w:r>
      <w:proofErr w:type="gramStart"/>
      <w:r w:rsidRPr="00F608EB">
        <w:rPr>
          <w:rFonts w:ascii="Times New Roman" w:hAnsi="Times New Roman" w:cs="Times New Roman"/>
          <w:sz w:val="24"/>
          <w:szCs w:val="24"/>
        </w:rPr>
        <w:t xml:space="preserve">informações </w:t>
      </w:r>
      <w:r>
        <w:rPr>
          <w:rFonts w:ascii="Times New Roman" w:hAnsi="Times New Roman" w:cs="Times New Roman"/>
          <w:sz w:val="24"/>
          <w:szCs w:val="24"/>
        </w:rPr>
        <w:t>considerado</w:t>
      </w:r>
      <w:r w:rsidRPr="00F608EB">
        <w:rPr>
          <w:rFonts w:ascii="Times New Roman" w:hAnsi="Times New Roman" w:cs="Times New Roman"/>
          <w:sz w:val="24"/>
          <w:szCs w:val="24"/>
        </w:rPr>
        <w:t>s, observados</w:t>
      </w:r>
      <w:proofErr w:type="gramEnd"/>
      <w:r w:rsidRPr="00F608EB">
        <w:rPr>
          <w:rFonts w:ascii="Times New Roman" w:hAnsi="Times New Roman" w:cs="Times New Roman"/>
          <w:sz w:val="24"/>
          <w:szCs w:val="24"/>
        </w:rPr>
        <w:t xml:space="preserve"> os critérios referenciais utilizados, restaram evidenciados os seguintes achados de auditoria:</w:t>
      </w:r>
    </w:p>
    <w:p w:rsidR="00473149" w:rsidRDefault="00473149" w:rsidP="00473149">
      <w:pPr>
        <w:numPr>
          <w:ilvl w:val="2"/>
          <w:numId w:val="1"/>
        </w:numPr>
        <w:spacing w:before="120" w:after="120" w:line="240" w:lineRule="auto"/>
        <w:jc w:val="both"/>
        <w:rPr>
          <w:rFonts w:ascii="Times New Roman" w:hAnsi="Times New Roman" w:cs="Times New Roman"/>
          <w:sz w:val="24"/>
          <w:szCs w:val="24"/>
          <w:u w:val="single"/>
        </w:rPr>
      </w:pPr>
      <w:r w:rsidRPr="006D1B1E">
        <w:rPr>
          <w:rFonts w:ascii="Times New Roman" w:hAnsi="Times New Roman" w:cs="Times New Roman"/>
          <w:sz w:val="24"/>
          <w:szCs w:val="24"/>
          <w:u w:val="single"/>
        </w:rPr>
        <w:t xml:space="preserve">Parâmetros para priorização de unidades a serem </w:t>
      </w:r>
      <w:proofErr w:type="gramStart"/>
      <w:r w:rsidRPr="006D1B1E">
        <w:rPr>
          <w:rFonts w:ascii="Times New Roman" w:hAnsi="Times New Roman" w:cs="Times New Roman"/>
          <w:sz w:val="24"/>
          <w:szCs w:val="24"/>
          <w:u w:val="single"/>
        </w:rPr>
        <w:t>dimensionadas dissociados da estratégia organizacional</w:t>
      </w:r>
      <w:proofErr w:type="gramEnd"/>
      <w:r w:rsidRPr="00F608EB">
        <w:rPr>
          <w:rFonts w:ascii="Times New Roman" w:hAnsi="Times New Roman" w:cs="Times New Roman"/>
          <w:sz w:val="24"/>
          <w:szCs w:val="24"/>
          <w:u w:val="single"/>
        </w:rPr>
        <w:t>.</w:t>
      </w:r>
    </w:p>
    <w:p w:rsidR="00473149" w:rsidRPr="00D929B6" w:rsidRDefault="00473149" w:rsidP="00473149">
      <w:pPr>
        <w:spacing w:before="120" w:after="120" w:line="240" w:lineRule="auto"/>
        <w:jc w:val="both"/>
        <w:rPr>
          <w:rFonts w:ascii="Times New Roman" w:hAnsi="Times New Roman" w:cs="Times New Roman"/>
          <w:i/>
          <w:sz w:val="24"/>
          <w:szCs w:val="24"/>
          <w:u w:val="single"/>
        </w:rPr>
      </w:pPr>
      <w:r w:rsidRPr="00037370">
        <w:rPr>
          <w:rFonts w:ascii="Times New Roman" w:hAnsi="Times New Roman" w:cs="Times New Roman"/>
          <w:i/>
          <w:spacing w:val="-2"/>
          <w:sz w:val="24"/>
          <w:szCs w:val="24"/>
        </w:rPr>
        <w:t xml:space="preserve">Risco(s) associado(s): </w:t>
      </w:r>
      <w:r w:rsidRPr="00037370">
        <w:rPr>
          <w:rFonts w:ascii="Times New Roman" w:hAnsi="Times New Roman" w:cs="Times New Roman"/>
          <w:i/>
          <w:sz w:val="24"/>
          <w:szCs w:val="24"/>
        </w:rPr>
        <w:t xml:space="preserve">R1 – TRE-BA: Priorização inadequada de unidades a serem dimensionadas. </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sz w:val="24"/>
          <w:szCs w:val="24"/>
        </w:rPr>
      </w:pPr>
      <w:r w:rsidRPr="00F608EB">
        <w:rPr>
          <w:rFonts w:ascii="Times New Roman" w:hAnsi="Times New Roman" w:cs="Times New Roman"/>
          <w:i/>
          <w:sz w:val="24"/>
          <w:szCs w:val="24"/>
        </w:rPr>
        <w:t>Situação encontrada</w:t>
      </w:r>
      <w:r w:rsidRPr="00F608EB">
        <w:rPr>
          <w:rFonts w:ascii="Times New Roman" w:hAnsi="Times New Roman" w:cs="Times New Roman"/>
          <w:sz w:val="24"/>
          <w:szCs w:val="24"/>
        </w:rPr>
        <w:t xml:space="preserve">: </w:t>
      </w:r>
      <w:r w:rsidRPr="00F608EB">
        <w:rPr>
          <w:rFonts w:ascii="Times New Roman" w:hAnsi="Times New Roman" w:cs="Times New Roman"/>
          <w:sz w:val="24"/>
          <w:szCs w:val="24"/>
        </w:rPr>
        <w:tab/>
      </w:r>
    </w:p>
    <w:p w:rsidR="00473149" w:rsidRPr="00F608EB" w:rsidRDefault="00473149" w:rsidP="00473149">
      <w:pPr>
        <w:numPr>
          <w:ilvl w:val="4"/>
          <w:numId w:val="1"/>
        </w:numPr>
        <w:spacing w:after="0" w:line="240" w:lineRule="auto"/>
        <w:jc w:val="both"/>
        <w:rPr>
          <w:rFonts w:ascii="Times New Roman" w:hAnsi="Times New Roman" w:cs="Times New Roman"/>
          <w:spacing w:val="-2"/>
          <w:sz w:val="24"/>
          <w:szCs w:val="24"/>
        </w:rPr>
      </w:pPr>
      <w:r w:rsidRPr="006D1B1E">
        <w:rPr>
          <w:rFonts w:ascii="Times New Roman" w:hAnsi="Times New Roman" w:cs="Times New Roman"/>
          <w:spacing w:val="-2"/>
          <w:sz w:val="24"/>
          <w:szCs w:val="24"/>
        </w:rPr>
        <w:t>Verificou-se que a metodologia utilizada pelo projeto estratégico Dimensionamento da Força de Trabalho (DFT) para definir o perfil quantitativo e qualitativo ideal da força de trabalho necessária à asseguração de entregas e, por consequência, ao cumprimento da estratégia vigente deste Regional, tem por base o mapeamento de competências associado ao levantamento de esforço por atividade (DFT por atribuições e/ou DFT por indicadores de referência).</w:t>
      </w:r>
    </w:p>
    <w:p w:rsidR="00473149" w:rsidRPr="007F6D73" w:rsidRDefault="00473149" w:rsidP="00473149">
      <w:pPr>
        <w:numPr>
          <w:ilvl w:val="4"/>
          <w:numId w:val="1"/>
        </w:numPr>
        <w:spacing w:after="0" w:line="240" w:lineRule="auto"/>
        <w:jc w:val="both"/>
        <w:rPr>
          <w:rFonts w:ascii="Times New Roman" w:hAnsi="Times New Roman" w:cs="Times New Roman"/>
          <w:spacing w:val="-2"/>
          <w:sz w:val="24"/>
          <w:szCs w:val="24"/>
        </w:rPr>
      </w:pPr>
      <w:r w:rsidRPr="006D1B1E">
        <w:rPr>
          <w:rFonts w:ascii="Times New Roman" w:hAnsi="Times New Roman" w:cs="Times New Roman"/>
          <w:spacing w:val="-2"/>
          <w:sz w:val="24"/>
          <w:szCs w:val="24"/>
        </w:rPr>
        <w:t>Paralelamente, constatou-se que a aplicação da metodologia e a consequente apuração de DFT ideal obedece</w:t>
      </w:r>
      <w:r w:rsidR="00D86F24">
        <w:rPr>
          <w:rFonts w:ascii="Times New Roman" w:hAnsi="Times New Roman" w:cs="Times New Roman"/>
          <w:spacing w:val="-2"/>
          <w:sz w:val="24"/>
          <w:szCs w:val="24"/>
        </w:rPr>
        <w:t>m</w:t>
      </w:r>
      <w:r w:rsidRPr="006D1B1E">
        <w:rPr>
          <w:rFonts w:ascii="Times New Roman" w:hAnsi="Times New Roman" w:cs="Times New Roman"/>
          <w:spacing w:val="-2"/>
          <w:sz w:val="24"/>
          <w:szCs w:val="24"/>
        </w:rPr>
        <w:t xml:space="preserve"> ao cronograma </w:t>
      </w:r>
      <w:proofErr w:type="gramStart"/>
      <w:r w:rsidRPr="006D1B1E">
        <w:rPr>
          <w:rFonts w:ascii="Times New Roman" w:hAnsi="Times New Roman" w:cs="Times New Roman"/>
          <w:spacing w:val="-2"/>
          <w:sz w:val="24"/>
          <w:szCs w:val="24"/>
        </w:rPr>
        <w:t>estabelecido para os trabalhos do Projeto Gestão por Competências, observados</w:t>
      </w:r>
      <w:proofErr w:type="gramEnd"/>
      <w:r w:rsidRPr="006D1B1E">
        <w:rPr>
          <w:rFonts w:ascii="Times New Roman" w:hAnsi="Times New Roman" w:cs="Times New Roman"/>
          <w:spacing w:val="-2"/>
          <w:sz w:val="24"/>
          <w:szCs w:val="24"/>
        </w:rPr>
        <w:t xml:space="preserve"> os seguintes critérios:  número de unidades integrantes da área a ser dimensionada, de modo a compatibilizar o esforço com a capacidade operacional da unidade gestora do processo de trabalho; existência de recomendação da Unidade de Auditoria Interna requerendo o mapeamento de competências/dimensionamento da força de trabalho de área específica, em caráter prioritário; contexto de ano eleitoral e não eleitoral, de modo a não impactar as unidades envolvidas em atividades preparatórias do pleito, em exercícios em que se realizam eleições; e situações críticas, a exemplo de unidades com quantitativo considerável de aposentáveis</w:t>
      </w:r>
      <w:r w:rsidRPr="009E51AD">
        <w:rPr>
          <w:sz w:val="20"/>
          <w:szCs w:val="20"/>
        </w:rPr>
        <w:t>.</w:t>
      </w:r>
    </w:p>
    <w:p w:rsidR="00473149" w:rsidRPr="00037370" w:rsidRDefault="00473149" w:rsidP="00473149">
      <w:pPr>
        <w:numPr>
          <w:ilvl w:val="4"/>
          <w:numId w:val="1"/>
        </w:numPr>
        <w:spacing w:after="0" w:line="240" w:lineRule="auto"/>
        <w:jc w:val="both"/>
        <w:rPr>
          <w:rFonts w:ascii="Times New Roman" w:hAnsi="Times New Roman" w:cs="Times New Roman"/>
          <w:spacing w:val="-4"/>
          <w:sz w:val="24"/>
          <w:szCs w:val="24"/>
        </w:rPr>
      </w:pPr>
      <w:r w:rsidRPr="00037370">
        <w:rPr>
          <w:rFonts w:ascii="Times New Roman" w:hAnsi="Times New Roman" w:cs="Times New Roman"/>
          <w:spacing w:val="-4"/>
          <w:sz w:val="24"/>
          <w:szCs w:val="24"/>
        </w:rPr>
        <w:lastRenderedPageBreak/>
        <w:t xml:space="preserve">Adicionalmente, registre-se que o cronograma de atividades fixado, embora contemple o dimensionamento de todas as unidades judiciárias e </w:t>
      </w:r>
      <w:proofErr w:type="gramStart"/>
      <w:r w:rsidRPr="00037370">
        <w:rPr>
          <w:rFonts w:ascii="Times New Roman" w:hAnsi="Times New Roman" w:cs="Times New Roman"/>
          <w:spacing w:val="-4"/>
          <w:sz w:val="24"/>
          <w:szCs w:val="24"/>
        </w:rPr>
        <w:t>administrativas do Órgão, observado</w:t>
      </w:r>
      <w:proofErr w:type="gramEnd"/>
      <w:r w:rsidRPr="00037370">
        <w:rPr>
          <w:rFonts w:ascii="Times New Roman" w:hAnsi="Times New Roman" w:cs="Times New Roman"/>
          <w:spacing w:val="-4"/>
          <w:sz w:val="24"/>
          <w:szCs w:val="24"/>
        </w:rPr>
        <w:t xml:space="preserve"> o ciclo definido para a execução da estratégia institucional vigente (2016-2021), aponta para a realização de trabalhos decorrentes no último ano de vigência do PEI, concorrendo, portanto, para o comprometimento do alcance do objetivo/finalidade do processo auditado, considerando que o DFT das unidades a serem dimensionadas no ciclo 2021 – EJE, Ouvidoria, ASJUR, ASSESD, DG, ASSESP e ASCOM –, por exemplo deverá ser apurado às vésperas da alteração do referencial estratégico do Órgão. Registre-se que tal prática vai de encontro à diretriz para planejamento de ações relacionadas à gestão de pessoas disposta no inciso IV, do art. 5º, da Política de Gestão de Pessoas institucional, qual seja: “dimensionar e monitorar a força de trabalho de acordo com os processos de trabalho, com as competências requeridas e com os objetivos estratégicos”. </w:t>
      </w:r>
    </w:p>
    <w:p w:rsidR="00473149" w:rsidRPr="007F6D73" w:rsidRDefault="00473149" w:rsidP="00473149">
      <w:pPr>
        <w:numPr>
          <w:ilvl w:val="4"/>
          <w:numId w:val="1"/>
        </w:numPr>
        <w:spacing w:after="0" w:line="240" w:lineRule="auto"/>
        <w:jc w:val="both"/>
        <w:rPr>
          <w:rFonts w:ascii="Times New Roman" w:hAnsi="Times New Roman" w:cs="Times New Roman"/>
          <w:sz w:val="24"/>
          <w:szCs w:val="24"/>
        </w:rPr>
      </w:pPr>
      <w:r w:rsidRPr="007F6D73">
        <w:rPr>
          <w:rFonts w:ascii="Times New Roman" w:hAnsi="Times New Roman" w:cs="Times New Roman"/>
          <w:sz w:val="24"/>
          <w:szCs w:val="24"/>
        </w:rPr>
        <w:t xml:space="preserve">Esclareça-se que, consoante cronograma de trabalhos apresentado, já foram </w:t>
      </w:r>
      <w:proofErr w:type="gramStart"/>
      <w:r w:rsidRPr="007F6D73">
        <w:rPr>
          <w:rFonts w:ascii="Times New Roman" w:hAnsi="Times New Roman" w:cs="Times New Roman"/>
          <w:sz w:val="24"/>
          <w:szCs w:val="24"/>
        </w:rPr>
        <w:t>dimensionadas</w:t>
      </w:r>
      <w:proofErr w:type="gramEnd"/>
      <w:r w:rsidRPr="007F6D73">
        <w:rPr>
          <w:rFonts w:ascii="Times New Roman" w:hAnsi="Times New Roman" w:cs="Times New Roman"/>
          <w:sz w:val="24"/>
          <w:szCs w:val="24"/>
        </w:rPr>
        <w:t xml:space="preserve"> SGP e COPEG (ciclo 2016/2017) e SGA e SOF (ciclo 2017/2018). Esclareça-se que os trabalhos atinentes ao 1º ciclo se estenderam por 271 dias, e aqueles atinentes ao 2º ciclo foram desenvolvidos durante 225 dias</w:t>
      </w:r>
      <w:r>
        <w:rPr>
          <w:rFonts w:ascii="Times New Roman" w:hAnsi="Times New Roman" w:cs="Times New Roman"/>
          <w:sz w:val="24"/>
          <w:szCs w:val="24"/>
        </w:rPr>
        <w:t>.</w:t>
      </w:r>
    </w:p>
    <w:p w:rsidR="00473149" w:rsidRPr="002808EC" w:rsidRDefault="00473149" w:rsidP="00473149">
      <w:pPr>
        <w:numPr>
          <w:ilvl w:val="4"/>
          <w:numId w:val="1"/>
        </w:numPr>
        <w:spacing w:after="0" w:line="240" w:lineRule="auto"/>
        <w:jc w:val="both"/>
        <w:rPr>
          <w:rFonts w:ascii="Times New Roman" w:hAnsi="Times New Roman" w:cs="Times New Roman"/>
          <w:spacing w:val="-2"/>
          <w:sz w:val="24"/>
          <w:szCs w:val="24"/>
        </w:rPr>
      </w:pPr>
      <w:r w:rsidRPr="002808EC">
        <w:rPr>
          <w:rFonts w:ascii="Times New Roman" w:hAnsi="Times New Roman" w:cs="Times New Roman"/>
          <w:spacing w:val="-2"/>
          <w:sz w:val="24"/>
          <w:szCs w:val="24"/>
        </w:rPr>
        <w:t>Ponderados os parâmetros utilizados, constatou-se que a priorização de unidades a serem dimensionadas, num determinado exercício, também não obedece a critério afeto a maior impacto no alcance da estratégia em alinhamento com o grau de contribuição na execução de projetos ou cumprimento de metas organizacionais, não obstante tratar-se de objetivo/finalidade do processo auditado dimensionar perfil quantitativo e qualitativo ideal da força de trabalho necessária à asseguração de entregas e, por consequência, do cumprimento de metas e objetivos do Tribunal.</w:t>
      </w:r>
    </w:p>
    <w:p w:rsidR="00473149" w:rsidRPr="00BE0BB1" w:rsidRDefault="00473149" w:rsidP="00473149">
      <w:pPr>
        <w:numPr>
          <w:ilvl w:val="4"/>
          <w:numId w:val="1"/>
        </w:numPr>
        <w:spacing w:after="0" w:line="240" w:lineRule="auto"/>
        <w:jc w:val="both"/>
        <w:rPr>
          <w:rFonts w:ascii="Times New Roman" w:hAnsi="Times New Roman" w:cs="Times New Roman"/>
          <w:spacing w:val="-4"/>
          <w:sz w:val="24"/>
          <w:szCs w:val="24"/>
        </w:rPr>
      </w:pPr>
      <w:r w:rsidRPr="00BE0BB1">
        <w:rPr>
          <w:rFonts w:ascii="Times New Roman" w:hAnsi="Times New Roman" w:cs="Times New Roman"/>
          <w:spacing w:val="-4"/>
          <w:sz w:val="24"/>
          <w:szCs w:val="24"/>
        </w:rPr>
        <w:t>Do mesmo modo, verificou-se que os critérios de priorização utilizados também não se alinham com a ponderação da relevância da unidade a ser dimensionada, observada a inter-relação das atividades que desenvolve e respectivas entregas que realiza com a cadeia de valor organizacional, ou, ainda, com as atividades finalísticas do Órgão.</w:t>
      </w:r>
    </w:p>
    <w:p w:rsidR="00473149" w:rsidRPr="00BE0BB1" w:rsidRDefault="00473149" w:rsidP="00473149">
      <w:pPr>
        <w:numPr>
          <w:ilvl w:val="4"/>
          <w:numId w:val="1"/>
        </w:numPr>
        <w:spacing w:after="0" w:line="240" w:lineRule="auto"/>
        <w:jc w:val="both"/>
        <w:rPr>
          <w:rFonts w:ascii="Times New Roman" w:hAnsi="Times New Roman" w:cs="Times New Roman"/>
          <w:spacing w:val="-2"/>
          <w:sz w:val="24"/>
          <w:szCs w:val="24"/>
        </w:rPr>
      </w:pPr>
      <w:r w:rsidRPr="00BE0BB1">
        <w:rPr>
          <w:rFonts w:ascii="Times New Roman" w:hAnsi="Times New Roman" w:cs="Times New Roman"/>
          <w:spacing w:val="-2"/>
          <w:sz w:val="24"/>
          <w:szCs w:val="24"/>
        </w:rPr>
        <w:t xml:space="preserve">Nesse sentido, considerada, por exemplo, a gestão de metas e iniciativas do planejamento estratégico do TRE-BA aprovado para o ciclo 2016-2021, observa-se que a Secretaria da Corregedoria Regional Eleitoral (SCR) e a Secretaria Judiciária (SJU) respondem pelo segundo maior volume de metas – seis indicadores (taxa de congestionamento de processos judiciais; índice de agilidade no julgamento; índice de atendimento à demanda; índice de julgamento de processos antigos; índice de tempo médio de tramitação de processos de cassação de mandato eletivo; e índice de prestação de contas julgadas no período) e dois projetos estratégicos (Justiça em dia – dois graus abaixo de zero; e </w:t>
      </w:r>
      <w:proofErr w:type="spellStart"/>
      <w:r w:rsidRPr="00BE0BB1">
        <w:rPr>
          <w:rFonts w:ascii="Times New Roman" w:hAnsi="Times New Roman" w:cs="Times New Roman"/>
          <w:spacing w:val="-2"/>
          <w:sz w:val="24"/>
          <w:szCs w:val="24"/>
        </w:rPr>
        <w:t>Buscajus</w:t>
      </w:r>
      <w:proofErr w:type="spellEnd"/>
      <w:r w:rsidRPr="00BE0BB1">
        <w:rPr>
          <w:rFonts w:ascii="Times New Roman" w:hAnsi="Times New Roman" w:cs="Times New Roman"/>
          <w:spacing w:val="-2"/>
          <w:sz w:val="24"/>
          <w:szCs w:val="24"/>
        </w:rPr>
        <w:t>) –, atrás, apenas, da COPEG.</w:t>
      </w:r>
    </w:p>
    <w:p w:rsidR="00473149" w:rsidRDefault="00473149" w:rsidP="00473149">
      <w:pPr>
        <w:numPr>
          <w:ilvl w:val="4"/>
          <w:numId w:val="1"/>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Caso </w:t>
      </w:r>
      <w:r w:rsidRPr="007F6D73">
        <w:rPr>
          <w:rFonts w:ascii="Times New Roman" w:hAnsi="Times New Roman" w:cs="Times New Roman"/>
          <w:sz w:val="24"/>
          <w:szCs w:val="24"/>
        </w:rPr>
        <w:t>considerada</w:t>
      </w:r>
      <w:proofErr w:type="gramEnd"/>
      <w:r w:rsidRPr="007F6D73">
        <w:rPr>
          <w:rFonts w:ascii="Times New Roman" w:hAnsi="Times New Roman" w:cs="Times New Roman"/>
          <w:sz w:val="24"/>
          <w:szCs w:val="24"/>
        </w:rPr>
        <w:t>, adicionalmente, a gestão de metas nacionais do Poder Judiciário (PJ), a SCR e SJU restariam alocadas na primeira posição do ranking de gestão de desafios institucionais</w:t>
      </w:r>
      <w:r>
        <w:rPr>
          <w:rFonts w:ascii="Times New Roman" w:hAnsi="Times New Roman" w:cs="Times New Roman"/>
          <w:sz w:val="24"/>
          <w:szCs w:val="24"/>
        </w:rPr>
        <w:t>.</w:t>
      </w:r>
    </w:p>
    <w:p w:rsidR="00473149" w:rsidRPr="0096163D" w:rsidRDefault="00473149" w:rsidP="00473149">
      <w:pPr>
        <w:numPr>
          <w:ilvl w:val="4"/>
          <w:numId w:val="1"/>
        </w:numPr>
        <w:spacing w:after="0" w:line="240" w:lineRule="auto"/>
        <w:jc w:val="both"/>
        <w:rPr>
          <w:rFonts w:ascii="Times New Roman" w:hAnsi="Times New Roman" w:cs="Times New Roman"/>
          <w:spacing w:val="-2"/>
          <w:sz w:val="24"/>
          <w:szCs w:val="24"/>
        </w:rPr>
      </w:pPr>
      <w:r w:rsidRPr="0096163D">
        <w:rPr>
          <w:rFonts w:ascii="Times New Roman" w:hAnsi="Times New Roman" w:cs="Times New Roman"/>
          <w:spacing w:val="-2"/>
          <w:sz w:val="24"/>
          <w:szCs w:val="24"/>
        </w:rPr>
        <w:t>Registre-se que, no que tange aos indicadores de desempenho estratégicos e metas nacionais do PJ, a SCR figura, em regra, como gestora de resultados alcançados por todo o primeiro grau de jurisdição, revelando, portanto, que o efetivo cumprimento de metas associadas incumbe às Zonas Eleitorais da capital e interior do Estado.</w:t>
      </w:r>
    </w:p>
    <w:p w:rsidR="00473149" w:rsidRPr="0096163D" w:rsidRDefault="00473149" w:rsidP="00473149">
      <w:pPr>
        <w:numPr>
          <w:ilvl w:val="4"/>
          <w:numId w:val="1"/>
        </w:numPr>
        <w:spacing w:after="0" w:line="240" w:lineRule="auto"/>
        <w:jc w:val="both"/>
        <w:rPr>
          <w:rFonts w:ascii="Times New Roman" w:hAnsi="Times New Roman" w:cs="Times New Roman"/>
          <w:spacing w:val="-4"/>
          <w:sz w:val="24"/>
          <w:szCs w:val="24"/>
        </w:rPr>
      </w:pPr>
      <w:r w:rsidRPr="0096163D">
        <w:rPr>
          <w:rFonts w:ascii="Times New Roman" w:hAnsi="Times New Roman" w:cs="Times New Roman"/>
          <w:spacing w:val="-4"/>
          <w:sz w:val="24"/>
          <w:szCs w:val="24"/>
        </w:rPr>
        <w:t xml:space="preserve">Observada, por outro lado, a cadeia de valor do TRE-BA, se consideradas as unidades responsáveis pelos macroprocessos finalísticos – conjunto de processos de trabalho que geram produtos ou serviços que serão entregues ou percebidos pelo cliente externo, essenciais à existência da organização, pois estão diretamente relacionados ao objetivo maior do órgão e recebem apoio de outros processos internos – as Zonas </w:t>
      </w:r>
      <w:r w:rsidRPr="0096163D">
        <w:rPr>
          <w:rFonts w:ascii="Times New Roman" w:hAnsi="Times New Roman" w:cs="Times New Roman"/>
          <w:spacing w:val="-4"/>
          <w:sz w:val="24"/>
          <w:szCs w:val="24"/>
        </w:rPr>
        <w:lastRenderedPageBreak/>
        <w:t>Eleitorais, SCR e SJU seguiriam, ainda, no topo da lista de gestão de processos finalísticos e das correspondentes entregas a clientes externos do Tribunal.</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7F6D73">
        <w:rPr>
          <w:rFonts w:ascii="Times New Roman" w:hAnsi="Times New Roman" w:cs="Times New Roman"/>
          <w:sz w:val="24"/>
          <w:szCs w:val="24"/>
        </w:rPr>
        <w:t xml:space="preserve">Esclareça-se que a celeridade e eficiência, bem como a orientação para resultados, constituem diretrizes para a atuação administrativa, inclusive no que tange à gestão de pessoas, consoante teor do art. 2º, do Regulamento Interno da Secretaria do Tribunal, e do inciso V, do art. 4º, da Política de Gestão de Pessoas organizacional. Adicionalmente, registre-se que a eficiência é elencada como princípio para a boa governança e função de gestão, pelos </w:t>
      </w:r>
      <w:proofErr w:type="spellStart"/>
      <w:r w:rsidRPr="007F6D73">
        <w:rPr>
          <w:rFonts w:ascii="Times New Roman" w:hAnsi="Times New Roman" w:cs="Times New Roman"/>
          <w:sz w:val="24"/>
          <w:szCs w:val="24"/>
        </w:rPr>
        <w:t>arts</w:t>
      </w:r>
      <w:proofErr w:type="spellEnd"/>
      <w:r w:rsidRPr="007F6D73">
        <w:rPr>
          <w:rFonts w:ascii="Times New Roman" w:hAnsi="Times New Roman" w:cs="Times New Roman"/>
          <w:sz w:val="24"/>
          <w:szCs w:val="24"/>
        </w:rPr>
        <w:t xml:space="preserve">. </w:t>
      </w:r>
      <w:proofErr w:type="gramStart"/>
      <w:r w:rsidRPr="007F6D73">
        <w:rPr>
          <w:rFonts w:ascii="Times New Roman" w:hAnsi="Times New Roman" w:cs="Times New Roman"/>
          <w:sz w:val="24"/>
          <w:szCs w:val="24"/>
        </w:rPr>
        <w:t>3º, inciso</w:t>
      </w:r>
      <w:proofErr w:type="gramEnd"/>
      <w:r w:rsidR="00D86F24">
        <w:rPr>
          <w:rFonts w:ascii="Times New Roman" w:hAnsi="Times New Roman" w:cs="Times New Roman"/>
          <w:sz w:val="24"/>
          <w:szCs w:val="24"/>
        </w:rPr>
        <w:t xml:space="preserve"> </w:t>
      </w:r>
      <w:r w:rsidRPr="007F6D73">
        <w:rPr>
          <w:rFonts w:ascii="Times New Roman" w:hAnsi="Times New Roman" w:cs="Times New Roman"/>
          <w:sz w:val="24"/>
          <w:szCs w:val="24"/>
        </w:rPr>
        <w:t>IV, e 6º, inciso IV, do Sistema de Governança e Gestão Organizacional.</w:t>
      </w:r>
    </w:p>
    <w:p w:rsidR="00473149" w:rsidRPr="0096163D" w:rsidRDefault="00473149" w:rsidP="00473149">
      <w:pPr>
        <w:numPr>
          <w:ilvl w:val="4"/>
          <w:numId w:val="1"/>
        </w:numPr>
        <w:spacing w:after="0" w:line="240" w:lineRule="auto"/>
        <w:jc w:val="both"/>
        <w:rPr>
          <w:rFonts w:ascii="Times New Roman" w:hAnsi="Times New Roman" w:cs="Times New Roman"/>
          <w:spacing w:val="-2"/>
          <w:sz w:val="24"/>
          <w:szCs w:val="24"/>
        </w:rPr>
      </w:pPr>
      <w:r w:rsidRPr="0096163D">
        <w:rPr>
          <w:rFonts w:ascii="Times New Roman" w:hAnsi="Times New Roman" w:cs="Times New Roman"/>
          <w:spacing w:val="-2"/>
          <w:sz w:val="24"/>
          <w:szCs w:val="24"/>
        </w:rPr>
        <w:t>Nesse sentido, em face de limitações porventura impostas a processos de trabalho – reduzida capacidade operacional; inexistência de ferramenta informatizada; ausência de sistematização de procedimentos etc. – o desenvolvimento de estratégias para maximização de resultados, passando, inclusive, pelo aprimoramento de critérios de priorização, apresenta-se como boa prática de gestão.</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sz w:val="24"/>
          <w:szCs w:val="24"/>
        </w:rPr>
      </w:pPr>
      <w:r w:rsidRPr="00F608EB">
        <w:rPr>
          <w:rFonts w:ascii="Times New Roman" w:hAnsi="Times New Roman" w:cs="Times New Roman"/>
          <w:i/>
          <w:sz w:val="24"/>
          <w:szCs w:val="24"/>
        </w:rPr>
        <w:t>Critério</w:t>
      </w:r>
      <w:r>
        <w:rPr>
          <w:rFonts w:ascii="Times New Roman" w:hAnsi="Times New Roman" w:cs="Times New Roman"/>
          <w:i/>
          <w:sz w:val="24"/>
          <w:szCs w:val="24"/>
        </w:rPr>
        <w:t>(s)</w:t>
      </w:r>
      <w:r w:rsidRPr="00F608EB">
        <w:rPr>
          <w:rFonts w:ascii="Times New Roman" w:hAnsi="Times New Roman" w:cs="Times New Roman"/>
          <w:sz w:val="24"/>
          <w:szCs w:val="24"/>
        </w:rPr>
        <w:t xml:space="preserve">: </w:t>
      </w:r>
      <w:r w:rsidRPr="00F608EB">
        <w:rPr>
          <w:rFonts w:ascii="Times New Roman" w:hAnsi="Times New Roman" w:cs="Times New Roman"/>
          <w:sz w:val="24"/>
          <w:szCs w:val="24"/>
        </w:rPr>
        <w:tab/>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C537F9">
        <w:rPr>
          <w:rFonts w:ascii="Times New Roman" w:hAnsi="Times New Roman" w:cs="Times New Roman"/>
          <w:sz w:val="24"/>
          <w:szCs w:val="24"/>
        </w:rPr>
        <w:t xml:space="preserve">Constituição Federal Brasileira de 1988, art. 37 (princípio da eficiência); Resolução CNJ nº 240/2016, </w:t>
      </w:r>
      <w:proofErr w:type="spellStart"/>
      <w:r w:rsidRPr="00C537F9">
        <w:rPr>
          <w:rFonts w:ascii="Times New Roman" w:hAnsi="Times New Roman" w:cs="Times New Roman"/>
          <w:sz w:val="24"/>
          <w:szCs w:val="24"/>
        </w:rPr>
        <w:t>arts</w:t>
      </w:r>
      <w:proofErr w:type="spellEnd"/>
      <w:r w:rsidRPr="00C537F9">
        <w:rPr>
          <w:rFonts w:ascii="Times New Roman" w:hAnsi="Times New Roman" w:cs="Times New Roman"/>
          <w:sz w:val="24"/>
          <w:szCs w:val="24"/>
        </w:rPr>
        <w:t xml:space="preserve">. </w:t>
      </w:r>
      <w:proofErr w:type="gramStart"/>
      <w:r w:rsidRPr="00C537F9">
        <w:rPr>
          <w:rFonts w:ascii="Times New Roman" w:hAnsi="Times New Roman" w:cs="Times New Roman"/>
          <w:sz w:val="24"/>
          <w:szCs w:val="24"/>
        </w:rPr>
        <w:t>3º, V</w:t>
      </w:r>
      <w:proofErr w:type="gramEnd"/>
      <w:r w:rsidRPr="00C537F9">
        <w:rPr>
          <w:rFonts w:ascii="Times New Roman" w:hAnsi="Times New Roman" w:cs="Times New Roman"/>
          <w:sz w:val="24"/>
          <w:szCs w:val="24"/>
        </w:rPr>
        <w:t xml:space="preserve"> e VI, 4º, IX, e 5º, III; Resolução Administrativa TRE-BA nº 12/2017 (Política de Gestão de Pessoas do TRE-BA), </w:t>
      </w:r>
      <w:proofErr w:type="spellStart"/>
      <w:r w:rsidRPr="00C537F9">
        <w:rPr>
          <w:rFonts w:ascii="Times New Roman" w:hAnsi="Times New Roman" w:cs="Times New Roman"/>
          <w:sz w:val="24"/>
          <w:szCs w:val="24"/>
        </w:rPr>
        <w:t>arts</w:t>
      </w:r>
      <w:proofErr w:type="spellEnd"/>
      <w:r w:rsidRPr="00C537F9">
        <w:rPr>
          <w:rFonts w:ascii="Times New Roman" w:hAnsi="Times New Roman" w:cs="Times New Roman"/>
          <w:sz w:val="24"/>
          <w:szCs w:val="24"/>
        </w:rPr>
        <w:t xml:space="preserve">. 2º, II, 4º, V, e 5º, III e IV; Resolução Administrativa do TRE-BA nº 12/2018 (Regulamento Interno da Secretaria do Tribunal), </w:t>
      </w:r>
      <w:proofErr w:type="spellStart"/>
      <w:r w:rsidRPr="00C537F9">
        <w:rPr>
          <w:rFonts w:ascii="Times New Roman" w:hAnsi="Times New Roman" w:cs="Times New Roman"/>
          <w:sz w:val="24"/>
          <w:szCs w:val="24"/>
        </w:rPr>
        <w:t>arts</w:t>
      </w:r>
      <w:proofErr w:type="spellEnd"/>
      <w:r w:rsidRPr="00C537F9">
        <w:rPr>
          <w:rFonts w:ascii="Times New Roman" w:hAnsi="Times New Roman" w:cs="Times New Roman"/>
          <w:sz w:val="24"/>
          <w:szCs w:val="24"/>
        </w:rPr>
        <w:t xml:space="preserve">. 2º, 55, 65, II e X e 67, VII; Resolução Administrativa TRE-BA nº 15/2018 (Sistema de Governança e Gestão do TRE-BA), </w:t>
      </w:r>
      <w:proofErr w:type="spellStart"/>
      <w:r w:rsidRPr="00C537F9">
        <w:rPr>
          <w:rFonts w:ascii="Times New Roman" w:hAnsi="Times New Roman" w:cs="Times New Roman"/>
          <w:sz w:val="24"/>
          <w:szCs w:val="24"/>
        </w:rPr>
        <w:t>arts</w:t>
      </w:r>
      <w:proofErr w:type="spellEnd"/>
      <w:r w:rsidRPr="00C537F9">
        <w:rPr>
          <w:rFonts w:ascii="Times New Roman" w:hAnsi="Times New Roman" w:cs="Times New Roman"/>
          <w:sz w:val="24"/>
          <w:szCs w:val="24"/>
        </w:rPr>
        <w:t xml:space="preserve">. 3º, IV, e 6º, IV; Resolução Administrativa TRE-BA nº 18/2018 (Política de Gestão de Pessoas de TI), </w:t>
      </w:r>
      <w:proofErr w:type="spellStart"/>
      <w:r w:rsidRPr="00C537F9">
        <w:rPr>
          <w:rFonts w:ascii="Times New Roman" w:hAnsi="Times New Roman" w:cs="Times New Roman"/>
          <w:sz w:val="24"/>
          <w:szCs w:val="24"/>
        </w:rPr>
        <w:t>arts</w:t>
      </w:r>
      <w:proofErr w:type="spellEnd"/>
      <w:r w:rsidRPr="00C537F9">
        <w:rPr>
          <w:rFonts w:ascii="Times New Roman" w:hAnsi="Times New Roman" w:cs="Times New Roman"/>
          <w:sz w:val="24"/>
          <w:szCs w:val="24"/>
        </w:rPr>
        <w:t>. 2º, V, 3º, I, e 4º; e Acórdão TCU nº 1172/2015, subitens 9.1.8, 9.1.9 e 9.1.10</w:t>
      </w:r>
      <w:r w:rsidRPr="00F608EB">
        <w:rPr>
          <w:rFonts w:ascii="Times New Roman" w:hAnsi="Times New Roman" w:cs="Times New Roman"/>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Causa</w:t>
      </w:r>
      <w:r>
        <w:rPr>
          <w:rFonts w:ascii="Times New Roman" w:hAnsi="Times New Roman" w:cs="Times New Roman"/>
          <w:i/>
          <w:sz w:val="24"/>
          <w:szCs w:val="24"/>
        </w:rPr>
        <w:t>(s)</w:t>
      </w:r>
      <w:r w:rsidRPr="00F608EB">
        <w:rPr>
          <w:rFonts w:ascii="Times New Roman" w:hAnsi="Times New Roman" w:cs="Times New Roman"/>
          <w:i/>
          <w:sz w:val="24"/>
          <w:szCs w:val="24"/>
        </w:rPr>
        <w:t>:</w:t>
      </w:r>
    </w:p>
    <w:p w:rsidR="00473149" w:rsidRPr="00F608EB" w:rsidRDefault="00473149" w:rsidP="00473149">
      <w:pPr>
        <w:numPr>
          <w:ilvl w:val="4"/>
          <w:numId w:val="1"/>
        </w:numPr>
        <w:spacing w:after="0" w:line="240" w:lineRule="auto"/>
        <w:jc w:val="both"/>
        <w:rPr>
          <w:rFonts w:ascii="Times New Roman" w:hAnsi="Times New Roman" w:cs="Times New Roman"/>
          <w:i/>
          <w:sz w:val="24"/>
          <w:szCs w:val="24"/>
        </w:rPr>
      </w:pPr>
      <w:r w:rsidRPr="00C537F9">
        <w:rPr>
          <w:rFonts w:ascii="Times New Roman" w:hAnsi="Times New Roman" w:cs="Times New Roman"/>
          <w:sz w:val="24"/>
          <w:szCs w:val="24"/>
        </w:rPr>
        <w:t xml:space="preserve">Incipiente cultura organizacional em orientação para resultados; incipiente cultura organizacional em planejamento da força de trabalho em alinhamento com </w:t>
      </w:r>
      <w:proofErr w:type="gramStart"/>
      <w:r w:rsidRPr="00C537F9">
        <w:rPr>
          <w:rFonts w:ascii="Times New Roman" w:hAnsi="Times New Roman" w:cs="Times New Roman"/>
          <w:sz w:val="24"/>
          <w:szCs w:val="24"/>
        </w:rPr>
        <w:t>macro diretrizes organizacionais</w:t>
      </w:r>
      <w:proofErr w:type="gramEnd"/>
      <w:r w:rsidRPr="00C537F9">
        <w:rPr>
          <w:rFonts w:ascii="Times New Roman" w:hAnsi="Times New Roman" w:cs="Times New Roman"/>
          <w:sz w:val="24"/>
          <w:szCs w:val="24"/>
        </w:rPr>
        <w:t xml:space="preserve"> (estratégia, cadeia de valor, atividades finalísticas etc.); inc</w:t>
      </w:r>
      <w:r>
        <w:rPr>
          <w:rFonts w:ascii="Times New Roman" w:hAnsi="Times New Roman" w:cs="Times New Roman"/>
          <w:sz w:val="24"/>
          <w:szCs w:val="24"/>
        </w:rPr>
        <w:t xml:space="preserve">ipiente cultura organizacional </w:t>
      </w:r>
      <w:r w:rsidRPr="00C537F9">
        <w:rPr>
          <w:rFonts w:ascii="Times New Roman" w:hAnsi="Times New Roman" w:cs="Times New Roman"/>
          <w:sz w:val="24"/>
          <w:szCs w:val="24"/>
        </w:rPr>
        <w:t>em gerenciamento de riscos, notadamente no que tange à continuidade do negócio; recente formalização de política de gestão de</w:t>
      </w:r>
      <w:r>
        <w:rPr>
          <w:rFonts w:ascii="Times New Roman" w:hAnsi="Times New Roman" w:cs="Times New Roman"/>
          <w:sz w:val="24"/>
          <w:szCs w:val="24"/>
        </w:rPr>
        <w:t xml:space="preserve"> </w:t>
      </w:r>
      <w:r w:rsidRPr="00C537F9">
        <w:rPr>
          <w:rFonts w:ascii="Times New Roman" w:hAnsi="Times New Roman" w:cs="Times New Roman"/>
          <w:sz w:val="24"/>
          <w:szCs w:val="24"/>
        </w:rPr>
        <w:t>pessoas, contemplando diretrizes relacionadas ao dimensionamento da força de trabalho, no âmbito organizacional</w:t>
      </w:r>
      <w:r w:rsidRPr="00F608EB">
        <w:rPr>
          <w:rFonts w:ascii="Times New Roman" w:hAnsi="Times New Roman" w:cs="Times New Roman"/>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Efeito(s) (real ou potencial):</w:t>
      </w:r>
    </w:p>
    <w:p w:rsidR="00473149" w:rsidRPr="00F608EB" w:rsidRDefault="00473149" w:rsidP="00473149">
      <w:pPr>
        <w:numPr>
          <w:ilvl w:val="4"/>
          <w:numId w:val="1"/>
        </w:numPr>
        <w:spacing w:after="0" w:line="240" w:lineRule="auto"/>
        <w:jc w:val="both"/>
        <w:rPr>
          <w:rFonts w:ascii="Times New Roman" w:hAnsi="Times New Roman" w:cs="Times New Roman"/>
          <w:i/>
          <w:sz w:val="24"/>
          <w:szCs w:val="24"/>
        </w:rPr>
      </w:pPr>
      <w:r w:rsidRPr="00C537F9">
        <w:rPr>
          <w:rFonts w:ascii="Times New Roman" w:hAnsi="Times New Roman" w:cs="Times New Roman"/>
          <w:sz w:val="24"/>
          <w:szCs w:val="24"/>
        </w:rPr>
        <w:t xml:space="preserve">Comprometimento da concretização da missão e alcance da </w:t>
      </w:r>
      <w:proofErr w:type="gramStart"/>
      <w:r w:rsidRPr="00C537F9">
        <w:rPr>
          <w:rFonts w:ascii="Times New Roman" w:hAnsi="Times New Roman" w:cs="Times New Roman"/>
          <w:sz w:val="24"/>
          <w:szCs w:val="24"/>
        </w:rPr>
        <w:t>visão de futuro organizacionais</w:t>
      </w:r>
      <w:proofErr w:type="gramEnd"/>
      <w:r w:rsidRPr="00C537F9">
        <w:rPr>
          <w:rFonts w:ascii="Times New Roman" w:hAnsi="Times New Roman" w:cs="Times New Roman"/>
          <w:sz w:val="24"/>
          <w:szCs w:val="24"/>
        </w:rPr>
        <w:t>, observado ciclo de vigência definido; comprometimento da celeridade e qualidade de entregas, notadamente de Unidades que desenvolvem atividades estratégicas ou finalísticas; e comprometimento da capacidade da instituição em gerar resultados e benefícios para a sociedade</w:t>
      </w:r>
      <w:r w:rsidRPr="00F608EB">
        <w:rPr>
          <w:rFonts w:ascii="Times New Roman" w:hAnsi="Times New Roman" w:cs="Times New Roman"/>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Evidência(s):</w:t>
      </w:r>
    </w:p>
    <w:p w:rsidR="00473149" w:rsidRPr="00BE0BB1" w:rsidRDefault="00473149" w:rsidP="00473149">
      <w:pPr>
        <w:numPr>
          <w:ilvl w:val="4"/>
          <w:numId w:val="1"/>
        </w:numPr>
        <w:spacing w:after="0" w:line="240" w:lineRule="auto"/>
        <w:jc w:val="both"/>
        <w:rPr>
          <w:rFonts w:ascii="Times New Roman" w:hAnsi="Times New Roman" w:cs="Times New Roman"/>
          <w:spacing w:val="-2"/>
          <w:sz w:val="24"/>
          <w:szCs w:val="24"/>
        </w:rPr>
      </w:pPr>
      <w:r w:rsidRPr="00BE0BB1">
        <w:rPr>
          <w:rFonts w:ascii="Times New Roman" w:hAnsi="Times New Roman" w:cs="Times New Roman"/>
          <w:spacing w:val="-2"/>
          <w:sz w:val="24"/>
          <w:szCs w:val="24"/>
        </w:rPr>
        <w:t xml:space="preserve">Planejamento Estratégico do TRE-BA – 2016-2021 (Resolução Administrativa TRE-BA nº 14/2015); Relatório da Cadeia de Valor e arquitetura de processos do TRE-BA, disponível em http://www.justicaeleitoral.jus.br/arquivos/tre-ba-relatorio-da-cadeia-de-valor-e-arquitetura-de-processos-2016, acesso em 13/7/2018; respostas da SGP às </w:t>
      </w:r>
      <w:proofErr w:type="spellStart"/>
      <w:r w:rsidRPr="00BE0BB1">
        <w:rPr>
          <w:rFonts w:ascii="Times New Roman" w:hAnsi="Times New Roman" w:cs="Times New Roman"/>
          <w:spacing w:val="-2"/>
          <w:sz w:val="24"/>
          <w:szCs w:val="24"/>
        </w:rPr>
        <w:t>RDIs</w:t>
      </w:r>
      <w:proofErr w:type="spellEnd"/>
      <w:r w:rsidRPr="00BE0BB1">
        <w:rPr>
          <w:rFonts w:ascii="Times New Roman" w:hAnsi="Times New Roman" w:cs="Times New Roman"/>
          <w:spacing w:val="-2"/>
          <w:sz w:val="24"/>
          <w:szCs w:val="24"/>
        </w:rPr>
        <w:t xml:space="preserve"> nº 15/2018 (PAD nº 4180/2018, Docs. nº 57.597 e 75.735/2018) e 34/2018 </w:t>
      </w:r>
      <w:proofErr w:type="gramStart"/>
      <w:r w:rsidRPr="00BE0BB1">
        <w:rPr>
          <w:rFonts w:ascii="Times New Roman" w:hAnsi="Times New Roman" w:cs="Times New Roman"/>
          <w:spacing w:val="-2"/>
          <w:sz w:val="24"/>
          <w:szCs w:val="24"/>
        </w:rPr>
        <w:t>(PAD nº 8252/2018, Doc.</w:t>
      </w:r>
      <w:proofErr w:type="gramEnd"/>
      <w:r w:rsidRPr="00BE0BB1">
        <w:rPr>
          <w:rFonts w:ascii="Times New Roman" w:hAnsi="Times New Roman" w:cs="Times New Roman"/>
          <w:spacing w:val="-2"/>
          <w:sz w:val="24"/>
          <w:szCs w:val="24"/>
        </w:rPr>
        <w:t xml:space="preserve"> nº 110.620/2018 e cronograma de trabalhos do Projeto Gestão por Competências 2016-2021; e ata da reunião para elaboração do mapa do processo de DFT (PAD nº 4181/2018, Doc. nº 126.391/2018).</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Esclarecimentos dos responsáveis:</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83666A">
        <w:rPr>
          <w:rFonts w:ascii="Times New Roman" w:hAnsi="Times New Roman" w:cs="Times New Roman"/>
          <w:spacing w:val="-2"/>
          <w:sz w:val="24"/>
          <w:szCs w:val="24"/>
        </w:rPr>
        <w:lastRenderedPageBreak/>
        <w:t xml:space="preserve">Em resposta à RDI nº 39/2018 (PAD nº 10.441/2018, Doc. nº 138.402/2018), a SGP esclareceu que, apesar de reconhecer a importância, a necessidade e a urgência do DFT, o quadro reduzido de servidores do Órgão não permite um incremento imediato do quadro de pessoal </w:t>
      </w:r>
      <w:proofErr w:type="gramStart"/>
      <w:r w:rsidRPr="0083666A">
        <w:rPr>
          <w:rFonts w:ascii="Times New Roman" w:hAnsi="Times New Roman" w:cs="Times New Roman"/>
          <w:spacing w:val="-2"/>
          <w:sz w:val="24"/>
          <w:szCs w:val="24"/>
        </w:rPr>
        <w:t>da SEDES</w:t>
      </w:r>
      <w:proofErr w:type="gramEnd"/>
      <w:r w:rsidRPr="0083666A">
        <w:rPr>
          <w:rFonts w:ascii="Times New Roman" w:hAnsi="Times New Roman" w:cs="Times New Roman"/>
          <w:spacing w:val="-2"/>
          <w:sz w:val="24"/>
          <w:szCs w:val="24"/>
        </w:rPr>
        <w:t xml:space="preserve">. Informou que esse trabalho era anteriormente realizado pelo Comitê de Desenvolvimento Organizacional (Portaria Presidência nº 522/2016), composto por </w:t>
      </w:r>
      <w:proofErr w:type="gramStart"/>
      <w:r w:rsidRPr="0083666A">
        <w:rPr>
          <w:rFonts w:ascii="Times New Roman" w:hAnsi="Times New Roman" w:cs="Times New Roman"/>
          <w:spacing w:val="-2"/>
          <w:sz w:val="24"/>
          <w:szCs w:val="24"/>
        </w:rPr>
        <w:t>7</w:t>
      </w:r>
      <w:proofErr w:type="gramEnd"/>
      <w:r w:rsidRPr="0083666A">
        <w:rPr>
          <w:rFonts w:ascii="Times New Roman" w:hAnsi="Times New Roman" w:cs="Times New Roman"/>
          <w:spacing w:val="-2"/>
          <w:sz w:val="24"/>
          <w:szCs w:val="24"/>
        </w:rPr>
        <w:t xml:space="preserve"> servidores. Acrescentou que a SEDES possui </w:t>
      </w:r>
      <w:proofErr w:type="gramStart"/>
      <w:r w:rsidRPr="0083666A">
        <w:rPr>
          <w:rFonts w:ascii="Times New Roman" w:hAnsi="Times New Roman" w:cs="Times New Roman"/>
          <w:spacing w:val="-2"/>
          <w:sz w:val="24"/>
          <w:szCs w:val="24"/>
        </w:rPr>
        <w:t>4</w:t>
      </w:r>
      <w:proofErr w:type="gramEnd"/>
      <w:r w:rsidRPr="0083666A">
        <w:rPr>
          <w:rFonts w:ascii="Times New Roman" w:hAnsi="Times New Roman" w:cs="Times New Roman"/>
          <w:spacing w:val="-2"/>
          <w:sz w:val="24"/>
          <w:szCs w:val="24"/>
        </w:rPr>
        <w:t xml:space="preserve"> servidores, incluindo a chefe da unidade, o que impacta na sua capacidade operacional. Salientou que, mesmo que a unidade gestora do processo volte a contar com </w:t>
      </w:r>
      <w:proofErr w:type="gramStart"/>
      <w:r w:rsidRPr="0083666A">
        <w:rPr>
          <w:rFonts w:ascii="Times New Roman" w:hAnsi="Times New Roman" w:cs="Times New Roman"/>
          <w:spacing w:val="-2"/>
          <w:sz w:val="24"/>
          <w:szCs w:val="24"/>
        </w:rPr>
        <w:t>7</w:t>
      </w:r>
      <w:proofErr w:type="gramEnd"/>
      <w:r w:rsidRPr="0083666A">
        <w:rPr>
          <w:rFonts w:ascii="Times New Roman" w:hAnsi="Times New Roman" w:cs="Times New Roman"/>
          <w:spacing w:val="-2"/>
          <w:sz w:val="24"/>
          <w:szCs w:val="24"/>
        </w:rPr>
        <w:t xml:space="preserve"> servidores, não há como prepará-los para ter o grau de conhecimento e amadurecimento técnico necessário para realização das atividades relativas ao DFT no prazo estipulado (primeira metade do ciclo do planejamento estratégico), conforme registrado na RAE ocorrida em 14 de julho do corrente ano.</w:t>
      </w:r>
      <w:r w:rsidRPr="00AC025E">
        <w:rPr>
          <w:rFonts w:ascii="Times New Roman" w:hAnsi="Times New Roman" w:cs="Times New Roman"/>
          <w:sz w:val="24"/>
          <w:szCs w:val="24"/>
        </w:rPr>
        <w:t xml:space="preserve"> </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83666A">
        <w:rPr>
          <w:rFonts w:ascii="Times New Roman" w:hAnsi="Times New Roman" w:cs="Times New Roman"/>
          <w:spacing w:val="-2"/>
          <w:sz w:val="24"/>
          <w:szCs w:val="24"/>
        </w:rPr>
        <w:t xml:space="preserve">Com relação à realização de estudos e apresentação de proposta com medidas destinadas a contornar a reduzida capacidade operacional da unidade de modo a assegurar o DFT de todas as unidades administrativas e judiciárias do TRE-BA, garantiu, para dezembro de 2018, a </w:t>
      </w:r>
      <w:proofErr w:type="spellStart"/>
      <w:r w:rsidRPr="0083666A">
        <w:rPr>
          <w:rFonts w:ascii="Times New Roman" w:hAnsi="Times New Roman" w:cs="Times New Roman"/>
          <w:spacing w:val="-2"/>
          <w:sz w:val="24"/>
          <w:szCs w:val="24"/>
        </w:rPr>
        <w:t>manualização</w:t>
      </w:r>
      <w:proofErr w:type="spellEnd"/>
      <w:r w:rsidRPr="0083666A">
        <w:rPr>
          <w:rFonts w:ascii="Times New Roman" w:hAnsi="Times New Roman" w:cs="Times New Roman"/>
          <w:spacing w:val="-2"/>
          <w:sz w:val="24"/>
          <w:szCs w:val="24"/>
        </w:rPr>
        <w:t xml:space="preserve"> das rotinas e procedimentos e o incremento do quadro da unidade gestora do processo de trabalho. Ponderou, entretanto, que o conhecimento e o amadurecimento técnico dessa equipe adicionada não são possíveis em um curto espaço de tempo, sendo necessária, para alcançar o aludido amadurecimento, a participação da nova equipe em, pelo menos, um ciclo completo.</w:t>
      </w:r>
      <w:r w:rsidRPr="00AC025E">
        <w:rPr>
          <w:rFonts w:ascii="Times New Roman" w:hAnsi="Times New Roman" w:cs="Times New Roman"/>
          <w:sz w:val="24"/>
          <w:szCs w:val="24"/>
        </w:rPr>
        <w:t xml:space="preserve"> </w:t>
      </w:r>
    </w:p>
    <w:p w:rsidR="00473149" w:rsidRPr="00971AD9" w:rsidRDefault="00473149" w:rsidP="00473149">
      <w:pPr>
        <w:numPr>
          <w:ilvl w:val="4"/>
          <w:numId w:val="1"/>
        </w:numPr>
        <w:spacing w:after="0" w:line="240" w:lineRule="auto"/>
        <w:jc w:val="both"/>
        <w:rPr>
          <w:rFonts w:ascii="Times New Roman" w:hAnsi="Times New Roman" w:cs="Times New Roman"/>
          <w:spacing w:val="-2"/>
          <w:sz w:val="24"/>
          <w:szCs w:val="24"/>
        </w:rPr>
      </w:pPr>
      <w:r w:rsidRPr="0083666A">
        <w:rPr>
          <w:rFonts w:ascii="Times New Roman" w:hAnsi="Times New Roman" w:cs="Times New Roman"/>
          <w:spacing w:val="-2"/>
          <w:sz w:val="24"/>
          <w:szCs w:val="24"/>
        </w:rPr>
        <w:t xml:space="preserve">Quanto à recomendação de priorização das unidades responsáveis pelo cumprimento do maior número de metas, informou ser possível o reajuste do calendário geral do Projeto Gestão por Competências, que serve de base para os estudos relativos ao DFT, de </w:t>
      </w:r>
      <w:r w:rsidRPr="00971AD9">
        <w:rPr>
          <w:rFonts w:ascii="Times New Roman" w:hAnsi="Times New Roman" w:cs="Times New Roman"/>
          <w:spacing w:val="-2"/>
          <w:sz w:val="24"/>
          <w:szCs w:val="24"/>
        </w:rPr>
        <w:t>forma a atender ao encaminhamento proposto.</w:t>
      </w:r>
    </w:p>
    <w:p w:rsidR="00473149" w:rsidRPr="00971AD9" w:rsidRDefault="00473149" w:rsidP="00473149">
      <w:pPr>
        <w:numPr>
          <w:ilvl w:val="4"/>
          <w:numId w:val="1"/>
        </w:numPr>
        <w:spacing w:after="0" w:line="240" w:lineRule="auto"/>
        <w:jc w:val="both"/>
        <w:rPr>
          <w:rFonts w:ascii="Times New Roman" w:hAnsi="Times New Roman" w:cs="Times New Roman"/>
          <w:spacing w:val="-2"/>
          <w:sz w:val="24"/>
          <w:szCs w:val="24"/>
        </w:rPr>
      </w:pPr>
      <w:r w:rsidRPr="00971AD9">
        <w:rPr>
          <w:rFonts w:ascii="Times New Roman" w:hAnsi="Times New Roman" w:cs="Times New Roman"/>
          <w:spacing w:val="-2"/>
          <w:sz w:val="24"/>
          <w:szCs w:val="24"/>
        </w:rPr>
        <w:t xml:space="preserve">Em resposta à RDI Circular nº 13/2018 (PAD nº 11.047/2018, Doc. nº 142.622/2018) a ASSESP ratificou a necessidade de realização de estudos e apresentação de proposta à Alta Administração, contemplando medidas destinadas a contornar a reduzida capacidade operacional da unidade, de modo a assegurar o dimensionamento da força de trabalho de todas as unidades do TRE-BA. </w:t>
      </w:r>
    </w:p>
    <w:p w:rsidR="00473149" w:rsidRPr="00971AD9" w:rsidRDefault="00CF3A56" w:rsidP="00473149">
      <w:pPr>
        <w:numPr>
          <w:ilvl w:val="4"/>
          <w:numId w:val="1"/>
        </w:numPr>
        <w:spacing w:after="0" w:line="240" w:lineRule="auto"/>
        <w:jc w:val="both"/>
        <w:rPr>
          <w:rFonts w:ascii="Times New Roman" w:hAnsi="Times New Roman" w:cs="Times New Roman"/>
          <w:spacing w:val="-2"/>
          <w:sz w:val="24"/>
          <w:szCs w:val="24"/>
        </w:rPr>
      </w:pPr>
      <w:r>
        <w:rPr>
          <w:rFonts w:ascii="Times New Roman" w:hAnsi="Times New Roman" w:cs="Times New Roman"/>
          <w:spacing w:val="-2"/>
          <w:sz w:val="24"/>
          <w:szCs w:val="24"/>
        </w:rPr>
        <w:t>Também e</w:t>
      </w:r>
      <w:r w:rsidR="00473149" w:rsidRPr="00971AD9">
        <w:rPr>
          <w:rFonts w:ascii="Times New Roman" w:hAnsi="Times New Roman" w:cs="Times New Roman"/>
          <w:spacing w:val="-2"/>
          <w:sz w:val="24"/>
          <w:szCs w:val="24"/>
        </w:rPr>
        <w:t xml:space="preserve">m resposta à </w:t>
      </w:r>
      <w:r>
        <w:rPr>
          <w:rFonts w:ascii="Times New Roman" w:hAnsi="Times New Roman" w:cs="Times New Roman"/>
          <w:spacing w:val="-2"/>
          <w:sz w:val="24"/>
          <w:szCs w:val="24"/>
        </w:rPr>
        <w:t xml:space="preserve">sobredita </w:t>
      </w:r>
      <w:r w:rsidR="00971AD9" w:rsidRPr="00971AD9">
        <w:rPr>
          <w:rFonts w:ascii="Times New Roman" w:hAnsi="Times New Roman" w:cs="Times New Roman"/>
          <w:spacing w:val="-2"/>
          <w:sz w:val="24"/>
          <w:szCs w:val="24"/>
        </w:rPr>
        <w:t>RDI</w:t>
      </w:r>
      <w:r w:rsidR="00473149" w:rsidRPr="00971AD9">
        <w:rPr>
          <w:rFonts w:ascii="Times New Roman" w:hAnsi="Times New Roman" w:cs="Times New Roman"/>
          <w:spacing w:val="-2"/>
          <w:sz w:val="24"/>
          <w:szCs w:val="24"/>
        </w:rPr>
        <w:t xml:space="preserve"> </w:t>
      </w:r>
      <w:r w:rsidR="00655507">
        <w:rPr>
          <w:rFonts w:ascii="Times New Roman" w:hAnsi="Times New Roman" w:cs="Times New Roman"/>
          <w:spacing w:val="-2"/>
          <w:sz w:val="24"/>
          <w:szCs w:val="24"/>
        </w:rPr>
        <w:t xml:space="preserve">Circular </w:t>
      </w:r>
      <w:r w:rsidR="00473149" w:rsidRPr="00971AD9">
        <w:rPr>
          <w:rFonts w:ascii="Times New Roman" w:hAnsi="Times New Roman" w:cs="Times New Roman"/>
          <w:spacing w:val="-2"/>
          <w:sz w:val="24"/>
          <w:szCs w:val="24"/>
        </w:rPr>
        <w:t>(Doc. nº 145.284/2018)</w:t>
      </w:r>
      <w:r>
        <w:rPr>
          <w:rFonts w:ascii="Times New Roman" w:hAnsi="Times New Roman" w:cs="Times New Roman"/>
          <w:spacing w:val="-2"/>
          <w:sz w:val="24"/>
          <w:szCs w:val="24"/>
        </w:rPr>
        <w:t>,</w:t>
      </w:r>
      <w:r w:rsidR="00473149" w:rsidRPr="00971AD9">
        <w:rPr>
          <w:rFonts w:ascii="Times New Roman" w:hAnsi="Times New Roman" w:cs="Times New Roman"/>
          <w:spacing w:val="-2"/>
          <w:sz w:val="24"/>
          <w:szCs w:val="24"/>
        </w:rPr>
        <w:t xml:space="preserve"> a SGP ratificou informações anteriormente prestadas </w:t>
      </w:r>
      <w:r w:rsidR="00971AD9" w:rsidRPr="00971AD9">
        <w:rPr>
          <w:rFonts w:ascii="Times New Roman" w:hAnsi="Times New Roman" w:cs="Times New Roman"/>
          <w:spacing w:val="-2"/>
          <w:sz w:val="24"/>
          <w:szCs w:val="24"/>
        </w:rPr>
        <w:t xml:space="preserve">no </w:t>
      </w:r>
      <w:r w:rsidR="00473149" w:rsidRPr="00971AD9">
        <w:rPr>
          <w:rFonts w:ascii="Times New Roman" w:hAnsi="Times New Roman" w:cs="Times New Roman"/>
          <w:spacing w:val="-2"/>
          <w:sz w:val="24"/>
          <w:szCs w:val="24"/>
        </w:rPr>
        <w:t xml:space="preserve">PAD nº 10.441/2018, Doc. </w:t>
      </w:r>
      <w:proofErr w:type="gramStart"/>
      <w:r w:rsidR="00473149" w:rsidRPr="00971AD9">
        <w:rPr>
          <w:rFonts w:ascii="Times New Roman" w:hAnsi="Times New Roman" w:cs="Times New Roman"/>
          <w:spacing w:val="-2"/>
          <w:sz w:val="24"/>
          <w:szCs w:val="24"/>
        </w:rPr>
        <w:t>nº</w:t>
      </w:r>
      <w:proofErr w:type="gramEnd"/>
      <w:r w:rsidR="00473149" w:rsidRPr="00971AD9">
        <w:rPr>
          <w:rFonts w:ascii="Times New Roman" w:hAnsi="Times New Roman" w:cs="Times New Roman"/>
          <w:spacing w:val="-2"/>
          <w:sz w:val="24"/>
          <w:szCs w:val="24"/>
        </w:rPr>
        <w:t xml:space="preserve"> 138.402/2018.</w:t>
      </w:r>
    </w:p>
    <w:p w:rsidR="00473149" w:rsidRPr="00866AD9" w:rsidRDefault="00473149" w:rsidP="00473149">
      <w:pPr>
        <w:numPr>
          <w:ilvl w:val="3"/>
          <w:numId w:val="1"/>
        </w:numPr>
        <w:spacing w:after="0" w:line="240" w:lineRule="auto"/>
        <w:jc w:val="both"/>
        <w:rPr>
          <w:rFonts w:ascii="Times New Roman" w:hAnsi="Times New Roman" w:cs="Times New Roman"/>
          <w:sz w:val="24"/>
          <w:szCs w:val="24"/>
        </w:rPr>
      </w:pPr>
      <w:r w:rsidRPr="00AC025E">
        <w:rPr>
          <w:rFonts w:ascii="Times New Roman" w:hAnsi="Times New Roman" w:cs="Times New Roman"/>
          <w:sz w:val="24"/>
          <w:szCs w:val="24"/>
        </w:rPr>
        <w:t xml:space="preserve"> </w:t>
      </w:r>
      <w:r w:rsidRPr="00F608EB">
        <w:rPr>
          <w:rFonts w:ascii="Times New Roman" w:hAnsi="Times New Roman" w:cs="Times New Roman"/>
          <w:i/>
          <w:sz w:val="24"/>
          <w:szCs w:val="24"/>
        </w:rPr>
        <w:t>Conclusão da equipe de auditoria:</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Em que pese as dificuldades relatadas pela SGP e o compromisso firmado de </w:t>
      </w:r>
      <w:proofErr w:type="spellStart"/>
      <w:r>
        <w:rPr>
          <w:rFonts w:ascii="Times New Roman" w:hAnsi="Times New Roman" w:cs="Times New Roman"/>
          <w:sz w:val="24"/>
          <w:szCs w:val="24"/>
        </w:rPr>
        <w:t>manualização</w:t>
      </w:r>
      <w:proofErr w:type="spellEnd"/>
      <w:r>
        <w:rPr>
          <w:rFonts w:ascii="Times New Roman" w:hAnsi="Times New Roman" w:cs="Times New Roman"/>
          <w:sz w:val="24"/>
          <w:szCs w:val="24"/>
        </w:rPr>
        <w:t xml:space="preserve"> das rotinas e procedimentos, bem como de incremento do quadro </w:t>
      </w:r>
      <w:proofErr w:type="gramStart"/>
      <w:r>
        <w:rPr>
          <w:rFonts w:ascii="Times New Roman" w:hAnsi="Times New Roman" w:cs="Times New Roman"/>
          <w:sz w:val="24"/>
          <w:szCs w:val="24"/>
        </w:rPr>
        <w:t>da SEDES</w:t>
      </w:r>
      <w:proofErr w:type="gramEnd"/>
      <w:r>
        <w:rPr>
          <w:rFonts w:ascii="Times New Roman" w:hAnsi="Times New Roman" w:cs="Times New Roman"/>
          <w:sz w:val="24"/>
          <w:szCs w:val="24"/>
        </w:rPr>
        <w:t xml:space="preserve"> até dezembro de 2018, conclui-se que, enquanto não realizados os estudos e propostas medidas destinadas a mitigar a reduzida capacidade operacional da unidade</w:t>
      </w:r>
      <w:r w:rsidR="00207803">
        <w:rPr>
          <w:rFonts w:ascii="Times New Roman" w:hAnsi="Times New Roman" w:cs="Times New Roman"/>
          <w:sz w:val="24"/>
          <w:szCs w:val="24"/>
        </w:rPr>
        <w:t>, de modo a</w:t>
      </w:r>
      <w:r>
        <w:rPr>
          <w:rFonts w:ascii="Times New Roman" w:hAnsi="Times New Roman" w:cs="Times New Roman"/>
          <w:sz w:val="24"/>
          <w:szCs w:val="24"/>
        </w:rPr>
        <w:t xml:space="preserve"> viabilizar a tomada de decisão no intuito de assegurar a realização do DFT no âmbito deste Tribunal, observado ciclo da estratégia vigente, subsistirá a fragilidade ora evidenciada</w:t>
      </w:r>
      <w:r w:rsidRPr="002B58AC">
        <w:rPr>
          <w:rFonts w:ascii="Times New Roman" w:hAnsi="Times New Roman" w:cs="Times New Roman"/>
          <w:sz w:val="24"/>
          <w:szCs w:val="24"/>
        </w:rPr>
        <w:t>.</w:t>
      </w:r>
    </w:p>
    <w:p w:rsidR="00473149"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866AD9">
        <w:rPr>
          <w:rFonts w:ascii="Times New Roman" w:hAnsi="Times New Roman" w:cs="Times New Roman"/>
          <w:i/>
          <w:sz w:val="24"/>
          <w:szCs w:val="24"/>
        </w:rPr>
        <w:t>P</w:t>
      </w:r>
      <w:r>
        <w:rPr>
          <w:rFonts w:ascii="Times New Roman" w:hAnsi="Times New Roman" w:cs="Times New Roman"/>
          <w:i/>
          <w:sz w:val="24"/>
          <w:szCs w:val="24"/>
        </w:rPr>
        <w:t>roposta de encaminhamento:</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8253BD">
        <w:rPr>
          <w:rFonts w:ascii="Times New Roman" w:hAnsi="Times New Roman" w:cs="Times New Roman"/>
          <w:sz w:val="24"/>
          <w:szCs w:val="24"/>
        </w:rPr>
        <w:t xml:space="preserve">Recomendar à SGP que, observado o prazo de </w:t>
      </w:r>
      <w:r w:rsidRPr="00971AD9">
        <w:rPr>
          <w:rFonts w:ascii="Times New Roman" w:hAnsi="Times New Roman" w:cs="Times New Roman"/>
          <w:sz w:val="24"/>
          <w:szCs w:val="24"/>
        </w:rPr>
        <w:t xml:space="preserve">90 </w:t>
      </w:r>
      <w:r w:rsidRPr="008253BD">
        <w:rPr>
          <w:rFonts w:ascii="Times New Roman" w:hAnsi="Times New Roman" w:cs="Times New Roman"/>
          <w:sz w:val="24"/>
          <w:szCs w:val="24"/>
        </w:rPr>
        <w:t xml:space="preserve">dias, realize estudos e apresente proposta à Presidência e Diretoria-Geral contemplando medidas destinadas a contornar a reduzida capacidade operacional da unidade de modo a assegurar o dimensionamento da força de trabalho de todas as unidades administrativas e judiciárias do TRE-BA, preferencialmente, na primeira metade do ciclo do planejamento estratégico de referência, a exemplo de: formalização de critérios que assegurem dimensionamento prioritário às unidades responsáveis pelo </w:t>
      </w:r>
      <w:r w:rsidRPr="008253BD">
        <w:rPr>
          <w:rFonts w:ascii="Times New Roman" w:hAnsi="Times New Roman" w:cs="Times New Roman"/>
          <w:sz w:val="24"/>
          <w:szCs w:val="24"/>
        </w:rPr>
        <w:lastRenderedPageBreak/>
        <w:t xml:space="preserve">cumprimento de maior número de objetivos e metas organizacionais ou desenvolvimento de atividades finalísticas; racionalização de procedimentos; normatização do processo de trabalho e </w:t>
      </w:r>
      <w:proofErr w:type="spellStart"/>
      <w:r w:rsidRPr="008253BD">
        <w:rPr>
          <w:rFonts w:ascii="Times New Roman" w:hAnsi="Times New Roman" w:cs="Times New Roman"/>
          <w:sz w:val="24"/>
          <w:szCs w:val="24"/>
        </w:rPr>
        <w:t>manualização</w:t>
      </w:r>
      <w:proofErr w:type="spellEnd"/>
      <w:r w:rsidRPr="008253BD">
        <w:rPr>
          <w:rFonts w:ascii="Times New Roman" w:hAnsi="Times New Roman" w:cs="Times New Roman"/>
          <w:sz w:val="24"/>
          <w:szCs w:val="24"/>
        </w:rPr>
        <w:t xml:space="preserve"> de rotinas e procedimentos; incremento do quadro de pessoal </w:t>
      </w:r>
      <w:proofErr w:type="gramStart"/>
      <w:r w:rsidRPr="008253BD">
        <w:rPr>
          <w:rFonts w:ascii="Times New Roman" w:hAnsi="Times New Roman" w:cs="Times New Roman"/>
          <w:sz w:val="24"/>
          <w:szCs w:val="24"/>
        </w:rPr>
        <w:t>da SEDES</w:t>
      </w:r>
      <w:proofErr w:type="gramEnd"/>
      <w:r w:rsidRPr="008253BD">
        <w:rPr>
          <w:rFonts w:ascii="Times New Roman" w:hAnsi="Times New Roman" w:cs="Times New Roman"/>
          <w:sz w:val="24"/>
          <w:szCs w:val="24"/>
        </w:rPr>
        <w:t>; e/ou aporte de capacitação dos servidores envolvidos com a execução da atividade.</w:t>
      </w:r>
    </w:p>
    <w:p w:rsidR="00473149" w:rsidRDefault="00473149" w:rsidP="00473149">
      <w:pPr>
        <w:numPr>
          <w:ilvl w:val="2"/>
          <w:numId w:val="1"/>
        </w:numPr>
        <w:spacing w:before="120" w:after="120" w:line="240" w:lineRule="auto"/>
        <w:jc w:val="both"/>
        <w:rPr>
          <w:rFonts w:ascii="Times New Roman" w:hAnsi="Times New Roman" w:cs="Times New Roman"/>
          <w:sz w:val="24"/>
          <w:szCs w:val="24"/>
          <w:u w:val="single"/>
        </w:rPr>
      </w:pPr>
      <w:r w:rsidRPr="00C537F9">
        <w:rPr>
          <w:rFonts w:ascii="Times New Roman" w:hAnsi="Times New Roman" w:cs="Times New Roman"/>
          <w:sz w:val="24"/>
          <w:szCs w:val="24"/>
          <w:u w:val="single"/>
        </w:rPr>
        <w:t>Deficiência de formalização de critérios referenciais e procedimentos para lotação inicial e movimentação de pessoal</w:t>
      </w:r>
      <w:r w:rsidRPr="00F608EB">
        <w:rPr>
          <w:rFonts w:ascii="Times New Roman" w:hAnsi="Times New Roman" w:cs="Times New Roman"/>
          <w:sz w:val="24"/>
          <w:szCs w:val="24"/>
          <w:u w:val="single"/>
        </w:rPr>
        <w:t>.</w:t>
      </w:r>
    </w:p>
    <w:p w:rsidR="00473149" w:rsidRPr="00037370" w:rsidRDefault="00473149" w:rsidP="00473149">
      <w:pPr>
        <w:spacing w:before="120" w:after="120" w:line="240" w:lineRule="auto"/>
        <w:jc w:val="both"/>
        <w:rPr>
          <w:rFonts w:ascii="Times New Roman" w:hAnsi="Times New Roman" w:cs="Times New Roman"/>
          <w:i/>
          <w:sz w:val="24"/>
          <w:szCs w:val="24"/>
          <w:u w:val="single"/>
        </w:rPr>
      </w:pPr>
      <w:r w:rsidRPr="00037370">
        <w:rPr>
          <w:rFonts w:ascii="Times New Roman" w:hAnsi="Times New Roman" w:cs="Times New Roman"/>
          <w:i/>
          <w:spacing w:val="-2"/>
          <w:sz w:val="24"/>
          <w:szCs w:val="24"/>
        </w:rPr>
        <w:t xml:space="preserve">Risco(s) associado(s): </w:t>
      </w:r>
      <w:r w:rsidRPr="00037370">
        <w:rPr>
          <w:rFonts w:ascii="Times New Roman" w:hAnsi="Times New Roman" w:cs="Times New Roman"/>
          <w:i/>
          <w:sz w:val="24"/>
          <w:szCs w:val="24"/>
        </w:rPr>
        <w:t>R1 - TSE: Alocação e movimentação inadequada (</w:t>
      </w:r>
      <w:proofErr w:type="gramStart"/>
      <w:r w:rsidRPr="00037370">
        <w:rPr>
          <w:rFonts w:ascii="Times New Roman" w:hAnsi="Times New Roman" w:cs="Times New Roman"/>
          <w:i/>
          <w:sz w:val="24"/>
          <w:szCs w:val="24"/>
        </w:rPr>
        <w:t>quantitativa/qualitativa</w:t>
      </w:r>
      <w:proofErr w:type="gramEnd"/>
      <w:r w:rsidRPr="00037370">
        <w:rPr>
          <w:rFonts w:ascii="Times New Roman" w:hAnsi="Times New Roman" w:cs="Times New Roman"/>
          <w:i/>
          <w:sz w:val="24"/>
          <w:szCs w:val="24"/>
        </w:rPr>
        <w:t>) de pessoal.</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sz w:val="24"/>
          <w:szCs w:val="24"/>
        </w:rPr>
      </w:pPr>
      <w:r w:rsidRPr="00F608EB">
        <w:rPr>
          <w:rFonts w:ascii="Times New Roman" w:hAnsi="Times New Roman" w:cs="Times New Roman"/>
          <w:i/>
          <w:sz w:val="24"/>
          <w:szCs w:val="24"/>
        </w:rPr>
        <w:t>Situação encontrada</w:t>
      </w:r>
      <w:r w:rsidRPr="00F608EB">
        <w:rPr>
          <w:rFonts w:ascii="Times New Roman" w:hAnsi="Times New Roman" w:cs="Times New Roman"/>
          <w:sz w:val="24"/>
          <w:szCs w:val="24"/>
        </w:rPr>
        <w:t xml:space="preserve">: </w:t>
      </w:r>
      <w:r w:rsidRPr="00F608EB">
        <w:rPr>
          <w:rFonts w:ascii="Times New Roman" w:hAnsi="Times New Roman" w:cs="Times New Roman"/>
          <w:sz w:val="24"/>
          <w:szCs w:val="24"/>
        </w:rPr>
        <w:tab/>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2766F6">
        <w:rPr>
          <w:rFonts w:ascii="Times New Roman" w:hAnsi="Times New Roman" w:cs="Times New Roman"/>
          <w:sz w:val="24"/>
          <w:szCs w:val="24"/>
        </w:rPr>
        <w:t xml:space="preserve">Verificou-se que os procedimentos gerais afetos à lotação e </w:t>
      </w:r>
      <w:proofErr w:type="spellStart"/>
      <w:r w:rsidRPr="002766F6">
        <w:rPr>
          <w:rFonts w:ascii="Times New Roman" w:hAnsi="Times New Roman" w:cs="Times New Roman"/>
          <w:sz w:val="24"/>
          <w:szCs w:val="24"/>
        </w:rPr>
        <w:t>relotação</w:t>
      </w:r>
      <w:proofErr w:type="spellEnd"/>
      <w:r w:rsidRPr="002766F6">
        <w:rPr>
          <w:rFonts w:ascii="Times New Roman" w:hAnsi="Times New Roman" w:cs="Times New Roman"/>
          <w:sz w:val="24"/>
          <w:szCs w:val="24"/>
        </w:rPr>
        <w:t xml:space="preserve"> de servidores encontram-se regulamentados pela Portaria do Diretor-Geral nº 359, de 15 de junho de 2007. Registre-se que o referido normativo não dispõe sobre critérios para dimensionamento quantitativo ou qualitativo da força de trabalho. Constatou-se, adicionalmente, que dispositivos do sobredito regramento</w:t>
      </w:r>
      <w:r>
        <w:rPr>
          <w:rFonts w:ascii="Times New Roman" w:hAnsi="Times New Roman" w:cs="Times New Roman"/>
          <w:sz w:val="24"/>
          <w:szCs w:val="24"/>
        </w:rPr>
        <w:t xml:space="preserve"> </w:t>
      </w:r>
      <w:r w:rsidRPr="002766F6">
        <w:rPr>
          <w:rFonts w:ascii="Times New Roman" w:hAnsi="Times New Roman" w:cs="Times New Roman"/>
          <w:sz w:val="24"/>
          <w:szCs w:val="24"/>
        </w:rPr>
        <w:t xml:space="preserve">se encontram em desuso, a exemplo do §2º, do art. 1º e art. 7º, ou são praticados de forma parcialmente diversa, a exemplo do §1º, do art. 1º. Registre-se que as disposições insertas nos </w:t>
      </w:r>
      <w:proofErr w:type="spellStart"/>
      <w:r w:rsidRPr="002766F6">
        <w:rPr>
          <w:rFonts w:ascii="Times New Roman" w:hAnsi="Times New Roman" w:cs="Times New Roman"/>
          <w:sz w:val="24"/>
          <w:szCs w:val="24"/>
        </w:rPr>
        <w:t>arts</w:t>
      </w:r>
      <w:proofErr w:type="spellEnd"/>
      <w:r w:rsidRPr="002766F6">
        <w:rPr>
          <w:rFonts w:ascii="Times New Roman" w:hAnsi="Times New Roman" w:cs="Times New Roman"/>
          <w:sz w:val="24"/>
          <w:szCs w:val="24"/>
        </w:rPr>
        <w:t>. 1º, §2º, e 7º encontram-se, ainda, em desalinho com o quanto disposto no art. 128, inciso VII, do Regulamento Interno da Secretaria do Tribunal (Resolução Administrativa TRE-BA nº 12, de 30 de abril de 2018)</w:t>
      </w:r>
      <w:r w:rsidRPr="00F608EB">
        <w:rPr>
          <w:rFonts w:ascii="Times New Roman" w:hAnsi="Times New Roman" w:cs="Times New Roman"/>
          <w:sz w:val="24"/>
          <w:szCs w:val="24"/>
        </w:rPr>
        <w:t xml:space="preserve">. </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2766F6">
        <w:rPr>
          <w:rFonts w:ascii="Times New Roman" w:hAnsi="Times New Roman" w:cs="Times New Roman"/>
          <w:sz w:val="24"/>
          <w:szCs w:val="24"/>
        </w:rPr>
        <w:t>Acrescente-se informação da SGP no sentido de inclusão, no planejamento da COTEC para 2018, da elaboração de minuta de norma interna que verse sobre critérios e procedimentos de lotação, a partir da realização de estudos e do aproveitamento dos resultados dos trabalhos de dimensionamento da força de trabalho e do Projeto Movimentar, implantado pela Secretaria em 2017</w:t>
      </w:r>
      <w:r w:rsidRPr="00F608EB">
        <w:rPr>
          <w:rFonts w:ascii="Times New Roman" w:hAnsi="Times New Roman" w:cs="Times New Roman"/>
          <w:sz w:val="24"/>
          <w:szCs w:val="24"/>
        </w:rPr>
        <w:t xml:space="preserve">. </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2766F6">
        <w:rPr>
          <w:rFonts w:ascii="Times New Roman" w:hAnsi="Times New Roman" w:cs="Times New Roman"/>
          <w:sz w:val="24"/>
          <w:szCs w:val="24"/>
        </w:rPr>
        <w:t>Paralelamente, verificou-se que o TRE-BA não possui Tabela de Lotação de Cargos (TLC) por unidade formalizada. Contudo constatou-se que a SGP utiliza como referencial para lotação da força de trabalho nas unidades administrativas e judiciárias do Tribunal o quantitativo mínimo de três servidores para Seções e Zonas Eleitorais da Capital e dois para Gabinetes de Juízes e Zonas Eleitorais do Interior do Estado</w:t>
      </w:r>
      <w:r w:rsidRPr="00F608EB">
        <w:rPr>
          <w:rFonts w:ascii="Times New Roman" w:hAnsi="Times New Roman" w:cs="Times New Roman"/>
          <w:sz w:val="24"/>
          <w:szCs w:val="24"/>
        </w:rPr>
        <w:t>.</w:t>
      </w:r>
    </w:p>
    <w:p w:rsidR="00473149" w:rsidRPr="002766F6" w:rsidRDefault="00473149" w:rsidP="00473149">
      <w:pPr>
        <w:numPr>
          <w:ilvl w:val="4"/>
          <w:numId w:val="1"/>
        </w:numPr>
        <w:spacing w:after="0" w:line="240" w:lineRule="auto"/>
        <w:jc w:val="both"/>
        <w:rPr>
          <w:rFonts w:ascii="Times New Roman" w:hAnsi="Times New Roman" w:cs="Times New Roman"/>
          <w:sz w:val="24"/>
          <w:szCs w:val="24"/>
        </w:rPr>
      </w:pPr>
      <w:r w:rsidRPr="002766F6">
        <w:rPr>
          <w:rFonts w:ascii="Times New Roman" w:hAnsi="Times New Roman" w:cs="Times New Roman"/>
          <w:sz w:val="24"/>
          <w:szCs w:val="24"/>
        </w:rPr>
        <w:t xml:space="preserve">Acrescente-se que, no que tange à lotação e movimentação, nas zonas eleitorais, a Resolução Administrativa do TRE-BA nº 3/2004 estabelece que </w:t>
      </w:r>
      <w:proofErr w:type="gramStart"/>
      <w:r w:rsidRPr="002766F6">
        <w:rPr>
          <w:rFonts w:ascii="Times New Roman" w:hAnsi="Times New Roman" w:cs="Times New Roman"/>
          <w:sz w:val="24"/>
          <w:szCs w:val="24"/>
        </w:rPr>
        <w:t>deverá</w:t>
      </w:r>
      <w:proofErr w:type="gramEnd"/>
      <w:r w:rsidRPr="002766F6">
        <w:rPr>
          <w:rFonts w:ascii="Times New Roman" w:hAnsi="Times New Roman" w:cs="Times New Roman"/>
          <w:sz w:val="24"/>
          <w:szCs w:val="24"/>
        </w:rPr>
        <w:t xml:space="preserve"> ser observado o número mínimo de lotação de dois servidores observado o seguinte perfil de cargos: um Técnico Judiciário Área Administrativa e um Analista Judiciário Área Judiciária ou Administrativa por Zona Eleitoral</w:t>
      </w:r>
      <w:r>
        <w:rPr>
          <w:sz w:val="20"/>
          <w:szCs w:val="20"/>
        </w:rPr>
        <w:t>.</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2766F6">
        <w:rPr>
          <w:rFonts w:ascii="Times New Roman" w:hAnsi="Times New Roman" w:cs="Times New Roman"/>
          <w:sz w:val="24"/>
          <w:szCs w:val="24"/>
        </w:rPr>
        <w:t>Registre-se, no que tange à área de Tecnologia da Informação e Comunicação (TIC), que a Resolução CNJ nº 211, de 15 de dezembro de 2015 estabeleceu um quantitativo mínimo de servidores do quadro permanente da área de TIC de acordo com o número de usuários internos e externos dos serviços de TIC, sem especificar, contudo, perfil de cargos ou de competências associadas. Ressalte-se que o referido referencial mínimo foi recepcionado pela Política de Gestão de Pessoas de TIC organizacional, consoante teor do §2º, do art. 4º, da Resolução Administrativa TRE-BA nº 18, de 20 de junho de 2018</w:t>
      </w:r>
      <w:r>
        <w:rPr>
          <w:rFonts w:ascii="Times New Roman" w:hAnsi="Times New Roman" w:cs="Times New Roman"/>
          <w:sz w:val="24"/>
          <w:szCs w:val="24"/>
        </w:rPr>
        <w:t>.</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2766F6">
        <w:rPr>
          <w:rFonts w:ascii="Times New Roman" w:hAnsi="Times New Roman" w:cs="Times New Roman"/>
          <w:sz w:val="24"/>
          <w:szCs w:val="24"/>
        </w:rPr>
        <w:t>Verificou-se, ainda, que a SGP realiza a lotação de servidores nas Secretarias, cabendo aos respectivos gestores proceder à distribuição interna dos mesmos nas Seções vinculadas. Em se tratando de Zonas Eleitorais, Assessorias e Gabinetes de</w:t>
      </w:r>
      <w:r>
        <w:rPr>
          <w:rFonts w:ascii="Times New Roman" w:hAnsi="Times New Roman" w:cs="Times New Roman"/>
          <w:sz w:val="24"/>
          <w:szCs w:val="24"/>
        </w:rPr>
        <w:t xml:space="preserve"> </w:t>
      </w:r>
      <w:r w:rsidRPr="005A1163">
        <w:rPr>
          <w:rFonts w:ascii="Times New Roman" w:hAnsi="Times New Roman" w:cs="Times New Roman"/>
          <w:sz w:val="24"/>
          <w:szCs w:val="24"/>
        </w:rPr>
        <w:t>Juízes, a lotação se processa diretamente na unidade judiciária ou administrativa</w:t>
      </w:r>
      <w:r>
        <w:rPr>
          <w:rFonts w:ascii="Times New Roman" w:hAnsi="Times New Roman" w:cs="Times New Roman"/>
          <w:sz w:val="24"/>
          <w:szCs w:val="24"/>
        </w:rPr>
        <w:t>.</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5A1163">
        <w:rPr>
          <w:rFonts w:ascii="Times New Roman" w:hAnsi="Times New Roman" w:cs="Times New Roman"/>
          <w:sz w:val="24"/>
          <w:szCs w:val="24"/>
        </w:rPr>
        <w:lastRenderedPageBreak/>
        <w:t>Não se evidenciou, no critério de lotação adotado pela SGP, a ponderação das peculiaridades de cada unidade, adotando-se apenas critério quantitativo, não sendo considerados os aspectos qualitativos (perfil) e as especificidades de cada unidade administrativa ou judiciária, à exceção do perfil de cargos definido pela Resolução Administrativa TRE-BA nº 3/2004 para as zonas eleitorais.</w:t>
      </w:r>
    </w:p>
    <w:p w:rsidR="00473149" w:rsidRPr="005A1163" w:rsidRDefault="00473149" w:rsidP="00473149">
      <w:pPr>
        <w:numPr>
          <w:ilvl w:val="4"/>
          <w:numId w:val="1"/>
        </w:numPr>
        <w:spacing w:after="0" w:line="240" w:lineRule="auto"/>
        <w:jc w:val="both"/>
        <w:rPr>
          <w:rFonts w:ascii="Times New Roman" w:hAnsi="Times New Roman" w:cs="Times New Roman"/>
          <w:sz w:val="24"/>
          <w:szCs w:val="24"/>
        </w:rPr>
      </w:pPr>
      <w:r w:rsidRPr="005A1163">
        <w:rPr>
          <w:rFonts w:ascii="Times New Roman" w:hAnsi="Times New Roman" w:cs="Times New Roman"/>
          <w:sz w:val="24"/>
          <w:szCs w:val="24"/>
        </w:rPr>
        <w:t>Evidenciou-se, adicionalmente, que o Tribunal possui projeto estratégico de Dimensionamento da Força de Trabalho (DFT), tendo sido dimensionada a força de trabalho da SGP e da COPEG, em 2016/2017, e SOF e SGA, em 2017/2018</w:t>
      </w:r>
      <w:r>
        <w:rPr>
          <w:sz w:val="20"/>
          <w:szCs w:val="20"/>
        </w:rPr>
        <w:t>.</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5A1163">
        <w:rPr>
          <w:rFonts w:ascii="Times New Roman" w:hAnsi="Times New Roman" w:cs="Times New Roman"/>
          <w:sz w:val="24"/>
          <w:szCs w:val="24"/>
        </w:rPr>
        <w:t>Ressalte-se, contudo, ausência de formalização de critérios e procedimentos atinentes ao método de DFT adotado em normativo ou manual de procedimentos institucional</w:t>
      </w:r>
      <w:r>
        <w:rPr>
          <w:rFonts w:ascii="Times New Roman" w:hAnsi="Times New Roman" w:cs="Times New Roman"/>
          <w:sz w:val="24"/>
          <w:szCs w:val="24"/>
        </w:rPr>
        <w:t>.</w:t>
      </w:r>
    </w:p>
    <w:p w:rsidR="00473149" w:rsidRPr="005A1163" w:rsidRDefault="00473149" w:rsidP="00473149">
      <w:pPr>
        <w:numPr>
          <w:ilvl w:val="4"/>
          <w:numId w:val="1"/>
        </w:numPr>
        <w:spacing w:after="0" w:line="240" w:lineRule="auto"/>
        <w:jc w:val="both"/>
        <w:rPr>
          <w:rFonts w:ascii="Times New Roman" w:hAnsi="Times New Roman" w:cs="Times New Roman"/>
          <w:sz w:val="24"/>
          <w:szCs w:val="24"/>
        </w:rPr>
      </w:pPr>
      <w:r w:rsidRPr="005A1163">
        <w:rPr>
          <w:rFonts w:ascii="Times New Roman" w:hAnsi="Times New Roman" w:cs="Times New Roman"/>
          <w:sz w:val="24"/>
          <w:szCs w:val="24"/>
        </w:rPr>
        <w:t>Da análise dos relatórios de DFT já realizados, evidenciou-se, também, que o DFT apurado identifica o quadro de lotação ideal de algumas unidades como sendo de apenas um servidor (excluído o chefe da Seção), caso da SEAPEN e SEBEN, por exemplo. Contudo as referidas unidades, antes da reestruturação, processada em 6/5/2018, possuíam três servidores em seu quadro de pessoal, não seguindo, portanto, o DFT realizado, e sim o referencial quantitativo adotado, de forma geral, pela SGP</w:t>
      </w:r>
      <w:r>
        <w:rPr>
          <w:sz w:val="20"/>
          <w:szCs w:val="20"/>
        </w:rPr>
        <w:t>.</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5A1163">
        <w:rPr>
          <w:rFonts w:ascii="Times New Roman" w:hAnsi="Times New Roman" w:cs="Times New Roman"/>
          <w:sz w:val="24"/>
          <w:szCs w:val="24"/>
        </w:rPr>
        <w:t xml:space="preserve">Esclareça-se constatação de que, para lotação nas unidades que ainda não tiveram a força de trabalho dimensionada, tem-se adotado, por analogia, procedimentos estabelecidos no Projeto Movimentar, </w:t>
      </w:r>
      <w:proofErr w:type="gramStart"/>
      <w:r w:rsidRPr="005A1163">
        <w:rPr>
          <w:rFonts w:ascii="Times New Roman" w:hAnsi="Times New Roman" w:cs="Times New Roman"/>
          <w:sz w:val="24"/>
          <w:szCs w:val="24"/>
        </w:rPr>
        <w:t>implementado</w:t>
      </w:r>
      <w:proofErr w:type="gramEnd"/>
      <w:r w:rsidRPr="005A1163">
        <w:rPr>
          <w:rFonts w:ascii="Times New Roman" w:hAnsi="Times New Roman" w:cs="Times New Roman"/>
          <w:sz w:val="24"/>
          <w:szCs w:val="24"/>
        </w:rPr>
        <w:t xml:space="preserve"> pela SGP, em 2017, com vistas à alocação da força de trabalho compatibilizando o perfil do servidor com o da unidade de trabalho</w:t>
      </w:r>
      <w:r>
        <w:rPr>
          <w:rFonts w:ascii="Times New Roman" w:hAnsi="Times New Roman" w:cs="Times New Roman"/>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sz w:val="24"/>
          <w:szCs w:val="24"/>
        </w:rPr>
      </w:pPr>
      <w:r w:rsidRPr="005A1163">
        <w:rPr>
          <w:rFonts w:ascii="Times New Roman" w:hAnsi="Times New Roman" w:cs="Times New Roman"/>
          <w:i/>
          <w:sz w:val="24"/>
          <w:szCs w:val="24"/>
        </w:rPr>
        <w:t>Critério(s):</w:t>
      </w:r>
      <w:r w:rsidRPr="00F608EB">
        <w:rPr>
          <w:rFonts w:ascii="Times New Roman" w:hAnsi="Times New Roman" w:cs="Times New Roman"/>
          <w:sz w:val="24"/>
          <w:szCs w:val="24"/>
        </w:rPr>
        <w:t xml:space="preserve"> </w:t>
      </w:r>
      <w:r w:rsidRPr="00F608EB">
        <w:rPr>
          <w:rFonts w:ascii="Times New Roman" w:hAnsi="Times New Roman" w:cs="Times New Roman"/>
          <w:sz w:val="24"/>
          <w:szCs w:val="24"/>
        </w:rPr>
        <w:tab/>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5A1163">
        <w:rPr>
          <w:rFonts w:ascii="Times New Roman" w:hAnsi="Times New Roman" w:cs="Times New Roman"/>
          <w:sz w:val="24"/>
          <w:szCs w:val="24"/>
        </w:rPr>
        <w:t xml:space="preserve">Resolução CNJ nº 211/2015, art. 13, §1º; Resolução CNJ nº 240/2016, </w:t>
      </w:r>
      <w:proofErr w:type="spellStart"/>
      <w:r w:rsidRPr="005A1163">
        <w:rPr>
          <w:rFonts w:ascii="Times New Roman" w:hAnsi="Times New Roman" w:cs="Times New Roman"/>
          <w:sz w:val="24"/>
          <w:szCs w:val="24"/>
        </w:rPr>
        <w:t>arts</w:t>
      </w:r>
      <w:proofErr w:type="spellEnd"/>
      <w:r w:rsidRPr="005A1163">
        <w:rPr>
          <w:rFonts w:ascii="Times New Roman" w:hAnsi="Times New Roman" w:cs="Times New Roman"/>
          <w:sz w:val="24"/>
          <w:szCs w:val="24"/>
        </w:rPr>
        <w:t>. 4º, IX, e 5º, III e IV; Resolução Administrativa TRE-BA nº 3/2004, art. 6º; Resolução Administrativa TRE-BA nº</w:t>
      </w:r>
      <w:r>
        <w:rPr>
          <w:rFonts w:ascii="Times New Roman" w:hAnsi="Times New Roman" w:cs="Times New Roman"/>
          <w:sz w:val="24"/>
          <w:szCs w:val="24"/>
        </w:rPr>
        <w:t xml:space="preserve"> </w:t>
      </w:r>
      <w:r w:rsidRPr="005A1163">
        <w:rPr>
          <w:rFonts w:ascii="Times New Roman" w:hAnsi="Times New Roman" w:cs="Times New Roman"/>
          <w:sz w:val="24"/>
          <w:szCs w:val="24"/>
        </w:rPr>
        <w:t xml:space="preserve">12/2017 (Política de Gestão de Pessoas do TRE-BA), </w:t>
      </w:r>
      <w:proofErr w:type="spellStart"/>
      <w:r w:rsidRPr="005A1163">
        <w:rPr>
          <w:rFonts w:ascii="Times New Roman" w:hAnsi="Times New Roman" w:cs="Times New Roman"/>
          <w:sz w:val="24"/>
          <w:szCs w:val="24"/>
        </w:rPr>
        <w:t>arts</w:t>
      </w:r>
      <w:proofErr w:type="spellEnd"/>
      <w:r w:rsidRPr="005A1163">
        <w:rPr>
          <w:rFonts w:ascii="Times New Roman" w:hAnsi="Times New Roman" w:cs="Times New Roman"/>
          <w:sz w:val="24"/>
          <w:szCs w:val="24"/>
        </w:rPr>
        <w:t xml:space="preserve">. 5º, III e IV, e 6º, III; Resolução Administrativa TRE-BA nº 12/2018 (Regulamento Interno da Secretaria do Tribunal), </w:t>
      </w:r>
      <w:proofErr w:type="spellStart"/>
      <w:r w:rsidRPr="005A1163">
        <w:rPr>
          <w:rFonts w:ascii="Times New Roman" w:hAnsi="Times New Roman" w:cs="Times New Roman"/>
          <w:sz w:val="24"/>
          <w:szCs w:val="24"/>
        </w:rPr>
        <w:t>arts</w:t>
      </w:r>
      <w:proofErr w:type="spellEnd"/>
      <w:r w:rsidRPr="005A1163">
        <w:rPr>
          <w:rFonts w:ascii="Times New Roman" w:hAnsi="Times New Roman" w:cs="Times New Roman"/>
          <w:sz w:val="24"/>
          <w:szCs w:val="24"/>
        </w:rPr>
        <w:t xml:space="preserve">. 55, 58, III, 61, II, 65, II e X, 67, </w:t>
      </w:r>
      <w:proofErr w:type="gramStart"/>
      <w:r w:rsidRPr="005A1163">
        <w:rPr>
          <w:rFonts w:ascii="Times New Roman" w:hAnsi="Times New Roman" w:cs="Times New Roman"/>
          <w:sz w:val="24"/>
          <w:szCs w:val="24"/>
        </w:rPr>
        <w:t>VI</w:t>
      </w:r>
      <w:proofErr w:type="gramEnd"/>
      <w:r w:rsidRPr="005A1163">
        <w:rPr>
          <w:rFonts w:ascii="Times New Roman" w:hAnsi="Times New Roman" w:cs="Times New Roman"/>
          <w:sz w:val="24"/>
          <w:szCs w:val="24"/>
        </w:rPr>
        <w:t xml:space="preserve"> e VII, 68, II, e 128, VI e VII; Resolução Administrativa TRE-BA nº 18/2018 (Política de Gestão de Pessoas de TI), art. 4º, §2º; Instrução Normativa da Presidência TRE-BA nº 3/2018, art. 4º, §2º; Portaria DG nº 359/2007; e Acórdão TCU Plenário nº 1.172/2015, subitens 9.1.8, 9.1.9 e 9.1.10.</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Causa(s):</w:t>
      </w:r>
    </w:p>
    <w:p w:rsidR="00473149" w:rsidRPr="002174B8" w:rsidRDefault="00473149" w:rsidP="00473149">
      <w:pPr>
        <w:numPr>
          <w:ilvl w:val="4"/>
          <w:numId w:val="1"/>
        </w:numPr>
        <w:spacing w:after="0" w:line="240" w:lineRule="auto"/>
        <w:jc w:val="both"/>
        <w:rPr>
          <w:rFonts w:ascii="Times New Roman" w:hAnsi="Times New Roman" w:cs="Times New Roman"/>
          <w:sz w:val="24"/>
          <w:szCs w:val="24"/>
        </w:rPr>
      </w:pPr>
      <w:r w:rsidRPr="002174B8">
        <w:rPr>
          <w:rFonts w:ascii="Times New Roman" w:hAnsi="Times New Roman" w:cs="Times New Roman"/>
          <w:sz w:val="24"/>
          <w:szCs w:val="24"/>
        </w:rPr>
        <w:t xml:space="preserve">Incipiente cultura organizacional em planejamento da força de trabalho; recente formalização de política de gestão de pessoas organizacional; ausência de Tabela de Lotação de Cargos; não </w:t>
      </w:r>
      <w:proofErr w:type="gramStart"/>
      <w:r w:rsidRPr="002174B8">
        <w:rPr>
          <w:rFonts w:ascii="Times New Roman" w:hAnsi="Times New Roman" w:cs="Times New Roman"/>
          <w:sz w:val="24"/>
          <w:szCs w:val="24"/>
        </w:rPr>
        <w:t>implementação</w:t>
      </w:r>
      <w:proofErr w:type="gramEnd"/>
      <w:r w:rsidRPr="002174B8">
        <w:rPr>
          <w:rFonts w:ascii="Times New Roman" w:hAnsi="Times New Roman" w:cs="Times New Roman"/>
          <w:sz w:val="24"/>
          <w:szCs w:val="24"/>
        </w:rPr>
        <w:t xml:space="preserve"> dos projetos Gestão por Competência e Dimensionamento da Força de Trabalho em todas as unidades administrativas e judiciárias do Tribunal; e insuficiente utilização de DFT apurado no planejamento da força de trabalho de unidades dimensionadas</w:t>
      </w:r>
      <w:r w:rsidRPr="00F608EB">
        <w:rPr>
          <w:rFonts w:ascii="Times New Roman" w:hAnsi="Times New Roman" w:cs="Times New Roman"/>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Efeito(s) (real ou potencial):</w:t>
      </w:r>
    </w:p>
    <w:p w:rsidR="00473149" w:rsidRPr="00F608EB" w:rsidRDefault="00473149" w:rsidP="00473149">
      <w:pPr>
        <w:numPr>
          <w:ilvl w:val="4"/>
          <w:numId w:val="1"/>
        </w:numPr>
        <w:spacing w:after="0" w:line="240" w:lineRule="auto"/>
        <w:jc w:val="both"/>
        <w:rPr>
          <w:rFonts w:ascii="Times New Roman" w:hAnsi="Times New Roman" w:cs="Times New Roman"/>
          <w:i/>
          <w:spacing w:val="-2"/>
          <w:sz w:val="24"/>
          <w:szCs w:val="24"/>
        </w:rPr>
      </w:pPr>
      <w:r w:rsidRPr="002174B8">
        <w:rPr>
          <w:rFonts w:ascii="Times New Roman" w:hAnsi="Times New Roman" w:cs="Times New Roman"/>
          <w:sz w:val="24"/>
          <w:szCs w:val="24"/>
        </w:rPr>
        <w:t>Deficiência na alocação da força de trabalho; inexecução de atividade por insuficiência de força de trabalho ou execução de atividade com qualidade inferior e/ou de forma</w:t>
      </w:r>
      <w:r w:rsidRPr="00F80A23">
        <w:rPr>
          <w:sz w:val="20"/>
          <w:szCs w:val="20"/>
        </w:rPr>
        <w:t xml:space="preserve"> </w:t>
      </w:r>
      <w:r w:rsidRPr="002174B8">
        <w:rPr>
          <w:rFonts w:ascii="Times New Roman" w:hAnsi="Times New Roman" w:cs="Times New Roman"/>
          <w:sz w:val="24"/>
          <w:szCs w:val="24"/>
        </w:rPr>
        <w:t>intempestiva; comprometimento da capacidade da instituição em gerar resultados e benefícios para a sociedade; desalinhamento da gestão da força de trabalho com a estratégia organizacional</w:t>
      </w:r>
      <w:r w:rsidRPr="00F608EB">
        <w:rPr>
          <w:rFonts w:ascii="Times New Roman" w:hAnsi="Times New Roman" w:cs="Times New Roman"/>
          <w:spacing w:val="-2"/>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Evidência(s):</w:t>
      </w:r>
    </w:p>
    <w:p w:rsidR="00473149" w:rsidRPr="00F608EB" w:rsidRDefault="00473149" w:rsidP="00473149">
      <w:pPr>
        <w:numPr>
          <w:ilvl w:val="4"/>
          <w:numId w:val="1"/>
        </w:numPr>
        <w:spacing w:after="0" w:line="240" w:lineRule="auto"/>
        <w:jc w:val="both"/>
        <w:rPr>
          <w:rFonts w:ascii="Times New Roman" w:hAnsi="Times New Roman" w:cs="Times New Roman"/>
          <w:i/>
          <w:sz w:val="24"/>
          <w:szCs w:val="24"/>
        </w:rPr>
      </w:pPr>
      <w:r w:rsidRPr="002174B8">
        <w:rPr>
          <w:rFonts w:ascii="Times New Roman" w:hAnsi="Times New Roman" w:cs="Times New Roman"/>
          <w:sz w:val="24"/>
          <w:szCs w:val="24"/>
        </w:rPr>
        <w:t xml:space="preserve">Resposta da SGP às </w:t>
      </w:r>
      <w:proofErr w:type="spellStart"/>
      <w:r w:rsidRPr="002174B8">
        <w:rPr>
          <w:rFonts w:ascii="Times New Roman" w:hAnsi="Times New Roman" w:cs="Times New Roman"/>
          <w:sz w:val="24"/>
          <w:szCs w:val="24"/>
        </w:rPr>
        <w:t>RDIs</w:t>
      </w:r>
      <w:proofErr w:type="spellEnd"/>
      <w:r w:rsidRPr="002174B8">
        <w:rPr>
          <w:rFonts w:ascii="Times New Roman" w:hAnsi="Times New Roman" w:cs="Times New Roman"/>
          <w:sz w:val="24"/>
          <w:szCs w:val="24"/>
        </w:rPr>
        <w:t xml:space="preserve"> nº 15 (PAD nº 4.180/2018, Doc. nº 57.957/2018), e 34/2018 (PAD nº 8.252/2018, Docs. nº 106.329 e, 111.529/2018); ata de reunião </w:t>
      </w:r>
      <w:r w:rsidRPr="002174B8">
        <w:rPr>
          <w:rFonts w:ascii="Times New Roman" w:hAnsi="Times New Roman" w:cs="Times New Roman"/>
          <w:sz w:val="24"/>
          <w:szCs w:val="24"/>
        </w:rPr>
        <w:lastRenderedPageBreak/>
        <w:t>para levantamento de informações</w:t>
      </w:r>
      <w:r>
        <w:rPr>
          <w:rFonts w:ascii="Times New Roman" w:hAnsi="Times New Roman" w:cs="Times New Roman"/>
          <w:sz w:val="24"/>
          <w:szCs w:val="24"/>
        </w:rPr>
        <w:t xml:space="preserve"> </w:t>
      </w:r>
      <w:r w:rsidRPr="002174B8">
        <w:rPr>
          <w:rFonts w:ascii="Times New Roman" w:hAnsi="Times New Roman" w:cs="Times New Roman"/>
          <w:sz w:val="24"/>
          <w:szCs w:val="24"/>
        </w:rPr>
        <w:t>referentes ao fluxo do processo de DFT (PAD nº 6.532/2018, Doc. nº 126.391/2018); relatórios de lotação extraídos do SGRH – exercícios 2016 a 2018; Relatório Conclusivo e de Recomendações – DFT (SGP e COPEG)</w:t>
      </w:r>
      <w:r w:rsidRPr="00F608EB">
        <w:rPr>
          <w:rFonts w:ascii="Times New Roman" w:hAnsi="Times New Roman" w:cs="Times New Roman"/>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Esclarecimentos dos responsáveis:</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C32120">
        <w:rPr>
          <w:rFonts w:ascii="Times New Roman" w:hAnsi="Times New Roman" w:cs="Times New Roman"/>
          <w:sz w:val="24"/>
          <w:szCs w:val="24"/>
        </w:rPr>
        <w:t xml:space="preserve">Em resposta à RDI nº 39/2018 (PAD nº 10.441/2018, </w:t>
      </w:r>
      <w:r w:rsidRPr="00B74682">
        <w:rPr>
          <w:rFonts w:ascii="Times New Roman" w:hAnsi="Times New Roman" w:cs="Times New Roman"/>
          <w:sz w:val="24"/>
          <w:szCs w:val="24"/>
        </w:rPr>
        <w:t>Doc. nº 138.402/2018</w:t>
      </w:r>
      <w:r w:rsidRPr="00C32120">
        <w:rPr>
          <w:rFonts w:ascii="Times New Roman" w:hAnsi="Times New Roman" w:cs="Times New Roman"/>
          <w:sz w:val="24"/>
          <w:szCs w:val="24"/>
        </w:rPr>
        <w:t>), a SGP informou</w:t>
      </w:r>
      <w:r>
        <w:rPr>
          <w:rFonts w:ascii="Times New Roman" w:hAnsi="Times New Roman" w:cs="Times New Roman"/>
          <w:sz w:val="24"/>
          <w:szCs w:val="24"/>
        </w:rPr>
        <w:t>, com relação à minuta de normativo do DFT, que a elaboração é exequível para entrega em 27 de fevereiro de 2019. Acrescentou que se encontra registrado no planejamento da SGP entrega de minuta de norma interna que verse sobre critérios e procedimentos de lotação.</w:t>
      </w:r>
    </w:p>
    <w:p w:rsidR="00473149" w:rsidRPr="00971AD9" w:rsidRDefault="00473149" w:rsidP="00473149">
      <w:pPr>
        <w:numPr>
          <w:ilvl w:val="4"/>
          <w:numId w:val="1"/>
        </w:numPr>
        <w:spacing w:after="0" w:line="240" w:lineRule="auto"/>
        <w:jc w:val="both"/>
        <w:rPr>
          <w:rFonts w:ascii="Times New Roman" w:hAnsi="Times New Roman" w:cs="Times New Roman"/>
          <w:spacing w:val="-2"/>
          <w:sz w:val="24"/>
          <w:szCs w:val="24"/>
        </w:rPr>
      </w:pPr>
      <w:r w:rsidRPr="00971AD9">
        <w:rPr>
          <w:rFonts w:ascii="Times New Roman" w:hAnsi="Times New Roman" w:cs="Times New Roman"/>
          <w:spacing w:val="-2"/>
          <w:sz w:val="24"/>
          <w:szCs w:val="24"/>
        </w:rPr>
        <w:t>Em resposta à RDI Circular nº 13/2018 (PAD nº 11.047/2018, Doc. nº 142.622/2018) a ASSESP ratificou a necessidade de apresentação de minuta de normativo à Presidência destinada a regulamentar a distribuição e equalização da força de trabalho neste Regional, estabelecendo os critérios para dimensionamento quantitativo e qualitativo da força de trabalho, tanto na Secretaria, como nos Cartórios das Zonas Eleitorais.</w:t>
      </w:r>
    </w:p>
    <w:p w:rsidR="00473149" w:rsidRPr="00971AD9" w:rsidRDefault="00CF3A56" w:rsidP="00473149">
      <w:pPr>
        <w:numPr>
          <w:ilvl w:val="4"/>
          <w:numId w:val="1"/>
        </w:numPr>
        <w:spacing w:after="0" w:line="240" w:lineRule="auto"/>
        <w:jc w:val="both"/>
        <w:rPr>
          <w:rFonts w:ascii="Times New Roman" w:hAnsi="Times New Roman" w:cs="Times New Roman"/>
          <w:sz w:val="24"/>
          <w:szCs w:val="24"/>
        </w:rPr>
      </w:pPr>
      <w:r>
        <w:rPr>
          <w:rFonts w:ascii="Times New Roman" w:hAnsi="Times New Roman" w:cs="Times New Roman"/>
          <w:spacing w:val="-2"/>
          <w:sz w:val="24"/>
          <w:szCs w:val="24"/>
        </w:rPr>
        <w:t>Também e</w:t>
      </w:r>
      <w:r w:rsidR="00473149" w:rsidRPr="00971AD9">
        <w:rPr>
          <w:rFonts w:ascii="Times New Roman" w:hAnsi="Times New Roman" w:cs="Times New Roman"/>
          <w:spacing w:val="-2"/>
          <w:sz w:val="24"/>
          <w:szCs w:val="24"/>
        </w:rPr>
        <w:t xml:space="preserve">m resposta à </w:t>
      </w:r>
      <w:r>
        <w:rPr>
          <w:rFonts w:ascii="Times New Roman" w:hAnsi="Times New Roman" w:cs="Times New Roman"/>
          <w:spacing w:val="-2"/>
          <w:sz w:val="24"/>
          <w:szCs w:val="24"/>
        </w:rPr>
        <w:t>sobredita</w:t>
      </w:r>
      <w:r w:rsidR="00971AD9" w:rsidRPr="00971AD9">
        <w:rPr>
          <w:rFonts w:ascii="Times New Roman" w:hAnsi="Times New Roman" w:cs="Times New Roman"/>
          <w:spacing w:val="-2"/>
          <w:sz w:val="24"/>
          <w:szCs w:val="24"/>
        </w:rPr>
        <w:t xml:space="preserve"> RDI</w:t>
      </w:r>
      <w:r w:rsidR="00250761">
        <w:rPr>
          <w:rFonts w:ascii="Times New Roman" w:hAnsi="Times New Roman" w:cs="Times New Roman"/>
          <w:spacing w:val="-2"/>
          <w:sz w:val="24"/>
          <w:szCs w:val="24"/>
        </w:rPr>
        <w:t xml:space="preserve"> Circular</w:t>
      </w:r>
      <w:r w:rsidR="00473149" w:rsidRPr="00971AD9">
        <w:rPr>
          <w:rFonts w:ascii="Times New Roman" w:hAnsi="Times New Roman" w:cs="Times New Roman"/>
          <w:spacing w:val="-2"/>
          <w:sz w:val="24"/>
          <w:szCs w:val="24"/>
        </w:rPr>
        <w:t xml:space="preserve"> (Doc. nº 145.284/2018)</w:t>
      </w:r>
      <w:r w:rsidR="00971AD9" w:rsidRPr="00971AD9">
        <w:rPr>
          <w:rFonts w:ascii="Times New Roman" w:hAnsi="Times New Roman" w:cs="Times New Roman"/>
          <w:spacing w:val="-2"/>
          <w:sz w:val="24"/>
          <w:szCs w:val="24"/>
        </w:rPr>
        <w:t>,</w:t>
      </w:r>
      <w:r w:rsidR="00473149" w:rsidRPr="00971AD9">
        <w:rPr>
          <w:rFonts w:ascii="Times New Roman" w:hAnsi="Times New Roman" w:cs="Times New Roman"/>
          <w:spacing w:val="-2"/>
          <w:sz w:val="24"/>
          <w:szCs w:val="24"/>
        </w:rPr>
        <w:t xml:space="preserve"> a SGP ratificou informações anteriormente prestadas </w:t>
      </w:r>
      <w:r w:rsidR="00971AD9" w:rsidRPr="00971AD9">
        <w:rPr>
          <w:rFonts w:ascii="Times New Roman" w:hAnsi="Times New Roman" w:cs="Times New Roman"/>
          <w:spacing w:val="-2"/>
          <w:sz w:val="24"/>
          <w:szCs w:val="24"/>
        </w:rPr>
        <w:t xml:space="preserve">no </w:t>
      </w:r>
      <w:r w:rsidR="00473149" w:rsidRPr="00971AD9">
        <w:rPr>
          <w:rFonts w:ascii="Times New Roman" w:hAnsi="Times New Roman" w:cs="Times New Roman"/>
          <w:spacing w:val="-2"/>
          <w:sz w:val="24"/>
          <w:szCs w:val="24"/>
        </w:rPr>
        <w:t xml:space="preserve">PAD nº 10.441/2018, Doc. </w:t>
      </w:r>
      <w:proofErr w:type="gramStart"/>
      <w:r w:rsidR="00473149" w:rsidRPr="00971AD9">
        <w:rPr>
          <w:rFonts w:ascii="Times New Roman" w:hAnsi="Times New Roman" w:cs="Times New Roman"/>
          <w:spacing w:val="-2"/>
          <w:sz w:val="24"/>
          <w:szCs w:val="24"/>
        </w:rPr>
        <w:t>nº</w:t>
      </w:r>
      <w:proofErr w:type="gramEnd"/>
      <w:r w:rsidR="00473149" w:rsidRPr="00971AD9">
        <w:rPr>
          <w:rFonts w:ascii="Times New Roman" w:hAnsi="Times New Roman" w:cs="Times New Roman"/>
          <w:spacing w:val="-2"/>
          <w:sz w:val="24"/>
          <w:szCs w:val="24"/>
        </w:rPr>
        <w:t xml:space="preserve"> 138.402/2018.</w:t>
      </w:r>
    </w:p>
    <w:p w:rsidR="00473149"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Conclusão da equipe de auditoria:</w:t>
      </w:r>
    </w:p>
    <w:p w:rsidR="00473149" w:rsidRDefault="00473149" w:rsidP="00473149">
      <w:pPr>
        <w:numPr>
          <w:ilvl w:val="4"/>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Tendo em vista sinalização de necessidade de ampliação de prazo para atendimento ao quanto recomendado, opina-se pela subsistência da fragilidade ora evidenciada, alterando-se o marco final para cumprimento anteriormente proposto, consoante acordo firmado com a Unidade.</w:t>
      </w:r>
    </w:p>
    <w:p w:rsidR="00473149"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866AD9">
        <w:rPr>
          <w:rFonts w:ascii="Times New Roman" w:hAnsi="Times New Roman" w:cs="Times New Roman"/>
          <w:i/>
          <w:sz w:val="24"/>
          <w:szCs w:val="24"/>
        </w:rPr>
        <w:t>P</w:t>
      </w:r>
      <w:r>
        <w:rPr>
          <w:rFonts w:ascii="Times New Roman" w:hAnsi="Times New Roman" w:cs="Times New Roman"/>
          <w:i/>
          <w:sz w:val="24"/>
          <w:szCs w:val="24"/>
        </w:rPr>
        <w:t>roposta de encaminhamento:</w:t>
      </w:r>
    </w:p>
    <w:p w:rsidR="00473149" w:rsidRPr="00903EAA" w:rsidRDefault="00473149" w:rsidP="00473149">
      <w:pPr>
        <w:numPr>
          <w:ilvl w:val="4"/>
          <w:numId w:val="1"/>
        </w:numPr>
        <w:spacing w:after="0" w:line="240" w:lineRule="auto"/>
        <w:jc w:val="both"/>
        <w:rPr>
          <w:rFonts w:ascii="Times New Roman" w:hAnsi="Times New Roman" w:cs="Times New Roman"/>
          <w:sz w:val="24"/>
          <w:szCs w:val="24"/>
        </w:rPr>
      </w:pPr>
      <w:r w:rsidRPr="00903EAA">
        <w:rPr>
          <w:rFonts w:ascii="Times New Roman" w:hAnsi="Times New Roman" w:cs="Times New Roman"/>
          <w:sz w:val="24"/>
          <w:szCs w:val="24"/>
        </w:rPr>
        <w:t xml:space="preserve">Recomendar à SGP que, </w:t>
      </w:r>
      <w:r w:rsidRPr="009315E2">
        <w:rPr>
          <w:rFonts w:ascii="Times New Roman" w:hAnsi="Times New Roman" w:cs="Times New Roman"/>
          <w:sz w:val="24"/>
          <w:szCs w:val="24"/>
        </w:rPr>
        <w:t xml:space="preserve">observado o prazo de </w:t>
      </w:r>
      <w:r>
        <w:rPr>
          <w:rFonts w:ascii="Times New Roman" w:hAnsi="Times New Roman" w:cs="Times New Roman"/>
          <w:sz w:val="24"/>
          <w:szCs w:val="24"/>
        </w:rPr>
        <w:t>120</w:t>
      </w:r>
      <w:r w:rsidRPr="009315E2">
        <w:rPr>
          <w:rFonts w:ascii="Times New Roman" w:hAnsi="Times New Roman" w:cs="Times New Roman"/>
          <w:sz w:val="24"/>
          <w:szCs w:val="24"/>
        </w:rPr>
        <w:t xml:space="preserve"> dias</w:t>
      </w:r>
      <w:r w:rsidRPr="00903EAA">
        <w:rPr>
          <w:rFonts w:ascii="Times New Roman" w:hAnsi="Times New Roman" w:cs="Times New Roman"/>
          <w:sz w:val="24"/>
          <w:szCs w:val="24"/>
        </w:rPr>
        <w:t>, submeta à apreciação da Presidência minuta de normativo destinado a regulamentar a distribuição e equalização da força de trabalho, no âmbito da Secretaria do Tribunal e Cartórios das Zonas Eleitorais, contemplando, inclusive, critérios referenciais ideais atinentes ao perfil quantitativo e qualitativo da força de trabalho, observados:</w:t>
      </w:r>
    </w:p>
    <w:p w:rsidR="00473149" w:rsidRPr="00903EAA" w:rsidRDefault="00473149" w:rsidP="00473149">
      <w:pPr>
        <w:pStyle w:val="PargrafodaLista"/>
        <w:numPr>
          <w:ilvl w:val="1"/>
          <w:numId w:val="8"/>
        </w:numPr>
        <w:spacing w:before="0" w:after="0"/>
        <w:ind w:left="1434" w:hanging="357"/>
        <w:jc w:val="both"/>
        <w:rPr>
          <w:rFonts w:eastAsiaTheme="minorHAnsi"/>
          <w:b w:val="0"/>
          <w:sz w:val="24"/>
          <w:szCs w:val="24"/>
        </w:rPr>
      </w:pPr>
      <w:bookmarkStart w:id="30" w:name="_Toc520362050"/>
      <w:bookmarkStart w:id="31" w:name="_Toc520405201"/>
      <w:proofErr w:type="gramStart"/>
      <w:r w:rsidRPr="00903EAA">
        <w:rPr>
          <w:rFonts w:eastAsiaTheme="minorHAnsi"/>
          <w:b w:val="0"/>
          <w:sz w:val="24"/>
          <w:szCs w:val="24"/>
        </w:rPr>
        <w:t>referenciais</w:t>
      </w:r>
      <w:proofErr w:type="gramEnd"/>
      <w:r w:rsidRPr="00903EAA">
        <w:rPr>
          <w:rFonts w:eastAsiaTheme="minorHAnsi"/>
          <w:b w:val="0"/>
          <w:sz w:val="24"/>
          <w:szCs w:val="24"/>
        </w:rPr>
        <w:t xml:space="preserve"> de força de trabalho normatizados;</w:t>
      </w:r>
      <w:bookmarkEnd w:id="30"/>
      <w:bookmarkEnd w:id="31"/>
    </w:p>
    <w:p w:rsidR="00473149" w:rsidRDefault="00473149" w:rsidP="00473149">
      <w:pPr>
        <w:pStyle w:val="PargrafodaLista"/>
        <w:numPr>
          <w:ilvl w:val="1"/>
          <w:numId w:val="8"/>
        </w:numPr>
        <w:spacing w:after="0"/>
        <w:jc w:val="both"/>
        <w:rPr>
          <w:b w:val="0"/>
          <w:sz w:val="24"/>
          <w:szCs w:val="24"/>
        </w:rPr>
      </w:pPr>
      <w:bookmarkStart w:id="32" w:name="_Toc520362051"/>
      <w:bookmarkStart w:id="33" w:name="_Toc520405202"/>
      <w:proofErr w:type="gramStart"/>
      <w:r w:rsidRPr="00903EAA">
        <w:rPr>
          <w:b w:val="0"/>
          <w:sz w:val="24"/>
          <w:szCs w:val="24"/>
        </w:rPr>
        <w:t>diversidade</w:t>
      </w:r>
      <w:proofErr w:type="gramEnd"/>
      <w:r w:rsidRPr="00903EAA">
        <w:rPr>
          <w:b w:val="0"/>
          <w:sz w:val="24"/>
          <w:szCs w:val="24"/>
        </w:rPr>
        <w:t xml:space="preserve"> de cenários existentes (unidades com e sem DFT apurado);</w:t>
      </w:r>
      <w:r>
        <w:rPr>
          <w:b w:val="0"/>
          <w:sz w:val="24"/>
          <w:szCs w:val="24"/>
        </w:rPr>
        <w:t xml:space="preserve"> e</w:t>
      </w:r>
      <w:bookmarkEnd w:id="32"/>
      <w:bookmarkEnd w:id="33"/>
    </w:p>
    <w:p w:rsidR="00473149" w:rsidRPr="00903EAA" w:rsidRDefault="00473149" w:rsidP="00473149">
      <w:pPr>
        <w:pStyle w:val="PargrafodaLista"/>
        <w:numPr>
          <w:ilvl w:val="1"/>
          <w:numId w:val="8"/>
        </w:numPr>
        <w:spacing w:before="0" w:after="0"/>
        <w:ind w:left="1434" w:hanging="357"/>
        <w:jc w:val="both"/>
        <w:rPr>
          <w:rFonts w:eastAsiaTheme="minorHAnsi"/>
          <w:b w:val="0"/>
          <w:sz w:val="24"/>
          <w:szCs w:val="24"/>
        </w:rPr>
      </w:pPr>
      <w:bookmarkStart w:id="34" w:name="_Toc520362052"/>
      <w:bookmarkStart w:id="35" w:name="_Toc520405203"/>
      <w:proofErr w:type="gramStart"/>
      <w:r w:rsidRPr="00903EAA">
        <w:rPr>
          <w:rFonts w:eastAsiaTheme="minorHAnsi"/>
          <w:b w:val="0"/>
          <w:sz w:val="24"/>
          <w:szCs w:val="24"/>
        </w:rPr>
        <w:t>diretriz</w:t>
      </w:r>
      <w:proofErr w:type="gramEnd"/>
      <w:r w:rsidRPr="00903EAA">
        <w:rPr>
          <w:rFonts w:eastAsiaTheme="minorHAnsi"/>
          <w:b w:val="0"/>
          <w:sz w:val="24"/>
          <w:szCs w:val="24"/>
        </w:rPr>
        <w:t xml:space="preserve"> para mitigação ou equalização de déficit de pessoal apurado, a exemplo de: deslocamento ou transformação de cargos vagos; redistribuição de cargo vago com cargo provido com perfil de atribuições demandado pelo Tribunal; equalização de déficit de forma nivelada; e mitigação  em maior grau, em áreas estratégicas</w:t>
      </w:r>
      <w:r>
        <w:rPr>
          <w:rFonts w:eastAsiaTheme="minorHAnsi"/>
          <w:b w:val="0"/>
          <w:sz w:val="24"/>
          <w:szCs w:val="24"/>
        </w:rPr>
        <w:t>.</w:t>
      </w:r>
      <w:bookmarkEnd w:id="34"/>
      <w:bookmarkEnd w:id="35"/>
    </w:p>
    <w:p w:rsidR="00473149" w:rsidRDefault="00473149" w:rsidP="00473149">
      <w:pPr>
        <w:numPr>
          <w:ilvl w:val="2"/>
          <w:numId w:val="1"/>
        </w:numPr>
        <w:spacing w:before="120" w:after="120" w:line="240" w:lineRule="auto"/>
        <w:jc w:val="both"/>
        <w:rPr>
          <w:rFonts w:ascii="Times New Roman" w:hAnsi="Times New Roman" w:cs="Times New Roman"/>
          <w:sz w:val="24"/>
          <w:szCs w:val="24"/>
          <w:u w:val="single"/>
        </w:rPr>
      </w:pPr>
      <w:r w:rsidRPr="002174B8">
        <w:rPr>
          <w:rFonts w:ascii="Times New Roman" w:hAnsi="Times New Roman" w:cs="Times New Roman"/>
          <w:sz w:val="24"/>
          <w:szCs w:val="24"/>
          <w:u w:val="single"/>
        </w:rPr>
        <w:t>Inadequação do critério utilizado para lotação de servidores</w:t>
      </w:r>
      <w:r w:rsidRPr="00F608EB">
        <w:rPr>
          <w:rFonts w:ascii="Times New Roman" w:hAnsi="Times New Roman" w:cs="Times New Roman"/>
          <w:sz w:val="24"/>
          <w:szCs w:val="24"/>
          <w:u w:val="single"/>
        </w:rPr>
        <w:t>.</w:t>
      </w:r>
    </w:p>
    <w:p w:rsidR="00473149" w:rsidRPr="00037370" w:rsidRDefault="00473149" w:rsidP="00473149">
      <w:pPr>
        <w:spacing w:before="120" w:after="120" w:line="240" w:lineRule="auto"/>
        <w:jc w:val="both"/>
        <w:rPr>
          <w:rFonts w:ascii="Times New Roman" w:hAnsi="Times New Roman" w:cs="Times New Roman"/>
          <w:i/>
          <w:sz w:val="24"/>
          <w:szCs w:val="24"/>
          <w:u w:val="single"/>
        </w:rPr>
      </w:pPr>
      <w:r w:rsidRPr="00037370">
        <w:rPr>
          <w:rFonts w:ascii="Times New Roman" w:hAnsi="Times New Roman" w:cs="Times New Roman"/>
          <w:i/>
          <w:spacing w:val="-2"/>
          <w:sz w:val="24"/>
          <w:szCs w:val="24"/>
        </w:rPr>
        <w:t xml:space="preserve">Risco(s) associado(s): </w:t>
      </w:r>
      <w:r w:rsidRPr="00037370">
        <w:rPr>
          <w:rFonts w:ascii="Times New Roman" w:hAnsi="Times New Roman" w:cs="Times New Roman"/>
          <w:i/>
          <w:sz w:val="24"/>
          <w:szCs w:val="24"/>
        </w:rPr>
        <w:t>R1 - TSE: Alocação e movimentação inadequada (</w:t>
      </w:r>
      <w:proofErr w:type="gramStart"/>
      <w:r w:rsidRPr="00037370">
        <w:rPr>
          <w:rFonts w:ascii="Times New Roman" w:hAnsi="Times New Roman" w:cs="Times New Roman"/>
          <w:i/>
          <w:sz w:val="24"/>
          <w:szCs w:val="24"/>
        </w:rPr>
        <w:t>quantitativa/qualitativa</w:t>
      </w:r>
      <w:proofErr w:type="gramEnd"/>
      <w:r w:rsidRPr="00037370">
        <w:rPr>
          <w:rFonts w:ascii="Times New Roman" w:hAnsi="Times New Roman" w:cs="Times New Roman"/>
          <w:i/>
          <w:sz w:val="24"/>
          <w:szCs w:val="24"/>
        </w:rPr>
        <w:t>) de pessoal.</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sz w:val="24"/>
          <w:szCs w:val="24"/>
        </w:rPr>
      </w:pPr>
      <w:r w:rsidRPr="00F608EB">
        <w:rPr>
          <w:rFonts w:ascii="Times New Roman" w:hAnsi="Times New Roman" w:cs="Times New Roman"/>
          <w:i/>
          <w:sz w:val="24"/>
          <w:szCs w:val="24"/>
        </w:rPr>
        <w:t>Situação encontrada</w:t>
      </w:r>
      <w:r w:rsidRPr="00F608EB">
        <w:rPr>
          <w:rFonts w:ascii="Times New Roman" w:hAnsi="Times New Roman" w:cs="Times New Roman"/>
          <w:sz w:val="24"/>
          <w:szCs w:val="24"/>
        </w:rPr>
        <w:t xml:space="preserve">: </w:t>
      </w:r>
    </w:p>
    <w:p w:rsidR="00473149" w:rsidRPr="002174B8" w:rsidRDefault="00473149" w:rsidP="00473149">
      <w:pPr>
        <w:numPr>
          <w:ilvl w:val="4"/>
          <w:numId w:val="1"/>
        </w:numPr>
        <w:spacing w:after="0" w:line="240" w:lineRule="auto"/>
        <w:jc w:val="both"/>
        <w:rPr>
          <w:rFonts w:ascii="Times New Roman" w:hAnsi="Times New Roman" w:cs="Times New Roman"/>
          <w:sz w:val="24"/>
          <w:szCs w:val="24"/>
        </w:rPr>
      </w:pPr>
      <w:r w:rsidRPr="002174B8">
        <w:rPr>
          <w:rFonts w:ascii="Times New Roman" w:hAnsi="Times New Roman" w:cs="Times New Roman"/>
          <w:sz w:val="24"/>
          <w:szCs w:val="24"/>
        </w:rPr>
        <w:t>Nos cartórios eleitorais, no que tange à lotação e movimentação de servidores, a Resolução Administrativa do TRE-BA nº 3/2004 estabelece o critério de número mínimo de dois servidores, observado o perfil de cargos de um Técnico Judiciário (Área Administrativa) e um Analista Judiciário (Área Judiciária ou Administrativa)</w:t>
      </w:r>
      <w:r>
        <w:rPr>
          <w:sz w:val="20"/>
          <w:szCs w:val="20"/>
        </w:rPr>
        <w:t>.</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2174B8">
        <w:rPr>
          <w:rFonts w:ascii="Times New Roman" w:hAnsi="Times New Roman" w:cs="Times New Roman"/>
          <w:sz w:val="24"/>
          <w:szCs w:val="24"/>
        </w:rPr>
        <w:t>Esclareça-se que, nas Zonas Eleitorais da Capital, o quantitativo mínimo observado, segundo critério convencionado, é de três servidores</w:t>
      </w:r>
      <w:r w:rsidRPr="00F608EB">
        <w:rPr>
          <w:rFonts w:ascii="Times New Roman" w:hAnsi="Times New Roman" w:cs="Times New Roman"/>
          <w:sz w:val="24"/>
          <w:szCs w:val="24"/>
        </w:rPr>
        <w:t xml:space="preserve">. </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8B6C68">
        <w:rPr>
          <w:rFonts w:ascii="Times New Roman" w:hAnsi="Times New Roman" w:cs="Times New Roman"/>
          <w:sz w:val="24"/>
          <w:szCs w:val="24"/>
        </w:rPr>
        <w:lastRenderedPageBreak/>
        <w:t>Efetuou-se cotejo entre o quantitativo de horas excedentes à jornada realizadas por servidores lotados na Secretaria e Zonas Eleitorais da capital e interior do Estado, ao longo</w:t>
      </w:r>
      <w:r>
        <w:rPr>
          <w:rFonts w:ascii="Times New Roman" w:hAnsi="Times New Roman" w:cs="Times New Roman"/>
          <w:sz w:val="24"/>
          <w:szCs w:val="24"/>
        </w:rPr>
        <w:t xml:space="preserve"> </w:t>
      </w:r>
      <w:r w:rsidRPr="008B6C68">
        <w:rPr>
          <w:rFonts w:ascii="Times New Roman" w:hAnsi="Times New Roman" w:cs="Times New Roman"/>
          <w:sz w:val="24"/>
          <w:szCs w:val="24"/>
        </w:rPr>
        <w:t>dos exercícios 2016 e 2017, dados de claro de lotação em zonas eleitorais e levantamento de déficit de pessoal, observados critérios referenciais mínimos convencionados pelo Órgão, eleitorado, número de municípios e número de processo de prestação de contas sentenciados, considerando, ainda, amostra de 50 servidores com maior quantitativo de serviço extraordinário prestado no período</w:t>
      </w:r>
      <w:r w:rsidRPr="00F608EB">
        <w:rPr>
          <w:rFonts w:ascii="Times New Roman" w:hAnsi="Times New Roman" w:cs="Times New Roman"/>
          <w:sz w:val="24"/>
          <w:szCs w:val="24"/>
        </w:rPr>
        <w:t xml:space="preserve">.  </w:t>
      </w:r>
    </w:p>
    <w:p w:rsidR="00473149" w:rsidRPr="008B6C68" w:rsidRDefault="00473149" w:rsidP="00473149">
      <w:pPr>
        <w:numPr>
          <w:ilvl w:val="4"/>
          <w:numId w:val="1"/>
        </w:numPr>
        <w:spacing w:after="0" w:line="240" w:lineRule="auto"/>
        <w:jc w:val="both"/>
        <w:rPr>
          <w:rFonts w:ascii="Times New Roman" w:hAnsi="Times New Roman" w:cs="Times New Roman"/>
          <w:sz w:val="24"/>
          <w:szCs w:val="24"/>
        </w:rPr>
      </w:pPr>
      <w:r w:rsidRPr="008B6C68">
        <w:rPr>
          <w:rFonts w:ascii="Times New Roman" w:hAnsi="Times New Roman" w:cs="Times New Roman"/>
          <w:sz w:val="24"/>
          <w:szCs w:val="24"/>
        </w:rPr>
        <w:t xml:space="preserve">No que tange a 2016, observou-se que: </w:t>
      </w:r>
    </w:p>
    <w:p w:rsidR="00473149" w:rsidRDefault="00473149" w:rsidP="00473149">
      <w:pPr>
        <w:numPr>
          <w:ilvl w:val="4"/>
          <w:numId w:val="3"/>
        </w:numPr>
        <w:spacing w:after="0" w:line="240" w:lineRule="auto"/>
        <w:ind w:firstLine="54"/>
        <w:jc w:val="both"/>
        <w:rPr>
          <w:rFonts w:ascii="Times New Roman" w:hAnsi="Times New Roman" w:cs="Times New Roman"/>
          <w:sz w:val="24"/>
          <w:szCs w:val="24"/>
        </w:rPr>
      </w:pPr>
      <w:r w:rsidRPr="008B6C68">
        <w:rPr>
          <w:rFonts w:ascii="Times New Roman" w:hAnsi="Times New Roman" w:cs="Times New Roman"/>
          <w:sz w:val="24"/>
          <w:szCs w:val="24"/>
        </w:rPr>
        <w:t xml:space="preserve">Considerado o universo de 40 Zonas Eleitorais com claro de lotação, verificou-se que </w:t>
      </w:r>
      <w:proofErr w:type="gramStart"/>
      <w:r w:rsidRPr="008B6C68">
        <w:rPr>
          <w:rFonts w:ascii="Times New Roman" w:hAnsi="Times New Roman" w:cs="Times New Roman"/>
          <w:sz w:val="24"/>
          <w:szCs w:val="24"/>
        </w:rPr>
        <w:t>9</w:t>
      </w:r>
      <w:proofErr w:type="gramEnd"/>
      <w:r w:rsidRPr="008B6C68">
        <w:rPr>
          <w:rFonts w:ascii="Times New Roman" w:hAnsi="Times New Roman" w:cs="Times New Roman"/>
          <w:sz w:val="24"/>
          <w:szCs w:val="24"/>
        </w:rPr>
        <w:t xml:space="preserve"> servidores lotados nessas unidades (23% do total de cartórios com claros de lotação) extrapolaram a jornada ordinária de trabalho</w:t>
      </w:r>
      <w:r>
        <w:rPr>
          <w:rFonts w:ascii="Times New Roman" w:hAnsi="Times New Roman" w:cs="Times New Roman"/>
          <w:sz w:val="24"/>
          <w:szCs w:val="24"/>
        </w:rPr>
        <w:t>;</w:t>
      </w:r>
    </w:p>
    <w:p w:rsidR="00473149" w:rsidRDefault="00473149" w:rsidP="00473149">
      <w:pPr>
        <w:numPr>
          <w:ilvl w:val="4"/>
          <w:numId w:val="3"/>
        </w:numPr>
        <w:spacing w:after="0" w:line="240" w:lineRule="auto"/>
        <w:ind w:firstLine="54"/>
        <w:jc w:val="both"/>
        <w:rPr>
          <w:rFonts w:ascii="Times New Roman" w:hAnsi="Times New Roman" w:cs="Times New Roman"/>
          <w:sz w:val="24"/>
          <w:szCs w:val="24"/>
        </w:rPr>
      </w:pPr>
      <w:r w:rsidRPr="008B6C68">
        <w:rPr>
          <w:rFonts w:ascii="Times New Roman" w:hAnsi="Times New Roman" w:cs="Times New Roman"/>
          <w:sz w:val="24"/>
          <w:szCs w:val="24"/>
        </w:rPr>
        <w:t>19 servidores (38% da amostra de servidores selecionada) encontravam-se lotados em zonas eleitorais que possuíam claro de lotação (</w:t>
      </w:r>
      <w:proofErr w:type="gramStart"/>
      <w:r w:rsidRPr="008B6C68">
        <w:rPr>
          <w:rFonts w:ascii="Times New Roman" w:hAnsi="Times New Roman" w:cs="Times New Roman"/>
          <w:sz w:val="24"/>
          <w:szCs w:val="24"/>
        </w:rPr>
        <w:t>9</w:t>
      </w:r>
      <w:proofErr w:type="gramEnd"/>
      <w:r w:rsidRPr="008B6C68">
        <w:rPr>
          <w:rFonts w:ascii="Times New Roman" w:hAnsi="Times New Roman" w:cs="Times New Roman"/>
          <w:sz w:val="24"/>
          <w:szCs w:val="24"/>
        </w:rPr>
        <w:t xml:space="preserve"> cartórios) ou  déficit de pessoal (10 unidades);</w:t>
      </w:r>
      <w:r w:rsidRPr="00F608EB">
        <w:rPr>
          <w:rFonts w:ascii="Times New Roman" w:hAnsi="Times New Roman" w:cs="Times New Roman"/>
          <w:sz w:val="24"/>
          <w:szCs w:val="24"/>
        </w:rPr>
        <w:t xml:space="preserve"> </w:t>
      </w:r>
    </w:p>
    <w:p w:rsidR="00473149" w:rsidRPr="008B6C68" w:rsidRDefault="00473149" w:rsidP="00473149">
      <w:pPr>
        <w:numPr>
          <w:ilvl w:val="4"/>
          <w:numId w:val="3"/>
        </w:numPr>
        <w:spacing w:after="0" w:line="240" w:lineRule="auto"/>
        <w:ind w:firstLine="54"/>
        <w:jc w:val="both"/>
        <w:rPr>
          <w:rFonts w:ascii="Times New Roman" w:hAnsi="Times New Roman" w:cs="Times New Roman"/>
          <w:sz w:val="24"/>
          <w:szCs w:val="24"/>
        </w:rPr>
      </w:pPr>
      <w:r w:rsidRPr="008B6C68">
        <w:rPr>
          <w:rFonts w:ascii="Times New Roman" w:hAnsi="Times New Roman" w:cs="Times New Roman"/>
          <w:sz w:val="24"/>
          <w:szCs w:val="24"/>
        </w:rPr>
        <w:t xml:space="preserve">22 servidores selecionados na amostra (44%) estavam lotados em Cartórios que respondiam por três ou mais municípios, enquanto que 28 servidores (56% do total) atuavam em Zonas Eleitorais com até dois municípios; </w:t>
      </w:r>
      <w:proofErr w:type="gramStart"/>
      <w:r w:rsidRPr="008B6C68">
        <w:rPr>
          <w:rFonts w:ascii="Times New Roman" w:hAnsi="Times New Roman" w:cs="Times New Roman"/>
          <w:sz w:val="24"/>
          <w:szCs w:val="24"/>
        </w:rPr>
        <w:t>e</w:t>
      </w:r>
      <w:proofErr w:type="gramEnd"/>
    </w:p>
    <w:p w:rsidR="00473149" w:rsidRPr="00F608EB" w:rsidRDefault="00473149" w:rsidP="00473149">
      <w:pPr>
        <w:numPr>
          <w:ilvl w:val="4"/>
          <w:numId w:val="3"/>
        </w:numPr>
        <w:spacing w:after="0" w:line="240" w:lineRule="auto"/>
        <w:ind w:firstLine="54"/>
        <w:jc w:val="both"/>
        <w:rPr>
          <w:rFonts w:ascii="Times New Roman" w:hAnsi="Times New Roman" w:cs="Times New Roman"/>
          <w:sz w:val="24"/>
          <w:szCs w:val="24"/>
        </w:rPr>
      </w:pPr>
      <w:r w:rsidRPr="008B6C68">
        <w:rPr>
          <w:rFonts w:ascii="Times New Roman" w:hAnsi="Times New Roman" w:cs="Times New Roman"/>
          <w:sz w:val="24"/>
          <w:szCs w:val="24"/>
        </w:rPr>
        <w:t xml:space="preserve">Classificados os Cartórios Eleitorais em função do número de eleitorado, constatou-se que: 21 servidores constantes da amostra (42% do total) trabalhavam em unidades cartorárias que tinham até 39.000 eleitores, sendo </w:t>
      </w:r>
      <w:proofErr w:type="gramStart"/>
      <w:r w:rsidRPr="008B6C68">
        <w:rPr>
          <w:rFonts w:ascii="Times New Roman" w:hAnsi="Times New Roman" w:cs="Times New Roman"/>
          <w:sz w:val="24"/>
          <w:szCs w:val="24"/>
        </w:rPr>
        <w:t>8</w:t>
      </w:r>
      <w:proofErr w:type="gramEnd"/>
      <w:r w:rsidRPr="008B6C68">
        <w:rPr>
          <w:rFonts w:ascii="Times New Roman" w:hAnsi="Times New Roman" w:cs="Times New Roman"/>
          <w:sz w:val="24"/>
          <w:szCs w:val="24"/>
        </w:rPr>
        <w:t xml:space="preserve"> servidores (16% da amostra) em Zonas Eleitorais  formadas por três ou mais municípios e 13 pessoas (26% do total), em unidades que respondiam por até dois municípios; 25 servidores (50% da amostra) estavam lotados em Cartórios Eleitorais que possuíam de 40.000 a 69.000 eleitores, sendo 13 deles (26% do total) em unidades formadas por três ou mais municípios e 12 (24% da amostra), em Zonas Eleitorais com até dois municípios; 4 servidores (8% do total) encontravam-se atuando em Unidades Cartorárias  com mais de 70.000 eleitores, sendo</w:t>
      </w:r>
      <w:r w:rsidRPr="00E9084F">
        <w:rPr>
          <w:sz w:val="20"/>
          <w:szCs w:val="20"/>
        </w:rPr>
        <w:t xml:space="preserve"> </w:t>
      </w:r>
      <w:r w:rsidRPr="008B6C68">
        <w:rPr>
          <w:rFonts w:ascii="Times New Roman" w:hAnsi="Times New Roman" w:cs="Times New Roman"/>
          <w:sz w:val="24"/>
          <w:szCs w:val="24"/>
        </w:rPr>
        <w:t>que 3 deles (6% da amostra) trabalhavam em Zonas que abrangiam três ou mais municípios e apenas 1 servidor (2% do total) estava lotado em Cartório com um ou dois municípios</w:t>
      </w:r>
      <w:r>
        <w:rPr>
          <w:rFonts w:ascii="Times New Roman" w:hAnsi="Times New Roman" w:cs="Times New Roman"/>
          <w:sz w:val="24"/>
          <w:szCs w:val="24"/>
        </w:rPr>
        <w:t>.</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9E340E">
        <w:rPr>
          <w:rFonts w:ascii="Times New Roman" w:hAnsi="Times New Roman" w:cs="Times New Roman"/>
          <w:sz w:val="24"/>
          <w:szCs w:val="24"/>
        </w:rPr>
        <w:t xml:space="preserve">Em relação ao exercício de 2017, constatou-se que: </w:t>
      </w:r>
    </w:p>
    <w:p w:rsidR="00473149" w:rsidRDefault="00473149" w:rsidP="00473149">
      <w:pPr>
        <w:numPr>
          <w:ilvl w:val="5"/>
          <w:numId w:val="1"/>
        </w:numPr>
        <w:spacing w:after="0" w:line="240" w:lineRule="auto"/>
        <w:ind w:left="1134" w:hanging="1134"/>
        <w:jc w:val="both"/>
        <w:rPr>
          <w:rFonts w:ascii="Times New Roman" w:hAnsi="Times New Roman" w:cs="Times New Roman"/>
          <w:sz w:val="24"/>
          <w:szCs w:val="24"/>
        </w:rPr>
      </w:pPr>
      <w:r w:rsidRPr="00BE0BB1">
        <w:rPr>
          <w:rFonts w:ascii="Times New Roman" w:hAnsi="Times New Roman" w:cs="Times New Roman"/>
          <w:sz w:val="24"/>
          <w:szCs w:val="24"/>
        </w:rPr>
        <w:t xml:space="preserve">Observado o universo de 35 claros de lotação existentes, verificou-se que </w:t>
      </w:r>
      <w:proofErr w:type="gramStart"/>
      <w:r w:rsidRPr="00BE0BB1">
        <w:rPr>
          <w:rFonts w:ascii="Times New Roman" w:hAnsi="Times New Roman" w:cs="Times New Roman"/>
          <w:sz w:val="24"/>
          <w:szCs w:val="24"/>
        </w:rPr>
        <w:t>3</w:t>
      </w:r>
      <w:proofErr w:type="gramEnd"/>
      <w:r w:rsidRPr="00BE0BB1">
        <w:rPr>
          <w:rFonts w:ascii="Times New Roman" w:hAnsi="Times New Roman" w:cs="Times New Roman"/>
          <w:sz w:val="24"/>
          <w:szCs w:val="24"/>
        </w:rPr>
        <w:t xml:space="preserve"> servidores lotados nessas unidades (9% do total de Cartórios com claro de lotação) registraram jornada de trabalho superior à estabelecida ordinariamente;</w:t>
      </w:r>
    </w:p>
    <w:p w:rsidR="00473149" w:rsidRDefault="00473149" w:rsidP="00473149">
      <w:pPr>
        <w:numPr>
          <w:ilvl w:val="5"/>
          <w:numId w:val="1"/>
        </w:numPr>
        <w:spacing w:after="0" w:line="240" w:lineRule="auto"/>
        <w:ind w:left="1134" w:hanging="1134"/>
        <w:jc w:val="both"/>
        <w:rPr>
          <w:rFonts w:ascii="Times New Roman" w:hAnsi="Times New Roman" w:cs="Times New Roman"/>
          <w:sz w:val="24"/>
          <w:szCs w:val="24"/>
        </w:rPr>
      </w:pPr>
      <w:r w:rsidRPr="00BE0BB1">
        <w:rPr>
          <w:rFonts w:ascii="Times New Roman" w:hAnsi="Times New Roman" w:cs="Times New Roman"/>
          <w:sz w:val="24"/>
          <w:szCs w:val="24"/>
        </w:rPr>
        <w:t>13 servidores (36% da amostra selecionada) encontravam-se lotados em Zonas Eleitorais que possuíam claro de lotação (</w:t>
      </w:r>
      <w:proofErr w:type="gramStart"/>
      <w:r w:rsidRPr="00BE0BB1">
        <w:rPr>
          <w:rFonts w:ascii="Times New Roman" w:hAnsi="Times New Roman" w:cs="Times New Roman"/>
          <w:sz w:val="24"/>
          <w:szCs w:val="24"/>
        </w:rPr>
        <w:t>3</w:t>
      </w:r>
      <w:proofErr w:type="gramEnd"/>
      <w:r w:rsidRPr="00BE0BB1">
        <w:rPr>
          <w:rFonts w:ascii="Times New Roman" w:hAnsi="Times New Roman" w:cs="Times New Roman"/>
          <w:sz w:val="24"/>
          <w:szCs w:val="24"/>
        </w:rPr>
        <w:t xml:space="preserve"> cartórios) ou  déficit de pessoal (10 unidades);</w:t>
      </w:r>
    </w:p>
    <w:p w:rsidR="00473149" w:rsidRDefault="00473149" w:rsidP="00473149">
      <w:pPr>
        <w:numPr>
          <w:ilvl w:val="5"/>
          <w:numId w:val="1"/>
        </w:numPr>
        <w:spacing w:after="0" w:line="240" w:lineRule="auto"/>
        <w:ind w:left="1134" w:hanging="1134"/>
        <w:jc w:val="both"/>
        <w:rPr>
          <w:rFonts w:ascii="Times New Roman" w:hAnsi="Times New Roman" w:cs="Times New Roman"/>
          <w:sz w:val="24"/>
          <w:szCs w:val="24"/>
        </w:rPr>
      </w:pPr>
      <w:r w:rsidRPr="00BE0BB1">
        <w:rPr>
          <w:rFonts w:ascii="Times New Roman" w:hAnsi="Times New Roman" w:cs="Times New Roman"/>
          <w:sz w:val="24"/>
          <w:szCs w:val="24"/>
        </w:rPr>
        <w:t xml:space="preserve">16 servidores selecionados (32% do total da amostra) estavam lotados em Cartórios que respondiam por três ou mais municípios, enquanto que 34 servidores (68% do total) atuavam em Zonas Eleitorais com até dois municípios; </w:t>
      </w:r>
      <w:proofErr w:type="gramStart"/>
      <w:r w:rsidRPr="00BE0BB1">
        <w:rPr>
          <w:rFonts w:ascii="Times New Roman" w:hAnsi="Times New Roman" w:cs="Times New Roman"/>
          <w:sz w:val="24"/>
          <w:szCs w:val="24"/>
        </w:rPr>
        <w:t>e</w:t>
      </w:r>
      <w:proofErr w:type="gramEnd"/>
      <w:r w:rsidRPr="00BE0BB1">
        <w:rPr>
          <w:rFonts w:ascii="Times New Roman" w:hAnsi="Times New Roman" w:cs="Times New Roman"/>
          <w:sz w:val="24"/>
          <w:szCs w:val="24"/>
        </w:rPr>
        <w:t xml:space="preserve"> </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BE0BB1">
        <w:rPr>
          <w:rFonts w:ascii="Times New Roman" w:hAnsi="Times New Roman" w:cs="Times New Roman"/>
          <w:sz w:val="24"/>
          <w:szCs w:val="24"/>
        </w:rPr>
        <w:t xml:space="preserve">No que tange ao número </w:t>
      </w:r>
      <w:r>
        <w:rPr>
          <w:rFonts w:ascii="Times New Roman" w:hAnsi="Times New Roman" w:cs="Times New Roman"/>
          <w:sz w:val="24"/>
          <w:szCs w:val="24"/>
        </w:rPr>
        <w:t>do eleitorado, constatou-se que:</w:t>
      </w:r>
    </w:p>
    <w:p w:rsidR="00473149" w:rsidRDefault="00473149" w:rsidP="00473149">
      <w:pPr>
        <w:numPr>
          <w:ilvl w:val="5"/>
          <w:numId w:val="1"/>
        </w:numPr>
        <w:spacing w:after="0" w:line="240" w:lineRule="auto"/>
        <w:ind w:left="1134" w:hanging="1134"/>
        <w:jc w:val="both"/>
        <w:rPr>
          <w:rFonts w:ascii="Times New Roman" w:hAnsi="Times New Roman" w:cs="Times New Roman"/>
          <w:sz w:val="24"/>
          <w:szCs w:val="24"/>
        </w:rPr>
      </w:pPr>
      <w:r w:rsidRPr="00BE0BB1">
        <w:rPr>
          <w:rFonts w:ascii="Times New Roman" w:hAnsi="Times New Roman" w:cs="Times New Roman"/>
          <w:sz w:val="24"/>
          <w:szCs w:val="24"/>
        </w:rPr>
        <w:t xml:space="preserve">19 servidores constantes da amostra (39% do total) atuavam em unidades que tinham até 39.000 eleitores, sendo </w:t>
      </w:r>
      <w:proofErr w:type="gramStart"/>
      <w:r w:rsidRPr="00BE0BB1">
        <w:rPr>
          <w:rFonts w:ascii="Times New Roman" w:hAnsi="Times New Roman" w:cs="Times New Roman"/>
          <w:sz w:val="24"/>
          <w:szCs w:val="24"/>
        </w:rPr>
        <w:t>4</w:t>
      </w:r>
      <w:proofErr w:type="gramEnd"/>
      <w:r w:rsidRPr="00BE0BB1">
        <w:rPr>
          <w:rFonts w:ascii="Times New Roman" w:hAnsi="Times New Roman" w:cs="Times New Roman"/>
          <w:sz w:val="24"/>
          <w:szCs w:val="24"/>
        </w:rPr>
        <w:t xml:space="preserve"> pessoas (8% da amostra) lotadas em Zonas Eleitorais formadas por três ou mais municípios e 15 servidores (30% do total), em unidades que respondiam por até dois municípios; </w:t>
      </w:r>
    </w:p>
    <w:p w:rsidR="00473149" w:rsidRDefault="00473149" w:rsidP="00473149">
      <w:pPr>
        <w:numPr>
          <w:ilvl w:val="5"/>
          <w:numId w:val="1"/>
        </w:numPr>
        <w:spacing w:after="0" w:line="240" w:lineRule="auto"/>
        <w:ind w:left="1134" w:hanging="1134"/>
        <w:jc w:val="both"/>
        <w:rPr>
          <w:rFonts w:ascii="Times New Roman" w:hAnsi="Times New Roman" w:cs="Times New Roman"/>
          <w:sz w:val="24"/>
          <w:szCs w:val="24"/>
        </w:rPr>
      </w:pPr>
      <w:r w:rsidRPr="00BE0BB1">
        <w:rPr>
          <w:rFonts w:ascii="Times New Roman" w:hAnsi="Times New Roman" w:cs="Times New Roman"/>
          <w:sz w:val="24"/>
          <w:szCs w:val="24"/>
        </w:rPr>
        <w:t xml:space="preserve">16 pessoas (32% da amostra) trabalhavam em Cartórios Eleitorais que possuíam de 40.000 a 69.000 eleitores, sendo 10 delas (20% do total) em unidades formadas por três ou mais municípios e </w:t>
      </w:r>
      <w:proofErr w:type="gramStart"/>
      <w:r w:rsidRPr="00BE0BB1">
        <w:rPr>
          <w:rFonts w:ascii="Times New Roman" w:hAnsi="Times New Roman" w:cs="Times New Roman"/>
          <w:sz w:val="24"/>
          <w:szCs w:val="24"/>
        </w:rPr>
        <w:t>6</w:t>
      </w:r>
      <w:proofErr w:type="gramEnd"/>
      <w:r w:rsidRPr="00BE0BB1">
        <w:rPr>
          <w:rFonts w:ascii="Times New Roman" w:hAnsi="Times New Roman" w:cs="Times New Roman"/>
          <w:sz w:val="24"/>
          <w:szCs w:val="24"/>
        </w:rPr>
        <w:t xml:space="preserve"> (12% da amostra), em Zonas com até dois municípios; e </w:t>
      </w:r>
    </w:p>
    <w:p w:rsidR="00473149" w:rsidRPr="00BE0BB1" w:rsidRDefault="00473149" w:rsidP="00473149">
      <w:pPr>
        <w:numPr>
          <w:ilvl w:val="5"/>
          <w:numId w:val="1"/>
        </w:numPr>
        <w:spacing w:after="0" w:line="240" w:lineRule="auto"/>
        <w:ind w:left="1134" w:hanging="1134"/>
        <w:jc w:val="both"/>
        <w:rPr>
          <w:rFonts w:ascii="Times New Roman" w:hAnsi="Times New Roman" w:cs="Times New Roman"/>
          <w:sz w:val="24"/>
          <w:szCs w:val="24"/>
        </w:rPr>
      </w:pPr>
      <w:r w:rsidRPr="00BE0BB1">
        <w:rPr>
          <w:rFonts w:ascii="Times New Roman" w:hAnsi="Times New Roman" w:cs="Times New Roman"/>
          <w:sz w:val="24"/>
          <w:szCs w:val="24"/>
        </w:rPr>
        <w:lastRenderedPageBreak/>
        <w:t xml:space="preserve">15 servidores (30% do total) atuavam em Unidades Cartorárias com mais de 70.000 eleitores, sendo que </w:t>
      </w:r>
      <w:proofErr w:type="gramStart"/>
      <w:r w:rsidRPr="00BE0BB1">
        <w:rPr>
          <w:rFonts w:ascii="Times New Roman" w:hAnsi="Times New Roman" w:cs="Times New Roman"/>
          <w:sz w:val="24"/>
          <w:szCs w:val="24"/>
        </w:rPr>
        <w:t>2</w:t>
      </w:r>
      <w:proofErr w:type="gramEnd"/>
      <w:r w:rsidRPr="00BE0BB1">
        <w:rPr>
          <w:rFonts w:ascii="Times New Roman" w:hAnsi="Times New Roman" w:cs="Times New Roman"/>
          <w:sz w:val="24"/>
          <w:szCs w:val="24"/>
        </w:rPr>
        <w:t xml:space="preserve"> deles (4% da amostra) trabalhavam em Zonas que abrangiam três ou mais municípios e apenas 13 servidores (26% do total) estavam lotados em Cartório com um ou dois municípios.</w:t>
      </w:r>
    </w:p>
    <w:p w:rsidR="00473149" w:rsidRPr="00682027" w:rsidRDefault="00473149" w:rsidP="00473149">
      <w:pPr>
        <w:numPr>
          <w:ilvl w:val="4"/>
          <w:numId w:val="1"/>
        </w:numPr>
        <w:spacing w:after="0" w:line="240" w:lineRule="auto"/>
        <w:jc w:val="both"/>
        <w:rPr>
          <w:sz w:val="24"/>
          <w:szCs w:val="24"/>
        </w:rPr>
      </w:pPr>
      <w:r w:rsidRPr="00682027">
        <w:rPr>
          <w:rFonts w:ascii="Times New Roman" w:hAnsi="Times New Roman" w:cs="Times New Roman"/>
          <w:sz w:val="24"/>
          <w:szCs w:val="24"/>
        </w:rPr>
        <w:t>Considerando que aconteceram eleições municipais no exercício de 2016 e o Estado da Bahia está em processo de recadastramento biométrico, observou-se que, em 2017, 47 servidores selecionados na amostra (94% do total) encontravam-se lotados em Zonas Eleitorais que sentenciaram mais de 50 processos de prestação de contas em 2017 ou estavam realizando a revisão biométrica.</w:t>
      </w:r>
    </w:p>
    <w:p w:rsidR="00473149" w:rsidRPr="00682027" w:rsidRDefault="00473149" w:rsidP="00473149">
      <w:pPr>
        <w:numPr>
          <w:ilvl w:val="4"/>
          <w:numId w:val="1"/>
        </w:numPr>
        <w:spacing w:after="0" w:line="240" w:lineRule="auto"/>
        <w:jc w:val="both"/>
        <w:rPr>
          <w:sz w:val="24"/>
          <w:szCs w:val="24"/>
        </w:rPr>
      </w:pPr>
      <w:r w:rsidRPr="00682027">
        <w:rPr>
          <w:rFonts w:ascii="Times New Roman" w:hAnsi="Times New Roman" w:cs="Times New Roman"/>
          <w:sz w:val="24"/>
          <w:szCs w:val="24"/>
        </w:rPr>
        <w:t>Verifica-se, portanto, que a realização de trabalho em jornada superior à ordinária por servidores lotados em Zonas Eleitorais tem como possíveis causas vários fatores – claro de lotação/déficit de pessoal, eleição, revisão biométrica do eleitorado, instrução e análise de processo de prestação de contas, número de municípios e eleitorado –, que devem ser analisados individualmente.</w:t>
      </w:r>
    </w:p>
    <w:p w:rsidR="00473149" w:rsidRPr="00BE0BB1" w:rsidRDefault="00473149" w:rsidP="00473149">
      <w:pPr>
        <w:numPr>
          <w:ilvl w:val="4"/>
          <w:numId w:val="1"/>
        </w:numPr>
        <w:spacing w:after="0" w:line="240" w:lineRule="auto"/>
        <w:jc w:val="both"/>
        <w:rPr>
          <w:spacing w:val="-2"/>
          <w:sz w:val="24"/>
          <w:szCs w:val="24"/>
        </w:rPr>
      </w:pPr>
      <w:r w:rsidRPr="00BE0BB1">
        <w:rPr>
          <w:rFonts w:ascii="Times New Roman" w:hAnsi="Times New Roman" w:cs="Times New Roman"/>
          <w:spacing w:val="-2"/>
          <w:sz w:val="24"/>
          <w:szCs w:val="24"/>
        </w:rPr>
        <w:t xml:space="preserve">Ademais, considerando que a Bahia é o quinto estado brasileiro em extensão territorial, fatores como distância geográfica entre os municípios pertencentes à zona e condição de infraestrutura, acessibilidade e logística na unidade judiciária podem impactar o cálculo da quantidade e perfil ideal de servidores em cada Cartório. </w:t>
      </w:r>
    </w:p>
    <w:p w:rsidR="00473149" w:rsidRPr="00BE0BB1" w:rsidRDefault="00473149" w:rsidP="00473149">
      <w:pPr>
        <w:numPr>
          <w:ilvl w:val="4"/>
          <w:numId w:val="1"/>
        </w:numPr>
        <w:spacing w:after="0" w:line="240" w:lineRule="auto"/>
        <w:jc w:val="both"/>
        <w:rPr>
          <w:rFonts w:ascii="Times New Roman" w:hAnsi="Times New Roman" w:cs="Times New Roman"/>
          <w:spacing w:val="4"/>
          <w:sz w:val="24"/>
          <w:szCs w:val="24"/>
        </w:rPr>
      </w:pPr>
      <w:r w:rsidRPr="00BE0BB1">
        <w:rPr>
          <w:rFonts w:ascii="Times New Roman" w:hAnsi="Times New Roman" w:cs="Times New Roman"/>
          <w:spacing w:val="4"/>
          <w:sz w:val="24"/>
          <w:szCs w:val="24"/>
        </w:rPr>
        <w:t>Assim, após análise dos dados constantes da amostra selecionada constata-se que o critério utilizado para lotação de servidores nas Zonas Eleitorais – mínimo de dois servidores para as unidades do interior do Estado e de três para os Cartórios da Capital –, mostra-se inadequado e insuficiente à asseguração das entregas associadas.</w:t>
      </w:r>
    </w:p>
    <w:p w:rsidR="00473149" w:rsidRPr="00682027" w:rsidRDefault="00473149" w:rsidP="00473149">
      <w:pPr>
        <w:numPr>
          <w:ilvl w:val="4"/>
          <w:numId w:val="1"/>
        </w:numPr>
        <w:spacing w:after="0" w:line="240" w:lineRule="auto"/>
        <w:jc w:val="both"/>
        <w:rPr>
          <w:sz w:val="24"/>
          <w:szCs w:val="24"/>
        </w:rPr>
      </w:pPr>
      <w:r w:rsidRPr="00682027">
        <w:rPr>
          <w:rFonts w:ascii="Times New Roman" w:hAnsi="Times New Roman" w:cs="Times New Roman"/>
          <w:sz w:val="24"/>
          <w:szCs w:val="24"/>
        </w:rPr>
        <w:t xml:space="preserve">Paralelamente, em relação às unidades da Secretaria do Tribunal, verificou-se que a SGP adota como critérios para lotação de servidores, os quantitativos mínimos de três servidores por Seção e de dois, para os Gabinetes dos Juízes do Tribunal. </w:t>
      </w:r>
    </w:p>
    <w:p w:rsidR="00473149" w:rsidRPr="0096163D" w:rsidRDefault="00473149" w:rsidP="00473149">
      <w:pPr>
        <w:numPr>
          <w:ilvl w:val="4"/>
          <w:numId w:val="1"/>
        </w:numPr>
        <w:spacing w:after="0" w:line="240" w:lineRule="auto"/>
        <w:jc w:val="both"/>
        <w:rPr>
          <w:rFonts w:ascii="Times New Roman" w:hAnsi="Times New Roman" w:cs="Times New Roman"/>
          <w:sz w:val="24"/>
          <w:szCs w:val="24"/>
        </w:rPr>
      </w:pPr>
      <w:r w:rsidRPr="00682027">
        <w:rPr>
          <w:rFonts w:ascii="Times New Roman" w:hAnsi="Times New Roman" w:cs="Times New Roman"/>
          <w:sz w:val="24"/>
          <w:szCs w:val="24"/>
        </w:rPr>
        <w:t xml:space="preserve">Efetuou-se análise do universo de servidores com registro de prestação de horas além da jornada ordinária de trabalho, nos exercícios de 2016 e 2017, observada amostra de 50 e 80 servidores com maior quantitativo de horas excedentes </w:t>
      </w:r>
      <w:r w:rsidRPr="0096163D">
        <w:rPr>
          <w:rFonts w:ascii="Times New Roman" w:hAnsi="Times New Roman" w:cs="Times New Roman"/>
          <w:sz w:val="24"/>
          <w:szCs w:val="24"/>
        </w:rPr>
        <w:t>realizadas, respectivamente.</w:t>
      </w:r>
    </w:p>
    <w:p w:rsidR="00473149" w:rsidRPr="00BE0BB1" w:rsidRDefault="00473149" w:rsidP="00473149">
      <w:pPr>
        <w:numPr>
          <w:ilvl w:val="4"/>
          <w:numId w:val="1"/>
        </w:numPr>
        <w:spacing w:after="0" w:line="240" w:lineRule="auto"/>
        <w:jc w:val="both"/>
        <w:rPr>
          <w:rFonts w:ascii="Times New Roman" w:hAnsi="Times New Roman" w:cs="Times New Roman"/>
          <w:sz w:val="24"/>
          <w:szCs w:val="24"/>
        </w:rPr>
      </w:pPr>
      <w:r w:rsidRPr="00BE0BB1">
        <w:rPr>
          <w:rFonts w:ascii="Times New Roman" w:hAnsi="Times New Roman" w:cs="Times New Roman"/>
          <w:sz w:val="24"/>
          <w:szCs w:val="24"/>
        </w:rPr>
        <w:t xml:space="preserve">Do exame dos dados selecionados em 2016, verificou-se que: </w:t>
      </w:r>
    </w:p>
    <w:p w:rsidR="00473149" w:rsidRPr="00BE0BB1" w:rsidRDefault="00473149" w:rsidP="00473149">
      <w:pPr>
        <w:numPr>
          <w:ilvl w:val="5"/>
          <w:numId w:val="1"/>
        </w:numPr>
        <w:spacing w:after="0" w:line="240" w:lineRule="auto"/>
        <w:ind w:left="1276" w:hanging="1276"/>
        <w:jc w:val="both"/>
        <w:rPr>
          <w:rFonts w:ascii="Times New Roman" w:hAnsi="Times New Roman" w:cs="Times New Roman"/>
          <w:sz w:val="24"/>
          <w:szCs w:val="24"/>
        </w:rPr>
      </w:pPr>
      <w:bookmarkStart w:id="36" w:name="_Toc520362053"/>
      <w:r w:rsidRPr="00BE0BB1">
        <w:rPr>
          <w:rFonts w:ascii="Times New Roman" w:hAnsi="Times New Roman" w:cs="Times New Roman"/>
          <w:sz w:val="24"/>
          <w:szCs w:val="24"/>
        </w:rPr>
        <w:t xml:space="preserve">34 servidores eram gestores (68% da amostra analisada), sendo </w:t>
      </w:r>
      <w:proofErr w:type="gramStart"/>
      <w:r w:rsidRPr="00BE0BB1">
        <w:rPr>
          <w:rFonts w:ascii="Times New Roman" w:hAnsi="Times New Roman" w:cs="Times New Roman"/>
          <w:sz w:val="24"/>
          <w:szCs w:val="24"/>
        </w:rPr>
        <w:t>4</w:t>
      </w:r>
      <w:proofErr w:type="gramEnd"/>
      <w:r w:rsidRPr="00BE0BB1">
        <w:rPr>
          <w:rFonts w:ascii="Times New Roman" w:hAnsi="Times New Roman" w:cs="Times New Roman"/>
          <w:sz w:val="24"/>
          <w:szCs w:val="24"/>
        </w:rPr>
        <w:t xml:space="preserve"> de nível estratégico (8%), 13 de nível tático (26%) e 17 de nível operacional (34%);</w:t>
      </w:r>
      <w:bookmarkEnd w:id="36"/>
    </w:p>
    <w:p w:rsidR="00473149" w:rsidRPr="00BE0BB1" w:rsidRDefault="00473149" w:rsidP="00473149">
      <w:pPr>
        <w:numPr>
          <w:ilvl w:val="5"/>
          <w:numId w:val="1"/>
        </w:numPr>
        <w:spacing w:after="0" w:line="240" w:lineRule="auto"/>
        <w:ind w:left="1276" w:hanging="1276"/>
        <w:jc w:val="both"/>
        <w:rPr>
          <w:rFonts w:ascii="Times New Roman" w:hAnsi="Times New Roman" w:cs="Times New Roman"/>
          <w:sz w:val="24"/>
          <w:szCs w:val="24"/>
        </w:rPr>
      </w:pPr>
      <w:bookmarkStart w:id="37" w:name="_Toc520362054"/>
      <w:r w:rsidRPr="00BE0BB1">
        <w:rPr>
          <w:rFonts w:ascii="Times New Roman" w:hAnsi="Times New Roman" w:cs="Times New Roman"/>
          <w:sz w:val="24"/>
          <w:szCs w:val="24"/>
        </w:rPr>
        <w:t xml:space="preserve">Considerados os gestores identificados, constatou-se realização de serviço extraordinário em cascata, em dois níveis hierárquicos nas seguintes unidades: SOF e COORC; SGP, GAB-SGP, COPES e COTEC; COGELIC, SELIC e SECONT; e COEPA e SECOE; </w:t>
      </w:r>
      <w:proofErr w:type="gramStart"/>
      <w:r w:rsidRPr="00BE0BB1">
        <w:rPr>
          <w:rFonts w:ascii="Times New Roman" w:hAnsi="Times New Roman" w:cs="Times New Roman"/>
          <w:sz w:val="24"/>
          <w:szCs w:val="24"/>
        </w:rPr>
        <w:t>e</w:t>
      </w:r>
      <w:bookmarkEnd w:id="37"/>
      <w:proofErr w:type="gramEnd"/>
    </w:p>
    <w:p w:rsidR="00473149" w:rsidRPr="00BE0BB1" w:rsidRDefault="00473149" w:rsidP="00473149">
      <w:pPr>
        <w:numPr>
          <w:ilvl w:val="5"/>
          <w:numId w:val="1"/>
        </w:numPr>
        <w:spacing w:after="0" w:line="240" w:lineRule="auto"/>
        <w:ind w:left="1276" w:hanging="1276"/>
        <w:jc w:val="both"/>
        <w:rPr>
          <w:rFonts w:ascii="Times New Roman" w:hAnsi="Times New Roman" w:cs="Times New Roman"/>
          <w:sz w:val="24"/>
          <w:szCs w:val="24"/>
        </w:rPr>
      </w:pPr>
      <w:bookmarkStart w:id="38" w:name="_Toc520362055"/>
      <w:r w:rsidRPr="00BE0BB1">
        <w:rPr>
          <w:rFonts w:ascii="Times New Roman" w:hAnsi="Times New Roman" w:cs="Times New Roman"/>
          <w:sz w:val="24"/>
          <w:szCs w:val="24"/>
        </w:rPr>
        <w:t>Dos 34 gestores, 12 contaram com DFT em suas unidades no período de 2016 a 2018, tendo sido identificado déficit de pessoal em todas as unidades dimensionadas.</w:t>
      </w:r>
      <w:bookmarkEnd w:id="38"/>
    </w:p>
    <w:p w:rsidR="00473149" w:rsidRPr="00BE0BB1" w:rsidRDefault="00473149" w:rsidP="00473149">
      <w:pPr>
        <w:numPr>
          <w:ilvl w:val="4"/>
          <w:numId w:val="1"/>
        </w:numPr>
        <w:spacing w:after="0" w:line="240" w:lineRule="auto"/>
        <w:jc w:val="both"/>
        <w:rPr>
          <w:rFonts w:ascii="Times New Roman" w:hAnsi="Times New Roman" w:cs="Times New Roman"/>
          <w:sz w:val="24"/>
          <w:szCs w:val="24"/>
        </w:rPr>
      </w:pPr>
      <w:bookmarkStart w:id="39" w:name="_Toc520362056"/>
      <w:r w:rsidRPr="00BE0BB1">
        <w:rPr>
          <w:rFonts w:ascii="Times New Roman" w:hAnsi="Times New Roman" w:cs="Times New Roman"/>
          <w:sz w:val="24"/>
          <w:szCs w:val="24"/>
        </w:rPr>
        <w:t>Em 2017, observou-se que:</w:t>
      </w:r>
      <w:bookmarkEnd w:id="39"/>
      <w:r w:rsidRPr="00BE0BB1">
        <w:rPr>
          <w:rFonts w:ascii="Times New Roman" w:hAnsi="Times New Roman" w:cs="Times New Roman"/>
          <w:sz w:val="24"/>
          <w:szCs w:val="24"/>
        </w:rPr>
        <w:t xml:space="preserve"> </w:t>
      </w:r>
    </w:p>
    <w:p w:rsidR="00473149" w:rsidRPr="00BE0BB1" w:rsidRDefault="00473149" w:rsidP="00473149">
      <w:pPr>
        <w:numPr>
          <w:ilvl w:val="5"/>
          <w:numId w:val="1"/>
        </w:numPr>
        <w:spacing w:after="0" w:line="240" w:lineRule="auto"/>
        <w:ind w:left="1276" w:hanging="1276"/>
        <w:jc w:val="both"/>
        <w:rPr>
          <w:rFonts w:ascii="Times New Roman" w:hAnsi="Times New Roman" w:cs="Times New Roman"/>
          <w:sz w:val="24"/>
          <w:szCs w:val="24"/>
        </w:rPr>
      </w:pPr>
      <w:bookmarkStart w:id="40" w:name="_Toc520362057"/>
      <w:r w:rsidRPr="00BE0BB1">
        <w:rPr>
          <w:rFonts w:ascii="Times New Roman" w:hAnsi="Times New Roman" w:cs="Times New Roman"/>
          <w:sz w:val="24"/>
          <w:szCs w:val="24"/>
        </w:rPr>
        <w:t xml:space="preserve">52 servidores (65% da amostra analisada) eram gestores, sendo </w:t>
      </w:r>
      <w:proofErr w:type="gramStart"/>
      <w:r w:rsidRPr="00BE0BB1">
        <w:rPr>
          <w:rFonts w:ascii="Times New Roman" w:hAnsi="Times New Roman" w:cs="Times New Roman"/>
          <w:sz w:val="24"/>
          <w:szCs w:val="24"/>
        </w:rPr>
        <w:t>6</w:t>
      </w:r>
      <w:proofErr w:type="gramEnd"/>
      <w:r w:rsidRPr="00BE0BB1">
        <w:rPr>
          <w:rFonts w:ascii="Times New Roman" w:hAnsi="Times New Roman" w:cs="Times New Roman"/>
          <w:sz w:val="24"/>
          <w:szCs w:val="24"/>
        </w:rPr>
        <w:t xml:space="preserve"> de nível estratégico (8%), 17 de nível tático (21%) e 29 de nível operacional (36%);</w:t>
      </w:r>
      <w:bookmarkEnd w:id="40"/>
    </w:p>
    <w:p w:rsidR="00473149" w:rsidRPr="0028609F" w:rsidRDefault="00473149" w:rsidP="00473149">
      <w:pPr>
        <w:numPr>
          <w:ilvl w:val="5"/>
          <w:numId w:val="1"/>
        </w:numPr>
        <w:spacing w:after="0" w:line="240" w:lineRule="auto"/>
        <w:ind w:left="1276" w:hanging="1276"/>
        <w:jc w:val="both"/>
        <w:rPr>
          <w:rFonts w:ascii="Times New Roman" w:hAnsi="Times New Roman" w:cs="Times New Roman"/>
          <w:spacing w:val="-2"/>
          <w:sz w:val="24"/>
          <w:szCs w:val="24"/>
        </w:rPr>
      </w:pPr>
      <w:bookmarkStart w:id="41" w:name="_Toc520362058"/>
      <w:r w:rsidRPr="0028609F">
        <w:rPr>
          <w:rFonts w:ascii="Times New Roman" w:hAnsi="Times New Roman" w:cs="Times New Roman"/>
          <w:spacing w:val="-2"/>
          <w:sz w:val="24"/>
          <w:szCs w:val="24"/>
        </w:rPr>
        <w:t xml:space="preserve">Considerados os gestores identificados, constatou-se realização de serviço extraordinário em cascata, em três níveis hierárquicos nas seguintes áreas: SGP, GAB-SGP, COTEC, SEDIR, SEJUPE, COEDE, EFAS, COPES, SEROJ e SEMAMP; SGA, GAB-SGA, COMAP, SEGEP, COGELIC, SECONT, SELIC e SEAQUI; </w:t>
      </w:r>
      <w:proofErr w:type="gramStart"/>
      <w:r w:rsidRPr="0028609F">
        <w:rPr>
          <w:rFonts w:ascii="Times New Roman" w:hAnsi="Times New Roman" w:cs="Times New Roman"/>
          <w:spacing w:val="-2"/>
          <w:sz w:val="24"/>
          <w:szCs w:val="24"/>
        </w:rPr>
        <w:t>e</w:t>
      </w:r>
      <w:bookmarkEnd w:id="41"/>
      <w:proofErr w:type="gramEnd"/>
      <w:r w:rsidRPr="0028609F">
        <w:rPr>
          <w:rFonts w:ascii="Times New Roman" w:hAnsi="Times New Roman" w:cs="Times New Roman"/>
          <w:spacing w:val="-2"/>
          <w:sz w:val="24"/>
          <w:szCs w:val="24"/>
        </w:rPr>
        <w:t xml:space="preserve"> </w:t>
      </w:r>
    </w:p>
    <w:p w:rsidR="00473149" w:rsidRPr="00BE0BB1" w:rsidRDefault="00473149" w:rsidP="00473149">
      <w:pPr>
        <w:numPr>
          <w:ilvl w:val="5"/>
          <w:numId w:val="1"/>
        </w:numPr>
        <w:spacing w:after="0" w:line="240" w:lineRule="auto"/>
        <w:ind w:left="1276" w:hanging="1276"/>
        <w:jc w:val="both"/>
        <w:rPr>
          <w:rFonts w:ascii="Times New Roman" w:hAnsi="Times New Roman" w:cs="Times New Roman"/>
          <w:sz w:val="24"/>
          <w:szCs w:val="24"/>
        </w:rPr>
      </w:pPr>
      <w:bookmarkStart w:id="42" w:name="_Toc520362059"/>
      <w:r w:rsidRPr="00BE0BB1">
        <w:rPr>
          <w:rFonts w:ascii="Times New Roman" w:hAnsi="Times New Roman" w:cs="Times New Roman"/>
          <w:sz w:val="24"/>
          <w:szCs w:val="24"/>
        </w:rPr>
        <w:lastRenderedPageBreak/>
        <w:t>Dos 52 gestores, 25 tiveram a força de trabalho de suas unidades dimensionadas, no período de 2016 a 2018 (48% do total de gestores), tendo sido identificado déficit de pessoal em 20 delas (80% do total dimensionado).</w:t>
      </w:r>
      <w:bookmarkEnd w:id="42"/>
      <w:r w:rsidRPr="00BE0BB1">
        <w:rPr>
          <w:rFonts w:ascii="Times New Roman" w:hAnsi="Times New Roman" w:cs="Times New Roman"/>
          <w:sz w:val="24"/>
          <w:szCs w:val="24"/>
        </w:rPr>
        <w:t xml:space="preserve"> </w:t>
      </w:r>
    </w:p>
    <w:p w:rsidR="00473149" w:rsidRPr="002808EC" w:rsidRDefault="00473149" w:rsidP="00473149">
      <w:pPr>
        <w:pStyle w:val="PargrafodaLista"/>
        <w:numPr>
          <w:ilvl w:val="4"/>
          <w:numId w:val="1"/>
        </w:numPr>
        <w:spacing w:before="0" w:after="0"/>
        <w:ind w:left="1077" w:hanging="1077"/>
        <w:jc w:val="both"/>
        <w:rPr>
          <w:rFonts w:eastAsiaTheme="minorHAnsi"/>
          <w:b w:val="0"/>
          <w:spacing w:val="-4"/>
          <w:sz w:val="24"/>
          <w:szCs w:val="24"/>
          <w:lang w:eastAsia="en-US"/>
        </w:rPr>
      </w:pPr>
      <w:bookmarkStart w:id="43" w:name="_Toc520362060"/>
      <w:bookmarkStart w:id="44" w:name="_Toc520405204"/>
      <w:r w:rsidRPr="002808EC">
        <w:rPr>
          <w:rFonts w:eastAsiaTheme="minorHAnsi"/>
          <w:b w:val="0"/>
          <w:spacing w:val="-4"/>
          <w:sz w:val="24"/>
          <w:szCs w:val="24"/>
          <w:lang w:eastAsia="en-US"/>
        </w:rPr>
        <w:t>Conclui-se, portanto, pela ausência de efetividade do critério atualmente utilizado para lotação de servidores na Secretaria do Tribunal, uma vez que a extrapolação reiterada da jornada de trabalho por número significativo de gestores, inclusive numa mesma linha hierárquica, denota envolvimento em atividades operacionais, a fim de assegurar as entregas sob sua responsabilidade, em função da inexistência de força de trabalho adequada e suficiente, conforme corroborado pelo processo do DFT.</w:t>
      </w:r>
      <w:bookmarkEnd w:id="43"/>
      <w:bookmarkEnd w:id="44"/>
    </w:p>
    <w:p w:rsidR="00473149" w:rsidRPr="00F608EB" w:rsidRDefault="00473149" w:rsidP="00473149">
      <w:pPr>
        <w:numPr>
          <w:ilvl w:val="3"/>
          <w:numId w:val="1"/>
        </w:numPr>
        <w:spacing w:after="0" w:line="240" w:lineRule="auto"/>
        <w:ind w:left="1077" w:hanging="1077"/>
        <w:jc w:val="both"/>
        <w:rPr>
          <w:rFonts w:ascii="Times New Roman" w:hAnsi="Times New Roman" w:cs="Times New Roman"/>
          <w:sz w:val="24"/>
          <w:szCs w:val="24"/>
        </w:rPr>
      </w:pPr>
      <w:r w:rsidRPr="00F608EB">
        <w:rPr>
          <w:rFonts w:ascii="Times New Roman" w:hAnsi="Times New Roman" w:cs="Times New Roman"/>
          <w:i/>
          <w:sz w:val="24"/>
          <w:szCs w:val="24"/>
        </w:rPr>
        <w:t>Critério(s)</w:t>
      </w:r>
      <w:r w:rsidRPr="00F608EB">
        <w:rPr>
          <w:rFonts w:ascii="Times New Roman" w:hAnsi="Times New Roman" w:cs="Times New Roman"/>
          <w:sz w:val="24"/>
          <w:szCs w:val="24"/>
        </w:rPr>
        <w:t xml:space="preserve">: </w:t>
      </w:r>
      <w:r w:rsidRPr="00F608EB">
        <w:rPr>
          <w:rFonts w:ascii="Times New Roman" w:hAnsi="Times New Roman" w:cs="Times New Roman"/>
          <w:sz w:val="24"/>
          <w:szCs w:val="24"/>
        </w:rPr>
        <w:tab/>
      </w:r>
    </w:p>
    <w:p w:rsidR="00473149" w:rsidRPr="0096163D" w:rsidRDefault="00473149" w:rsidP="00473149">
      <w:pPr>
        <w:numPr>
          <w:ilvl w:val="4"/>
          <w:numId w:val="1"/>
        </w:numPr>
        <w:spacing w:after="0" w:line="240" w:lineRule="auto"/>
        <w:jc w:val="both"/>
        <w:rPr>
          <w:rFonts w:ascii="Times New Roman" w:hAnsi="Times New Roman" w:cs="Times New Roman"/>
          <w:spacing w:val="-2"/>
          <w:sz w:val="24"/>
          <w:szCs w:val="24"/>
        </w:rPr>
      </w:pPr>
      <w:r w:rsidRPr="0096163D">
        <w:rPr>
          <w:rFonts w:ascii="Times New Roman" w:hAnsi="Times New Roman" w:cs="Times New Roman"/>
          <w:spacing w:val="-2"/>
          <w:sz w:val="24"/>
          <w:szCs w:val="24"/>
        </w:rPr>
        <w:t xml:space="preserve">Resolução Administrativa do TRE-BA nº 3/2004, art. 6º; Convenção para lotação de servidor baseada em quantitativo mínimo de pessoas por unidade administrativa e judiciária; Resolução Administrativa TRE-BA nº 12/2017 (Política de Gestão de Pessoas do TRE-BA), </w:t>
      </w:r>
      <w:proofErr w:type="spellStart"/>
      <w:r w:rsidRPr="0096163D">
        <w:rPr>
          <w:rFonts w:ascii="Times New Roman" w:hAnsi="Times New Roman" w:cs="Times New Roman"/>
          <w:spacing w:val="-2"/>
          <w:sz w:val="24"/>
          <w:szCs w:val="24"/>
        </w:rPr>
        <w:t>arts</w:t>
      </w:r>
      <w:proofErr w:type="spellEnd"/>
      <w:r w:rsidRPr="0096163D">
        <w:rPr>
          <w:rFonts w:ascii="Times New Roman" w:hAnsi="Times New Roman" w:cs="Times New Roman"/>
          <w:spacing w:val="-2"/>
          <w:sz w:val="24"/>
          <w:szCs w:val="24"/>
        </w:rPr>
        <w:t xml:space="preserve">. 5º, IV, e 6º, III; Resolução Administrativa do TRE-BA nº 5/2016 (Regulamento Interno da Secretaria do Tribunal), </w:t>
      </w:r>
      <w:proofErr w:type="spellStart"/>
      <w:r w:rsidRPr="0096163D">
        <w:rPr>
          <w:rFonts w:ascii="Times New Roman" w:hAnsi="Times New Roman" w:cs="Times New Roman"/>
          <w:spacing w:val="-2"/>
          <w:sz w:val="24"/>
          <w:szCs w:val="24"/>
        </w:rPr>
        <w:t>arts</w:t>
      </w:r>
      <w:proofErr w:type="spellEnd"/>
      <w:r w:rsidRPr="0096163D">
        <w:rPr>
          <w:rFonts w:ascii="Times New Roman" w:hAnsi="Times New Roman" w:cs="Times New Roman"/>
          <w:spacing w:val="-2"/>
          <w:sz w:val="24"/>
          <w:szCs w:val="24"/>
        </w:rPr>
        <w:t xml:space="preserve">. 58 e 70, II; Resolução Administrativa TRE-BA nº 12/2018 (Regulamento Interno da Secretaria do Tribunal), </w:t>
      </w:r>
      <w:proofErr w:type="spellStart"/>
      <w:r w:rsidRPr="0096163D">
        <w:rPr>
          <w:rFonts w:ascii="Times New Roman" w:hAnsi="Times New Roman" w:cs="Times New Roman"/>
          <w:spacing w:val="-2"/>
          <w:sz w:val="24"/>
          <w:szCs w:val="24"/>
        </w:rPr>
        <w:t>arts</w:t>
      </w:r>
      <w:proofErr w:type="spellEnd"/>
      <w:r w:rsidRPr="0096163D">
        <w:rPr>
          <w:rFonts w:ascii="Times New Roman" w:hAnsi="Times New Roman" w:cs="Times New Roman"/>
          <w:spacing w:val="-2"/>
          <w:sz w:val="24"/>
          <w:szCs w:val="24"/>
        </w:rPr>
        <w:t xml:space="preserve">. 55, 65, II e X, 67, </w:t>
      </w:r>
      <w:proofErr w:type="gramStart"/>
      <w:r w:rsidRPr="0096163D">
        <w:rPr>
          <w:rFonts w:ascii="Times New Roman" w:hAnsi="Times New Roman" w:cs="Times New Roman"/>
          <w:spacing w:val="-2"/>
          <w:sz w:val="24"/>
          <w:szCs w:val="24"/>
        </w:rPr>
        <w:t>VI</w:t>
      </w:r>
      <w:proofErr w:type="gramEnd"/>
      <w:r w:rsidRPr="0096163D">
        <w:rPr>
          <w:rFonts w:ascii="Times New Roman" w:hAnsi="Times New Roman" w:cs="Times New Roman"/>
          <w:spacing w:val="-2"/>
          <w:sz w:val="24"/>
          <w:szCs w:val="24"/>
        </w:rPr>
        <w:t xml:space="preserve"> e VII, 68, II, e 128, VI e VII; Resolução Administrativa TRE-BA nº 18/2018, art. 4º, §2º; e Acórdão TCU Plenário nº 1.172/2015, subitens 9.1.8, 9.1.9 e 9.1.10; e Portaria da Presidência nº 407/2015.</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Causa(s):</w:t>
      </w:r>
    </w:p>
    <w:p w:rsidR="00473149" w:rsidRPr="00F608EB" w:rsidRDefault="00473149" w:rsidP="00473149">
      <w:pPr>
        <w:numPr>
          <w:ilvl w:val="4"/>
          <w:numId w:val="1"/>
        </w:numPr>
        <w:spacing w:after="0" w:line="240" w:lineRule="auto"/>
        <w:jc w:val="both"/>
        <w:rPr>
          <w:rFonts w:ascii="Times New Roman" w:hAnsi="Times New Roman" w:cs="Times New Roman"/>
          <w:i/>
          <w:sz w:val="24"/>
          <w:szCs w:val="24"/>
        </w:rPr>
      </w:pPr>
      <w:r w:rsidRPr="00CE66FB">
        <w:rPr>
          <w:rFonts w:ascii="Times New Roman" w:hAnsi="Times New Roman" w:cs="Times New Roman"/>
          <w:sz w:val="24"/>
          <w:szCs w:val="24"/>
        </w:rPr>
        <w:t>Incipiente cultura organizacional em planejamento da força de trabalho; recente formalização de política de gestão de pessoas organizacional; incipiente cultura organizacional em orientação para resultados; ausência de norma interna com critérios e procedimentos para lotação inicial e movimentação de servidores; ausência de Tabela de Lotação de Cargos; e insuficiência de quadro de pessoal</w:t>
      </w:r>
      <w:r w:rsidRPr="00F608EB">
        <w:rPr>
          <w:rFonts w:ascii="Times New Roman" w:hAnsi="Times New Roman" w:cs="Times New Roman"/>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Efeito(s) (real ou potencial):</w:t>
      </w:r>
    </w:p>
    <w:p w:rsidR="00473149" w:rsidRPr="00F608EB" w:rsidRDefault="00473149" w:rsidP="00473149">
      <w:pPr>
        <w:numPr>
          <w:ilvl w:val="4"/>
          <w:numId w:val="1"/>
        </w:numPr>
        <w:spacing w:after="0" w:line="240" w:lineRule="auto"/>
        <w:jc w:val="both"/>
        <w:rPr>
          <w:rFonts w:ascii="Times New Roman" w:hAnsi="Times New Roman" w:cs="Times New Roman"/>
          <w:i/>
          <w:spacing w:val="-4"/>
          <w:sz w:val="24"/>
          <w:szCs w:val="24"/>
        </w:rPr>
      </w:pPr>
      <w:r w:rsidRPr="006C1774">
        <w:rPr>
          <w:rFonts w:ascii="Times New Roman" w:hAnsi="Times New Roman" w:cs="Times New Roman"/>
          <w:sz w:val="24"/>
          <w:szCs w:val="24"/>
        </w:rPr>
        <w:t>Deficiência na alocação da força de trabalho; inexecução de atividade por insuficiência de força de trabalho ou execução de atividade com qualidade inferior e/ou de forma intempestiva; comprometimento da capacidade da instituição em gerar resultados e benefícios para a sociedade; desalinhamento da gestão da força de trabalho com a estratégia organizacional; desmotivação do quadro de servidores; sobrecarga de atividades; aumento de horas em banco dos servidores; incremento de custos com horas extras de servidores; acréscimo de afastamento por motivo de saúde; realização reiterada de serviço extraordinário para asseguração de entregas</w:t>
      </w:r>
      <w:r w:rsidRPr="00F608EB">
        <w:rPr>
          <w:rFonts w:ascii="Times New Roman" w:hAnsi="Times New Roman" w:cs="Times New Roman"/>
          <w:spacing w:val="-4"/>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Evidência(s):</w:t>
      </w:r>
    </w:p>
    <w:p w:rsidR="00473149" w:rsidRPr="006C1774" w:rsidRDefault="00473149" w:rsidP="00473149">
      <w:pPr>
        <w:numPr>
          <w:ilvl w:val="4"/>
          <w:numId w:val="1"/>
        </w:numPr>
        <w:spacing w:after="0" w:line="240" w:lineRule="auto"/>
        <w:jc w:val="both"/>
        <w:rPr>
          <w:rFonts w:ascii="Times New Roman" w:hAnsi="Times New Roman" w:cs="Times New Roman"/>
          <w:sz w:val="24"/>
          <w:szCs w:val="24"/>
        </w:rPr>
      </w:pPr>
      <w:r w:rsidRPr="006C1774">
        <w:rPr>
          <w:rFonts w:ascii="Times New Roman" w:hAnsi="Times New Roman" w:cs="Times New Roman"/>
          <w:sz w:val="24"/>
          <w:szCs w:val="24"/>
        </w:rPr>
        <w:t>Resposta da SGP à RDI nº 34/2018 (PAD nº 8.252/2018, Doc. nº 111.529/2018); Relatório de quantitativo de horas prestadas pelos servidores após extrapolação da jornada ordinária de trabalho, homologadas ou não para efeito de banco de horas, nos exercícios de 2016 e 2017; Resolução Administrativa do TRE-BA nº 3/2004; Relatório Conclusivo e de Recomendações – DFT (SGP, COPEG, SGA e SOF)</w:t>
      </w:r>
      <w:r w:rsidRPr="00F608EB">
        <w:rPr>
          <w:rFonts w:ascii="Times New Roman" w:hAnsi="Times New Roman" w:cs="Times New Roman"/>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Esclarecimentos dos responsáveis:</w:t>
      </w:r>
    </w:p>
    <w:p w:rsidR="00473149" w:rsidRPr="003F0705" w:rsidRDefault="00473149" w:rsidP="00473149">
      <w:pPr>
        <w:numPr>
          <w:ilvl w:val="4"/>
          <w:numId w:val="1"/>
        </w:numPr>
        <w:spacing w:after="0" w:line="240" w:lineRule="auto"/>
        <w:jc w:val="both"/>
        <w:rPr>
          <w:rFonts w:ascii="Times New Roman" w:hAnsi="Times New Roman" w:cs="Times New Roman"/>
          <w:spacing w:val="-6"/>
          <w:sz w:val="24"/>
          <w:szCs w:val="24"/>
        </w:rPr>
      </w:pPr>
      <w:r w:rsidRPr="002808EC">
        <w:rPr>
          <w:rFonts w:ascii="Times New Roman" w:hAnsi="Times New Roman" w:cs="Times New Roman"/>
          <w:spacing w:val="-6"/>
          <w:sz w:val="24"/>
          <w:szCs w:val="24"/>
        </w:rPr>
        <w:t xml:space="preserve">Em resposta à RDI nº 39/2018 (PAD nº 10.441/2018, Doc. nº 138.402/2018), a SGP informou que, atualmente, a gestão da força de trabalho das áreas que ainda não foram contempladas pelo Projeto Gestão por Competências é realizada considerando o histórico de lotação da área, a percepção dos servidores </w:t>
      </w:r>
      <w:proofErr w:type="gramStart"/>
      <w:r w:rsidRPr="002808EC">
        <w:rPr>
          <w:rFonts w:ascii="Times New Roman" w:hAnsi="Times New Roman" w:cs="Times New Roman"/>
          <w:spacing w:val="-6"/>
          <w:sz w:val="24"/>
          <w:szCs w:val="24"/>
        </w:rPr>
        <w:t>da SEDES</w:t>
      </w:r>
      <w:proofErr w:type="gramEnd"/>
      <w:r w:rsidRPr="002808EC">
        <w:rPr>
          <w:rFonts w:ascii="Times New Roman" w:hAnsi="Times New Roman" w:cs="Times New Roman"/>
          <w:spacing w:val="-6"/>
          <w:sz w:val="24"/>
          <w:szCs w:val="24"/>
        </w:rPr>
        <w:t xml:space="preserve"> e do Secretário de Gestão de Pessoas e, ainda, os dados informados pelos gestores no Formulário de Identificação do Perfil da Unidade do Programa Movimentar. </w:t>
      </w:r>
      <w:r>
        <w:rPr>
          <w:rFonts w:ascii="Times New Roman" w:hAnsi="Times New Roman" w:cs="Times New Roman"/>
          <w:spacing w:val="-6"/>
          <w:sz w:val="24"/>
          <w:szCs w:val="24"/>
        </w:rPr>
        <w:t xml:space="preserve">Acrescentou </w:t>
      </w:r>
      <w:r w:rsidRPr="002808EC">
        <w:rPr>
          <w:rFonts w:ascii="Times New Roman" w:hAnsi="Times New Roman" w:cs="Times New Roman"/>
          <w:spacing w:val="-6"/>
          <w:sz w:val="24"/>
          <w:szCs w:val="24"/>
        </w:rPr>
        <w:t xml:space="preserve">que, no referido formulário, depois de definir o perfil da unidade, o gestor informa o número de </w:t>
      </w:r>
      <w:r w:rsidRPr="002808EC">
        <w:rPr>
          <w:rFonts w:ascii="Times New Roman" w:hAnsi="Times New Roman" w:cs="Times New Roman"/>
          <w:spacing w:val="-6"/>
          <w:sz w:val="24"/>
          <w:szCs w:val="24"/>
        </w:rPr>
        <w:lastRenderedPageBreak/>
        <w:t>servidores que a unidade possui e a quantidade necessária de servidores para realizar as atividades</w:t>
      </w:r>
      <w:r>
        <w:rPr>
          <w:rFonts w:ascii="Times New Roman" w:hAnsi="Times New Roman" w:cs="Times New Roman"/>
          <w:spacing w:val="-6"/>
          <w:sz w:val="24"/>
          <w:szCs w:val="24"/>
        </w:rPr>
        <w:t>,</w:t>
      </w:r>
      <w:r w:rsidRPr="002808EC">
        <w:rPr>
          <w:rFonts w:ascii="Times New Roman" w:hAnsi="Times New Roman" w:cs="Times New Roman"/>
          <w:spacing w:val="-6"/>
          <w:sz w:val="24"/>
          <w:szCs w:val="24"/>
        </w:rPr>
        <w:t xml:space="preserve"> segundo o seu entendimento e experiência. </w:t>
      </w:r>
      <w:r>
        <w:rPr>
          <w:rFonts w:ascii="Times New Roman" w:hAnsi="Times New Roman" w:cs="Times New Roman"/>
          <w:spacing w:val="-6"/>
          <w:sz w:val="24"/>
          <w:szCs w:val="24"/>
        </w:rPr>
        <w:t>Ressaltou que, f</w:t>
      </w:r>
      <w:r w:rsidRPr="002808EC">
        <w:rPr>
          <w:rFonts w:ascii="Times New Roman" w:hAnsi="Times New Roman" w:cs="Times New Roman"/>
          <w:spacing w:val="-6"/>
          <w:sz w:val="24"/>
          <w:szCs w:val="24"/>
        </w:rPr>
        <w:t>eito isso, os servidores da Seção de Recrutamento, Seleção e Desempenho (SEREDE) analisam as informações prestadas considerando o conhecimento que possuem da técnica de DFT embasando as decisões do Secretário. Informou</w:t>
      </w:r>
      <w:r>
        <w:rPr>
          <w:rFonts w:ascii="Times New Roman" w:hAnsi="Times New Roman" w:cs="Times New Roman"/>
          <w:spacing w:val="-6"/>
          <w:sz w:val="24"/>
          <w:szCs w:val="24"/>
        </w:rPr>
        <w:t>,</w:t>
      </w:r>
      <w:r w:rsidRPr="002808EC">
        <w:rPr>
          <w:rFonts w:ascii="Times New Roman" w:hAnsi="Times New Roman" w:cs="Times New Roman"/>
          <w:spacing w:val="-6"/>
          <w:sz w:val="24"/>
          <w:szCs w:val="24"/>
        </w:rPr>
        <w:t xml:space="preserve"> também</w:t>
      </w:r>
      <w:r>
        <w:rPr>
          <w:rFonts w:ascii="Times New Roman" w:hAnsi="Times New Roman" w:cs="Times New Roman"/>
          <w:spacing w:val="-6"/>
          <w:sz w:val="24"/>
          <w:szCs w:val="24"/>
        </w:rPr>
        <w:t>,</w:t>
      </w:r>
      <w:r w:rsidRPr="002808EC">
        <w:rPr>
          <w:rFonts w:ascii="Times New Roman" w:hAnsi="Times New Roman" w:cs="Times New Roman"/>
          <w:spacing w:val="-6"/>
          <w:sz w:val="24"/>
          <w:szCs w:val="24"/>
        </w:rPr>
        <w:t xml:space="preserve"> que se encontra registrado no planejamento da SGP entrega de minuta de norma interna que verse sobre critérios e procedimentos de lotação.</w:t>
      </w:r>
      <w:r w:rsidRPr="002808EC">
        <w:rPr>
          <w:spacing w:val="-6"/>
        </w:rPr>
        <w:t xml:space="preserve"> </w:t>
      </w:r>
    </w:p>
    <w:p w:rsidR="00473149" w:rsidRDefault="00473149" w:rsidP="00473149">
      <w:pPr>
        <w:numPr>
          <w:ilvl w:val="4"/>
          <w:numId w:val="1"/>
        </w:numPr>
        <w:spacing w:after="0" w:line="240" w:lineRule="auto"/>
        <w:jc w:val="both"/>
        <w:rPr>
          <w:rFonts w:ascii="Times New Roman" w:hAnsi="Times New Roman" w:cs="Times New Roman"/>
          <w:spacing w:val="-6"/>
          <w:sz w:val="24"/>
          <w:szCs w:val="24"/>
        </w:rPr>
      </w:pPr>
      <w:r w:rsidRPr="002808EC">
        <w:rPr>
          <w:rFonts w:ascii="Times New Roman" w:hAnsi="Times New Roman" w:cs="Times New Roman"/>
          <w:spacing w:val="-6"/>
          <w:sz w:val="24"/>
          <w:szCs w:val="24"/>
        </w:rPr>
        <w:t>Por fim,</w:t>
      </w:r>
      <w:r w:rsidRPr="002808EC">
        <w:rPr>
          <w:spacing w:val="-6"/>
        </w:rPr>
        <w:t xml:space="preserve"> </w:t>
      </w:r>
      <w:r w:rsidRPr="002808EC">
        <w:rPr>
          <w:rFonts w:ascii="Times New Roman" w:hAnsi="Times New Roman" w:cs="Times New Roman"/>
          <w:spacing w:val="-6"/>
          <w:sz w:val="24"/>
          <w:szCs w:val="24"/>
        </w:rPr>
        <w:t>com relação à minuta de normativo do DFT, registrou que a elaboração é exequível para 27 de fevereiro de 2019.</w:t>
      </w:r>
    </w:p>
    <w:p w:rsidR="00473149" w:rsidRPr="00971AD9" w:rsidRDefault="00473149" w:rsidP="00473149">
      <w:pPr>
        <w:numPr>
          <w:ilvl w:val="4"/>
          <w:numId w:val="1"/>
        </w:numPr>
        <w:spacing w:after="0" w:line="240" w:lineRule="auto"/>
        <w:jc w:val="both"/>
        <w:rPr>
          <w:rFonts w:ascii="Times New Roman" w:hAnsi="Times New Roman" w:cs="Times New Roman"/>
          <w:spacing w:val="-2"/>
          <w:sz w:val="24"/>
          <w:szCs w:val="24"/>
        </w:rPr>
      </w:pPr>
      <w:r w:rsidRPr="00971AD9">
        <w:rPr>
          <w:rFonts w:ascii="Times New Roman" w:hAnsi="Times New Roman" w:cs="Times New Roman"/>
          <w:spacing w:val="-2"/>
          <w:sz w:val="24"/>
          <w:szCs w:val="24"/>
        </w:rPr>
        <w:t>Em resposta à RDI Circular nº 13/2018 (PAD nº 11.047/2018, Doc. nº 142.622/2018) a ASSESP ratificou a necessidade de apresentação de minuta de normativo à Presidência destinada a regulamentar a distribuição e equalização da força de trabalho neste Regional, estabelecendo os critérios para dimensionamento quantitativo e qualitativo da força de trabalho, tanto na Secretaria, como nos Cartórios das Zonas Eleitorais.</w:t>
      </w:r>
    </w:p>
    <w:p w:rsidR="00473149" w:rsidRPr="00971AD9" w:rsidRDefault="00971AD9" w:rsidP="00473149">
      <w:pPr>
        <w:numPr>
          <w:ilvl w:val="4"/>
          <w:numId w:val="1"/>
        </w:numPr>
        <w:spacing w:after="0" w:line="240" w:lineRule="auto"/>
        <w:jc w:val="both"/>
        <w:rPr>
          <w:rFonts w:ascii="Times New Roman" w:hAnsi="Times New Roman" w:cs="Times New Roman"/>
          <w:sz w:val="24"/>
          <w:szCs w:val="24"/>
        </w:rPr>
      </w:pPr>
      <w:r>
        <w:rPr>
          <w:rFonts w:ascii="Times New Roman" w:hAnsi="Times New Roman" w:cs="Times New Roman"/>
          <w:spacing w:val="-2"/>
          <w:sz w:val="24"/>
          <w:szCs w:val="24"/>
        </w:rPr>
        <w:t>Também e</w:t>
      </w:r>
      <w:r w:rsidR="00473149" w:rsidRPr="00971AD9">
        <w:rPr>
          <w:rFonts w:ascii="Times New Roman" w:hAnsi="Times New Roman" w:cs="Times New Roman"/>
          <w:spacing w:val="-2"/>
          <w:sz w:val="24"/>
          <w:szCs w:val="24"/>
        </w:rPr>
        <w:t xml:space="preserve">m resposta </w:t>
      </w:r>
      <w:r w:rsidRPr="00971AD9">
        <w:rPr>
          <w:rFonts w:ascii="Times New Roman" w:hAnsi="Times New Roman" w:cs="Times New Roman"/>
          <w:spacing w:val="-2"/>
          <w:sz w:val="24"/>
          <w:szCs w:val="24"/>
        </w:rPr>
        <w:t>à sobredita RDI</w:t>
      </w:r>
      <w:r w:rsidR="00250761">
        <w:rPr>
          <w:rFonts w:ascii="Times New Roman" w:hAnsi="Times New Roman" w:cs="Times New Roman"/>
          <w:spacing w:val="-2"/>
          <w:sz w:val="24"/>
          <w:szCs w:val="24"/>
        </w:rPr>
        <w:t xml:space="preserve"> Circular</w:t>
      </w:r>
      <w:r w:rsidR="00473149" w:rsidRPr="00971AD9">
        <w:rPr>
          <w:rFonts w:ascii="Times New Roman" w:hAnsi="Times New Roman" w:cs="Times New Roman"/>
          <w:spacing w:val="-2"/>
          <w:sz w:val="24"/>
          <w:szCs w:val="24"/>
        </w:rPr>
        <w:t xml:space="preserve"> (Doc. nº 145.284/2018) a SGP ratificou informações anteriormente prestadas </w:t>
      </w:r>
      <w:r w:rsidRPr="00971AD9">
        <w:rPr>
          <w:rFonts w:ascii="Times New Roman" w:hAnsi="Times New Roman" w:cs="Times New Roman"/>
          <w:spacing w:val="-2"/>
          <w:sz w:val="24"/>
          <w:szCs w:val="24"/>
        </w:rPr>
        <w:t xml:space="preserve">no </w:t>
      </w:r>
      <w:r w:rsidR="00473149" w:rsidRPr="00971AD9">
        <w:rPr>
          <w:rFonts w:ascii="Times New Roman" w:hAnsi="Times New Roman" w:cs="Times New Roman"/>
          <w:spacing w:val="-2"/>
          <w:sz w:val="24"/>
          <w:szCs w:val="24"/>
        </w:rPr>
        <w:t>PAD nº 10</w:t>
      </w:r>
      <w:r w:rsidRPr="00971AD9">
        <w:rPr>
          <w:rFonts w:ascii="Times New Roman" w:hAnsi="Times New Roman" w:cs="Times New Roman"/>
          <w:spacing w:val="-2"/>
          <w:sz w:val="24"/>
          <w:szCs w:val="24"/>
        </w:rPr>
        <w:t xml:space="preserve">.441/2018, Doc. </w:t>
      </w:r>
      <w:proofErr w:type="gramStart"/>
      <w:r w:rsidRPr="00971AD9">
        <w:rPr>
          <w:rFonts w:ascii="Times New Roman" w:hAnsi="Times New Roman" w:cs="Times New Roman"/>
          <w:spacing w:val="-2"/>
          <w:sz w:val="24"/>
          <w:szCs w:val="24"/>
        </w:rPr>
        <w:t>nº</w:t>
      </w:r>
      <w:proofErr w:type="gramEnd"/>
      <w:r w:rsidRPr="00971AD9">
        <w:rPr>
          <w:rFonts w:ascii="Times New Roman" w:hAnsi="Times New Roman" w:cs="Times New Roman"/>
          <w:spacing w:val="-2"/>
          <w:sz w:val="24"/>
          <w:szCs w:val="24"/>
        </w:rPr>
        <w:t xml:space="preserve"> 138.402/2018</w:t>
      </w:r>
      <w:r w:rsidR="00473149" w:rsidRPr="00971AD9">
        <w:rPr>
          <w:rFonts w:ascii="Times New Roman" w:hAnsi="Times New Roman" w:cs="Times New Roman"/>
          <w:spacing w:val="-2"/>
          <w:sz w:val="24"/>
          <w:szCs w:val="24"/>
        </w:rPr>
        <w:t>.</w:t>
      </w:r>
    </w:p>
    <w:p w:rsidR="00473149" w:rsidRPr="006D7F4D"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6D7F4D">
        <w:rPr>
          <w:rFonts w:ascii="Times New Roman" w:hAnsi="Times New Roman" w:cs="Times New Roman"/>
          <w:i/>
          <w:sz w:val="24"/>
          <w:szCs w:val="24"/>
        </w:rPr>
        <w:t>Conclusão da equipe de auditoria:</w:t>
      </w:r>
    </w:p>
    <w:p w:rsidR="00473149" w:rsidRPr="00926403" w:rsidRDefault="00473149" w:rsidP="00926403">
      <w:pPr>
        <w:numPr>
          <w:ilvl w:val="4"/>
          <w:numId w:val="1"/>
        </w:numPr>
        <w:spacing w:after="0" w:line="240" w:lineRule="auto"/>
        <w:jc w:val="both"/>
        <w:rPr>
          <w:rFonts w:ascii="Times New Roman" w:hAnsi="Times New Roman" w:cs="Times New Roman"/>
          <w:sz w:val="24"/>
          <w:szCs w:val="24"/>
        </w:rPr>
      </w:pPr>
      <w:r w:rsidRPr="00926403">
        <w:rPr>
          <w:rFonts w:ascii="Times New Roman" w:hAnsi="Times New Roman" w:cs="Times New Roman"/>
          <w:spacing w:val="-2"/>
          <w:sz w:val="24"/>
          <w:szCs w:val="24"/>
        </w:rPr>
        <w:t>Tendo em vista sinalização de necessidade de ampliação de prazo para atendimento ao quanto recomendado, opina-se pela subsistência da fragilidade ora evidenciada, alterando-se o marco final para cumprimento anteriormente proposto, consoante acordo firmado com a Unidade.</w:t>
      </w:r>
    </w:p>
    <w:p w:rsidR="00473149" w:rsidRPr="006D7F4D"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6D7F4D">
        <w:rPr>
          <w:rFonts w:ascii="Times New Roman" w:hAnsi="Times New Roman" w:cs="Times New Roman"/>
          <w:i/>
          <w:sz w:val="24"/>
          <w:szCs w:val="24"/>
        </w:rPr>
        <w:t>Proposta de encaminhamento:</w:t>
      </w:r>
    </w:p>
    <w:p w:rsidR="00473149" w:rsidRPr="00933F6E" w:rsidRDefault="00473149" w:rsidP="00473149">
      <w:pPr>
        <w:numPr>
          <w:ilvl w:val="4"/>
          <w:numId w:val="1"/>
        </w:numPr>
        <w:spacing w:after="0" w:line="240" w:lineRule="auto"/>
        <w:jc w:val="both"/>
        <w:rPr>
          <w:rFonts w:ascii="Times New Roman" w:hAnsi="Times New Roman" w:cs="Times New Roman"/>
          <w:sz w:val="24"/>
          <w:szCs w:val="24"/>
        </w:rPr>
      </w:pPr>
      <w:r w:rsidRPr="00933F6E">
        <w:rPr>
          <w:rFonts w:ascii="Times New Roman" w:hAnsi="Times New Roman" w:cs="Times New Roman"/>
          <w:sz w:val="24"/>
          <w:szCs w:val="24"/>
        </w:rPr>
        <w:t xml:space="preserve">Recomendar à SGP que, observado </w:t>
      </w:r>
      <w:r w:rsidRPr="002263ED">
        <w:rPr>
          <w:rFonts w:ascii="Times New Roman" w:hAnsi="Times New Roman" w:cs="Times New Roman"/>
          <w:sz w:val="24"/>
          <w:szCs w:val="24"/>
        </w:rPr>
        <w:t xml:space="preserve">o prazo de </w:t>
      </w:r>
      <w:r>
        <w:rPr>
          <w:rFonts w:ascii="Times New Roman" w:hAnsi="Times New Roman" w:cs="Times New Roman"/>
          <w:sz w:val="24"/>
          <w:szCs w:val="24"/>
        </w:rPr>
        <w:t>12</w:t>
      </w:r>
      <w:r w:rsidRPr="002263ED">
        <w:rPr>
          <w:rFonts w:ascii="Times New Roman" w:hAnsi="Times New Roman" w:cs="Times New Roman"/>
          <w:sz w:val="24"/>
          <w:szCs w:val="24"/>
        </w:rPr>
        <w:t>0 dias</w:t>
      </w:r>
      <w:r w:rsidRPr="00933F6E">
        <w:rPr>
          <w:rFonts w:ascii="Times New Roman" w:hAnsi="Times New Roman" w:cs="Times New Roman"/>
          <w:sz w:val="24"/>
          <w:szCs w:val="24"/>
        </w:rPr>
        <w:t>, submeta à apreciação da Presidência minuta de normativo destinado a regulamentar a distribuição e equalização da força de trabalho, no âmbito da Secretaria do Tribunal e Cartórios das Zonas Eleitorais, contemplando, inclusive, critérios referenciais ideais atinentes ao perfil quantitativo e qualitativo da força de trabalho, observados:</w:t>
      </w:r>
    </w:p>
    <w:p w:rsidR="00473149" w:rsidRPr="00933F6E" w:rsidRDefault="00473149" w:rsidP="00473149">
      <w:pPr>
        <w:pStyle w:val="PargrafodaLista"/>
        <w:numPr>
          <w:ilvl w:val="0"/>
          <w:numId w:val="9"/>
        </w:numPr>
        <w:spacing w:before="0" w:after="0"/>
        <w:ind w:left="1134" w:firstLine="0"/>
        <w:jc w:val="both"/>
        <w:rPr>
          <w:rFonts w:eastAsiaTheme="minorHAnsi"/>
          <w:b w:val="0"/>
          <w:sz w:val="24"/>
          <w:szCs w:val="24"/>
        </w:rPr>
      </w:pPr>
      <w:bookmarkStart w:id="45" w:name="_Toc520362061"/>
      <w:bookmarkStart w:id="46" w:name="_Toc520405205"/>
      <w:proofErr w:type="gramStart"/>
      <w:r w:rsidRPr="00933F6E">
        <w:rPr>
          <w:rFonts w:eastAsiaTheme="minorHAnsi"/>
          <w:b w:val="0"/>
          <w:sz w:val="24"/>
          <w:szCs w:val="24"/>
        </w:rPr>
        <w:t>referenciais</w:t>
      </w:r>
      <w:proofErr w:type="gramEnd"/>
      <w:r w:rsidRPr="00933F6E">
        <w:rPr>
          <w:rFonts w:eastAsiaTheme="minorHAnsi"/>
          <w:b w:val="0"/>
          <w:sz w:val="24"/>
          <w:szCs w:val="24"/>
        </w:rPr>
        <w:t xml:space="preserve"> de força de trabalho normatizados;</w:t>
      </w:r>
      <w:bookmarkEnd w:id="45"/>
      <w:bookmarkEnd w:id="46"/>
    </w:p>
    <w:p w:rsidR="00473149" w:rsidRPr="00933F6E" w:rsidRDefault="00473149" w:rsidP="00473149">
      <w:pPr>
        <w:pStyle w:val="PargrafodaLista"/>
        <w:numPr>
          <w:ilvl w:val="0"/>
          <w:numId w:val="9"/>
        </w:numPr>
        <w:spacing w:after="0"/>
        <w:ind w:left="1134" w:firstLine="0"/>
        <w:jc w:val="both"/>
        <w:rPr>
          <w:rFonts w:eastAsiaTheme="minorHAnsi"/>
          <w:b w:val="0"/>
          <w:sz w:val="24"/>
          <w:szCs w:val="24"/>
        </w:rPr>
      </w:pPr>
      <w:bookmarkStart w:id="47" w:name="_Toc520362062"/>
      <w:bookmarkStart w:id="48" w:name="_Toc520405206"/>
      <w:proofErr w:type="gramStart"/>
      <w:r w:rsidRPr="00933F6E">
        <w:rPr>
          <w:rFonts w:eastAsiaTheme="minorHAnsi"/>
          <w:b w:val="0"/>
          <w:sz w:val="24"/>
          <w:szCs w:val="24"/>
        </w:rPr>
        <w:t>diversidade</w:t>
      </w:r>
      <w:proofErr w:type="gramEnd"/>
      <w:r w:rsidRPr="00933F6E">
        <w:rPr>
          <w:rFonts w:eastAsiaTheme="minorHAnsi"/>
          <w:b w:val="0"/>
          <w:sz w:val="24"/>
          <w:szCs w:val="24"/>
        </w:rPr>
        <w:t xml:space="preserve"> de cenários existentes (unidades com e sem DFT apurado); e</w:t>
      </w:r>
      <w:bookmarkEnd w:id="47"/>
      <w:bookmarkEnd w:id="48"/>
    </w:p>
    <w:p w:rsidR="00473149" w:rsidRPr="00933F6E" w:rsidRDefault="00473149" w:rsidP="00473149">
      <w:pPr>
        <w:pStyle w:val="PargrafodaLista"/>
        <w:numPr>
          <w:ilvl w:val="0"/>
          <w:numId w:val="9"/>
        </w:numPr>
        <w:spacing w:after="0"/>
        <w:ind w:left="1134" w:firstLine="0"/>
        <w:jc w:val="both"/>
        <w:rPr>
          <w:rFonts w:eastAsiaTheme="minorHAnsi"/>
          <w:b w:val="0"/>
          <w:sz w:val="24"/>
          <w:szCs w:val="24"/>
        </w:rPr>
      </w:pPr>
      <w:bookmarkStart w:id="49" w:name="_Toc520362063"/>
      <w:bookmarkStart w:id="50" w:name="_Toc520405207"/>
      <w:proofErr w:type="gramStart"/>
      <w:r w:rsidRPr="00933F6E">
        <w:rPr>
          <w:rFonts w:eastAsiaTheme="minorHAnsi"/>
          <w:b w:val="0"/>
          <w:sz w:val="24"/>
          <w:szCs w:val="24"/>
        </w:rPr>
        <w:t>diretriz</w:t>
      </w:r>
      <w:proofErr w:type="gramEnd"/>
      <w:r w:rsidRPr="00933F6E">
        <w:rPr>
          <w:rFonts w:eastAsiaTheme="minorHAnsi"/>
          <w:b w:val="0"/>
          <w:sz w:val="24"/>
          <w:szCs w:val="24"/>
        </w:rPr>
        <w:t xml:space="preserve"> para mitigação ou equalização de déficit de pessoal apurado, a exemplo de: deslocamento ou transformação de cargos vagos; redistribuição de cargo vago com cargo provido com perfil de atribuições demandado pelo Tribunal; equalização de déficit de forma nivelada; e mitigação  em maior grau, em áreas estratégicas.</w:t>
      </w:r>
      <w:bookmarkEnd w:id="49"/>
      <w:bookmarkEnd w:id="50"/>
    </w:p>
    <w:p w:rsidR="00473149" w:rsidRDefault="00473149" w:rsidP="00473149">
      <w:pPr>
        <w:numPr>
          <w:ilvl w:val="2"/>
          <w:numId w:val="1"/>
        </w:numPr>
        <w:spacing w:before="120" w:after="120" w:line="240" w:lineRule="auto"/>
        <w:jc w:val="both"/>
        <w:rPr>
          <w:rFonts w:ascii="Times New Roman" w:hAnsi="Times New Roman" w:cs="Times New Roman"/>
          <w:sz w:val="24"/>
          <w:szCs w:val="24"/>
          <w:u w:val="single"/>
        </w:rPr>
      </w:pPr>
      <w:r w:rsidRPr="00834AA4">
        <w:rPr>
          <w:rFonts w:ascii="Times New Roman" w:hAnsi="Times New Roman" w:cs="Times New Roman"/>
          <w:sz w:val="24"/>
          <w:szCs w:val="24"/>
          <w:u w:val="single"/>
        </w:rPr>
        <w:t>Ausência de mecanismos de monitoramento do DFT apurado</w:t>
      </w:r>
      <w:r w:rsidRPr="00F608EB">
        <w:rPr>
          <w:rFonts w:ascii="Times New Roman" w:hAnsi="Times New Roman" w:cs="Times New Roman"/>
          <w:sz w:val="24"/>
          <w:szCs w:val="24"/>
          <w:u w:val="single"/>
        </w:rPr>
        <w:t>.</w:t>
      </w:r>
    </w:p>
    <w:p w:rsidR="00473149" w:rsidRPr="00037370" w:rsidRDefault="00473149" w:rsidP="00473149">
      <w:pPr>
        <w:spacing w:before="120" w:after="120" w:line="240" w:lineRule="auto"/>
        <w:jc w:val="both"/>
        <w:rPr>
          <w:rFonts w:ascii="Times New Roman" w:hAnsi="Times New Roman" w:cs="Times New Roman"/>
          <w:i/>
          <w:sz w:val="24"/>
          <w:szCs w:val="24"/>
          <w:u w:val="single"/>
        </w:rPr>
      </w:pPr>
      <w:r w:rsidRPr="00037370">
        <w:rPr>
          <w:rFonts w:ascii="Times New Roman" w:hAnsi="Times New Roman" w:cs="Times New Roman"/>
          <w:i/>
          <w:spacing w:val="-2"/>
          <w:sz w:val="24"/>
          <w:szCs w:val="24"/>
        </w:rPr>
        <w:t xml:space="preserve">Risco(s) associado(s): </w:t>
      </w:r>
      <w:r w:rsidRPr="00037370">
        <w:rPr>
          <w:rFonts w:ascii="Times New Roman" w:hAnsi="Times New Roman" w:cs="Times New Roman"/>
          <w:i/>
          <w:sz w:val="24"/>
          <w:szCs w:val="24"/>
        </w:rPr>
        <w:t>R9 – TRE-BA: Desatualização do DFT.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sz w:val="24"/>
          <w:szCs w:val="24"/>
        </w:rPr>
      </w:pPr>
      <w:r w:rsidRPr="00F608EB">
        <w:rPr>
          <w:rFonts w:ascii="Times New Roman" w:hAnsi="Times New Roman" w:cs="Times New Roman"/>
          <w:i/>
          <w:sz w:val="24"/>
          <w:szCs w:val="24"/>
        </w:rPr>
        <w:t>Situação encontrada</w:t>
      </w:r>
      <w:r w:rsidRPr="00F608EB">
        <w:rPr>
          <w:rFonts w:ascii="Times New Roman" w:hAnsi="Times New Roman" w:cs="Times New Roman"/>
          <w:sz w:val="24"/>
          <w:szCs w:val="24"/>
        </w:rPr>
        <w:t>:</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C17639">
        <w:rPr>
          <w:rFonts w:ascii="Times New Roman" w:hAnsi="Times New Roman" w:cs="Times New Roman"/>
          <w:spacing w:val="-4"/>
          <w:sz w:val="24"/>
          <w:szCs w:val="24"/>
        </w:rPr>
        <w:t>Não se evidenciou instituição de mecanismos de monitoramento do DFT apurado, observado lapso temporal decorrido entre a comunicação dos resultados de ciclo de mapeamento/dimensionamento realizado e a efetiva revisão de parâmetros considerados, bem como das informações gerenciais consignadas nas recomendações formuladas, de modo a assegurar o monitoramento da atualização das conclusões apuradas, bem como de sua efetiva utilização na gestão da força de trabalho</w:t>
      </w:r>
      <w:r w:rsidRPr="00F608EB">
        <w:rPr>
          <w:rFonts w:ascii="Times New Roman" w:hAnsi="Times New Roman" w:cs="Times New Roman"/>
          <w:sz w:val="24"/>
          <w:szCs w:val="24"/>
        </w:rPr>
        <w:t xml:space="preserve">. </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834AA4">
        <w:rPr>
          <w:rFonts w:ascii="Times New Roman" w:hAnsi="Times New Roman" w:cs="Times New Roman"/>
          <w:sz w:val="24"/>
          <w:szCs w:val="24"/>
        </w:rPr>
        <w:t xml:space="preserve">Não se verificou a instituição de indicadores de desempenho operacionais relacionados ao monitoramento do dimensionamento do quadro de pessoal, </w:t>
      </w:r>
      <w:r w:rsidRPr="00834AA4">
        <w:rPr>
          <w:rFonts w:ascii="Times New Roman" w:hAnsi="Times New Roman" w:cs="Times New Roman"/>
          <w:sz w:val="24"/>
          <w:szCs w:val="24"/>
        </w:rPr>
        <w:lastRenderedPageBreak/>
        <w:t>embora haja registro de trabalhos de desdobramento da estratégia institucional, na SGP e respectivas unidades vinculadas, em fase de conclusão</w:t>
      </w:r>
      <w:r w:rsidRPr="00F608EB">
        <w:rPr>
          <w:rFonts w:ascii="Times New Roman" w:hAnsi="Times New Roman" w:cs="Times New Roman"/>
          <w:sz w:val="24"/>
          <w:szCs w:val="24"/>
        </w:rPr>
        <w:t xml:space="preserve">.   </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834AA4">
        <w:rPr>
          <w:rFonts w:ascii="Times New Roman" w:hAnsi="Times New Roman" w:cs="Times New Roman"/>
          <w:sz w:val="24"/>
          <w:szCs w:val="24"/>
        </w:rPr>
        <w:t>Registre-se informação da SEDES/COEDE/SGP no sentido de utilização do cronograma do Projeto Gestão por Competências como instrumento de controle do processo de dimensionamento da força de trabalho</w:t>
      </w:r>
      <w:r w:rsidRPr="00F608EB">
        <w:rPr>
          <w:rFonts w:ascii="Times New Roman" w:hAnsi="Times New Roman" w:cs="Times New Roman"/>
          <w:sz w:val="24"/>
          <w:szCs w:val="24"/>
        </w:rPr>
        <w:t>.</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834AA4">
        <w:rPr>
          <w:rFonts w:ascii="Times New Roman" w:hAnsi="Times New Roman" w:cs="Times New Roman"/>
          <w:sz w:val="24"/>
          <w:szCs w:val="24"/>
        </w:rPr>
        <w:t xml:space="preserve">Acrescente-se que o monitoramento de resultados, do desempenho e do cumprimento de políticas e planos constitui função de governança e a avaliação do desempenho com vistas à </w:t>
      </w:r>
      <w:proofErr w:type="gramStart"/>
      <w:r w:rsidRPr="00834AA4">
        <w:rPr>
          <w:rFonts w:ascii="Times New Roman" w:hAnsi="Times New Roman" w:cs="Times New Roman"/>
          <w:sz w:val="24"/>
          <w:szCs w:val="24"/>
        </w:rPr>
        <w:t>implementação</w:t>
      </w:r>
      <w:proofErr w:type="gramEnd"/>
      <w:r w:rsidRPr="00834AA4">
        <w:rPr>
          <w:rFonts w:ascii="Times New Roman" w:hAnsi="Times New Roman" w:cs="Times New Roman"/>
          <w:sz w:val="24"/>
          <w:szCs w:val="24"/>
        </w:rPr>
        <w:t xml:space="preserve"> de melhorias constitui função de gestão, consoante previsão inserta nos </w:t>
      </w:r>
      <w:proofErr w:type="spellStart"/>
      <w:r w:rsidRPr="00834AA4">
        <w:rPr>
          <w:rFonts w:ascii="Times New Roman" w:hAnsi="Times New Roman" w:cs="Times New Roman"/>
          <w:sz w:val="24"/>
          <w:szCs w:val="24"/>
        </w:rPr>
        <w:t>arts</w:t>
      </w:r>
      <w:proofErr w:type="spellEnd"/>
      <w:r w:rsidRPr="00834AA4">
        <w:rPr>
          <w:rFonts w:ascii="Times New Roman" w:hAnsi="Times New Roman" w:cs="Times New Roman"/>
          <w:sz w:val="24"/>
          <w:szCs w:val="24"/>
        </w:rPr>
        <w:t xml:space="preserve">. 5º, inciso III, e 6º, inciso </w:t>
      </w:r>
      <w:proofErr w:type="gramStart"/>
      <w:r w:rsidRPr="00834AA4">
        <w:rPr>
          <w:rFonts w:ascii="Times New Roman" w:hAnsi="Times New Roman" w:cs="Times New Roman"/>
          <w:sz w:val="24"/>
          <w:szCs w:val="24"/>
        </w:rPr>
        <w:t>VI</w:t>
      </w:r>
      <w:proofErr w:type="gramEnd"/>
      <w:r w:rsidRPr="00834AA4">
        <w:rPr>
          <w:rFonts w:ascii="Times New Roman" w:hAnsi="Times New Roman" w:cs="Times New Roman"/>
          <w:sz w:val="24"/>
          <w:szCs w:val="24"/>
        </w:rPr>
        <w:t>, do Sistema de Governança Organizacional</w:t>
      </w:r>
      <w:r>
        <w:rPr>
          <w:rFonts w:ascii="Times New Roman" w:hAnsi="Times New Roman" w:cs="Times New Roman"/>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sz w:val="24"/>
          <w:szCs w:val="24"/>
        </w:rPr>
      </w:pPr>
      <w:r w:rsidRPr="00F608EB">
        <w:rPr>
          <w:rFonts w:ascii="Times New Roman" w:hAnsi="Times New Roman" w:cs="Times New Roman"/>
          <w:i/>
          <w:sz w:val="24"/>
          <w:szCs w:val="24"/>
        </w:rPr>
        <w:t>Critério(s)</w:t>
      </w:r>
      <w:r w:rsidRPr="00F608EB">
        <w:rPr>
          <w:rFonts w:ascii="Times New Roman" w:hAnsi="Times New Roman" w:cs="Times New Roman"/>
          <w:sz w:val="24"/>
          <w:szCs w:val="24"/>
        </w:rPr>
        <w:t xml:space="preserve">: </w:t>
      </w:r>
      <w:r w:rsidRPr="00F608EB">
        <w:rPr>
          <w:rFonts w:ascii="Times New Roman" w:hAnsi="Times New Roman" w:cs="Times New Roman"/>
          <w:sz w:val="24"/>
          <w:szCs w:val="24"/>
        </w:rPr>
        <w:tab/>
      </w:r>
    </w:p>
    <w:p w:rsidR="00473149" w:rsidRPr="00F608EB" w:rsidRDefault="00473149" w:rsidP="00473149">
      <w:pPr>
        <w:numPr>
          <w:ilvl w:val="4"/>
          <w:numId w:val="1"/>
        </w:numPr>
        <w:spacing w:after="0" w:line="240" w:lineRule="auto"/>
        <w:jc w:val="both"/>
        <w:rPr>
          <w:rFonts w:ascii="Times New Roman" w:hAnsi="Times New Roman" w:cs="Times New Roman"/>
          <w:spacing w:val="-4"/>
          <w:sz w:val="24"/>
          <w:szCs w:val="24"/>
        </w:rPr>
      </w:pPr>
      <w:r w:rsidRPr="00834AA4">
        <w:rPr>
          <w:rFonts w:ascii="Times New Roman" w:hAnsi="Times New Roman" w:cs="Times New Roman"/>
          <w:sz w:val="24"/>
          <w:szCs w:val="24"/>
        </w:rPr>
        <w:t xml:space="preserve">Resolução CNJ Nº 240/2016, </w:t>
      </w:r>
      <w:proofErr w:type="spellStart"/>
      <w:r w:rsidRPr="00834AA4">
        <w:rPr>
          <w:rFonts w:ascii="Times New Roman" w:hAnsi="Times New Roman" w:cs="Times New Roman"/>
          <w:sz w:val="24"/>
          <w:szCs w:val="24"/>
        </w:rPr>
        <w:t>arts</w:t>
      </w:r>
      <w:proofErr w:type="spellEnd"/>
      <w:r w:rsidRPr="00834AA4">
        <w:rPr>
          <w:rFonts w:ascii="Times New Roman" w:hAnsi="Times New Roman" w:cs="Times New Roman"/>
          <w:sz w:val="24"/>
          <w:szCs w:val="24"/>
        </w:rPr>
        <w:t xml:space="preserve">. </w:t>
      </w:r>
      <w:proofErr w:type="gramStart"/>
      <w:r w:rsidRPr="00834AA4">
        <w:rPr>
          <w:rFonts w:ascii="Times New Roman" w:hAnsi="Times New Roman" w:cs="Times New Roman"/>
          <w:sz w:val="24"/>
          <w:szCs w:val="24"/>
        </w:rPr>
        <w:t>3º, X</w:t>
      </w:r>
      <w:proofErr w:type="gramEnd"/>
      <w:r w:rsidRPr="00834AA4">
        <w:rPr>
          <w:rFonts w:ascii="Times New Roman" w:hAnsi="Times New Roman" w:cs="Times New Roman"/>
          <w:sz w:val="24"/>
          <w:szCs w:val="24"/>
        </w:rPr>
        <w:t xml:space="preserve"> e XII, 4º, IX, e 5º, III; Resolução Administrativa TRE-BA nº 12/2017 (Política de Gestão de Pessoas do TRE-BA), </w:t>
      </w:r>
      <w:proofErr w:type="spellStart"/>
      <w:r w:rsidRPr="00834AA4">
        <w:rPr>
          <w:rFonts w:ascii="Times New Roman" w:hAnsi="Times New Roman" w:cs="Times New Roman"/>
          <w:sz w:val="24"/>
          <w:szCs w:val="24"/>
        </w:rPr>
        <w:t>arts</w:t>
      </w:r>
      <w:proofErr w:type="spellEnd"/>
      <w:r w:rsidRPr="00834AA4">
        <w:rPr>
          <w:rFonts w:ascii="Times New Roman" w:hAnsi="Times New Roman" w:cs="Times New Roman"/>
          <w:sz w:val="24"/>
          <w:szCs w:val="24"/>
        </w:rPr>
        <w:t xml:space="preserve">. 1º, IV, e 5º, IV; Resolução Administrativa do TRE-BA nº 12/2018 (Regulamento Interno da Secretaria do TRE-BA), </w:t>
      </w:r>
      <w:proofErr w:type="spellStart"/>
      <w:r w:rsidRPr="00834AA4">
        <w:rPr>
          <w:rFonts w:ascii="Times New Roman" w:hAnsi="Times New Roman" w:cs="Times New Roman"/>
          <w:sz w:val="24"/>
          <w:szCs w:val="24"/>
        </w:rPr>
        <w:t>arts</w:t>
      </w:r>
      <w:proofErr w:type="spellEnd"/>
      <w:r w:rsidRPr="00834AA4">
        <w:rPr>
          <w:rFonts w:ascii="Times New Roman" w:hAnsi="Times New Roman" w:cs="Times New Roman"/>
          <w:sz w:val="24"/>
          <w:szCs w:val="24"/>
        </w:rPr>
        <w:t xml:space="preserve">. 55, 65, II e X, e 67, VII; Resolução Administrativa do TRE-BA nº 15/2018 (Sistema de Governança do TRE-BA), </w:t>
      </w:r>
      <w:proofErr w:type="spellStart"/>
      <w:r w:rsidRPr="00834AA4">
        <w:rPr>
          <w:rFonts w:ascii="Times New Roman" w:hAnsi="Times New Roman" w:cs="Times New Roman"/>
          <w:sz w:val="24"/>
          <w:szCs w:val="24"/>
        </w:rPr>
        <w:t>arts</w:t>
      </w:r>
      <w:proofErr w:type="spellEnd"/>
      <w:r w:rsidRPr="00834AA4">
        <w:rPr>
          <w:rFonts w:ascii="Times New Roman" w:hAnsi="Times New Roman" w:cs="Times New Roman"/>
          <w:sz w:val="24"/>
          <w:szCs w:val="24"/>
        </w:rPr>
        <w:t>. 5º, III, 6º, III e VI, e 17, II; Resoluç</w:t>
      </w:r>
      <w:r>
        <w:rPr>
          <w:rFonts w:ascii="Times New Roman" w:hAnsi="Times New Roman" w:cs="Times New Roman"/>
          <w:sz w:val="24"/>
          <w:szCs w:val="24"/>
        </w:rPr>
        <w:t xml:space="preserve">ão Administrativa do TRE-BA nº </w:t>
      </w:r>
      <w:r w:rsidRPr="00834AA4">
        <w:rPr>
          <w:rFonts w:ascii="Times New Roman" w:hAnsi="Times New Roman" w:cs="Times New Roman"/>
          <w:sz w:val="24"/>
          <w:szCs w:val="24"/>
        </w:rPr>
        <w:t>18/2018 (Política de Gestão de Pessoas da área de TIC), art. 3º, IV; e Acórdão TCU 1172/2015, subitens 9.1.9, 9.1.10 e 9.1.11</w:t>
      </w:r>
      <w:r w:rsidRPr="00F608EB">
        <w:rPr>
          <w:rFonts w:ascii="Times New Roman" w:hAnsi="Times New Roman" w:cs="Times New Roman"/>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Causa(s):</w:t>
      </w:r>
    </w:p>
    <w:p w:rsidR="00473149" w:rsidRPr="00F608EB" w:rsidRDefault="00473149" w:rsidP="00473149">
      <w:pPr>
        <w:numPr>
          <w:ilvl w:val="4"/>
          <w:numId w:val="1"/>
        </w:numPr>
        <w:spacing w:after="0" w:line="240" w:lineRule="auto"/>
        <w:jc w:val="both"/>
        <w:rPr>
          <w:rFonts w:ascii="Times New Roman" w:hAnsi="Times New Roman" w:cs="Times New Roman"/>
          <w:i/>
          <w:sz w:val="24"/>
          <w:szCs w:val="24"/>
        </w:rPr>
      </w:pPr>
      <w:r w:rsidRPr="00834AA4">
        <w:rPr>
          <w:rFonts w:ascii="Times New Roman" w:hAnsi="Times New Roman" w:cs="Times New Roman"/>
          <w:sz w:val="24"/>
          <w:szCs w:val="24"/>
        </w:rPr>
        <w:t xml:space="preserve">Incipiente cultura organizacional em orientação para resultados; incipiente cultura organizacional em planejamento da força de trabalho em alinhamento com </w:t>
      </w:r>
      <w:proofErr w:type="gramStart"/>
      <w:r w:rsidRPr="00834AA4">
        <w:rPr>
          <w:rFonts w:ascii="Times New Roman" w:hAnsi="Times New Roman" w:cs="Times New Roman"/>
          <w:sz w:val="24"/>
          <w:szCs w:val="24"/>
        </w:rPr>
        <w:t>macro diretrizes organizacionais (estratégia, cadeia de valor, atividades finalísticas etc.)</w:t>
      </w:r>
      <w:proofErr w:type="gramEnd"/>
      <w:r w:rsidRPr="00834AA4">
        <w:rPr>
          <w:rFonts w:ascii="Times New Roman" w:hAnsi="Times New Roman" w:cs="Times New Roman"/>
          <w:sz w:val="24"/>
          <w:szCs w:val="24"/>
        </w:rPr>
        <w:t xml:space="preserve"> e ponderadas informações gerenciais; incipiente cultura organizacional em gerenciamento de riscos, notadamente no que tange à continuidade do negócio; recente formalização de política de gestão de pessoas, contemplando diretrizes relacionadas à gestão da força de trabalho, no âmbito organizacional; e ausência de conclusão dos trabalhos afetos ao desdobramento do PEI 2016-2021 na SGP</w:t>
      </w:r>
      <w:r w:rsidRPr="00F608EB">
        <w:rPr>
          <w:rFonts w:ascii="Times New Roman" w:hAnsi="Times New Roman" w:cs="Times New Roman"/>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Efeito(s) (real ou potencial):</w:t>
      </w:r>
    </w:p>
    <w:p w:rsidR="00473149" w:rsidRPr="00F608EB" w:rsidRDefault="00473149" w:rsidP="00473149">
      <w:pPr>
        <w:numPr>
          <w:ilvl w:val="4"/>
          <w:numId w:val="1"/>
        </w:numPr>
        <w:spacing w:after="0" w:line="240" w:lineRule="auto"/>
        <w:jc w:val="both"/>
        <w:rPr>
          <w:rFonts w:ascii="Times New Roman" w:hAnsi="Times New Roman" w:cs="Times New Roman"/>
          <w:i/>
          <w:spacing w:val="-2"/>
          <w:sz w:val="24"/>
          <w:szCs w:val="24"/>
        </w:rPr>
      </w:pPr>
      <w:r w:rsidRPr="00834AA4">
        <w:rPr>
          <w:rFonts w:ascii="Times New Roman" w:hAnsi="Times New Roman" w:cs="Times New Roman"/>
          <w:sz w:val="24"/>
          <w:szCs w:val="24"/>
        </w:rPr>
        <w:t xml:space="preserve">Comprometimento da concretização da missão e alcance da </w:t>
      </w:r>
      <w:proofErr w:type="gramStart"/>
      <w:r w:rsidRPr="00834AA4">
        <w:rPr>
          <w:rFonts w:ascii="Times New Roman" w:hAnsi="Times New Roman" w:cs="Times New Roman"/>
          <w:sz w:val="24"/>
          <w:szCs w:val="24"/>
        </w:rPr>
        <w:t>visão de futuro organizacionais</w:t>
      </w:r>
      <w:proofErr w:type="gramEnd"/>
      <w:r w:rsidRPr="00834AA4">
        <w:rPr>
          <w:rFonts w:ascii="Times New Roman" w:hAnsi="Times New Roman" w:cs="Times New Roman"/>
          <w:sz w:val="24"/>
          <w:szCs w:val="24"/>
        </w:rPr>
        <w:t>, observado ciclo de vigência definido; comprometimento da tomada de decisão relacionada à gestão de pessoas; comprometimento da utilização de informações gerenciais no planejamento da força de trabalho, notadamente quanto à formulação de estratégias referentes à realização de concurso público, reestruturação,  capacitação, movimentação de pessoal, planejamento</w:t>
      </w:r>
      <w:r>
        <w:rPr>
          <w:rFonts w:ascii="Times New Roman" w:hAnsi="Times New Roman" w:cs="Times New Roman"/>
          <w:sz w:val="24"/>
          <w:szCs w:val="24"/>
        </w:rPr>
        <w:t xml:space="preserve"> </w:t>
      </w:r>
      <w:r w:rsidRPr="00D46AB0">
        <w:rPr>
          <w:rFonts w:ascii="Times New Roman" w:hAnsi="Times New Roman" w:cs="Times New Roman"/>
          <w:sz w:val="24"/>
          <w:szCs w:val="24"/>
        </w:rPr>
        <w:t>sucessório e melhorias tecnológicas; e comprometimento da capacidade da instituição em gerar resultados e benefícios para a sociedade</w:t>
      </w:r>
      <w:r w:rsidRPr="00F608EB">
        <w:rPr>
          <w:rFonts w:ascii="Times New Roman" w:hAnsi="Times New Roman" w:cs="Times New Roman"/>
          <w:sz w:val="24"/>
          <w:szCs w:val="24"/>
        </w:rPr>
        <w:t>.</w:t>
      </w:r>
    </w:p>
    <w:p w:rsidR="00473149" w:rsidRPr="006C1774" w:rsidRDefault="00473149" w:rsidP="00473149">
      <w:pPr>
        <w:numPr>
          <w:ilvl w:val="3"/>
          <w:numId w:val="1"/>
        </w:numPr>
        <w:spacing w:after="0" w:line="240" w:lineRule="auto"/>
        <w:ind w:left="1077" w:hanging="1077"/>
        <w:jc w:val="both"/>
        <w:rPr>
          <w:rFonts w:ascii="Times New Roman" w:hAnsi="Times New Roman" w:cs="Times New Roman"/>
          <w:sz w:val="24"/>
          <w:szCs w:val="24"/>
        </w:rPr>
      </w:pPr>
      <w:r w:rsidRPr="006C1774">
        <w:rPr>
          <w:rFonts w:ascii="Times New Roman" w:hAnsi="Times New Roman" w:cs="Times New Roman"/>
          <w:i/>
          <w:sz w:val="24"/>
          <w:szCs w:val="24"/>
        </w:rPr>
        <w:t xml:space="preserve">Evidência(s): </w:t>
      </w:r>
    </w:p>
    <w:p w:rsidR="00473149" w:rsidRPr="006C1774" w:rsidRDefault="00473149" w:rsidP="00473149">
      <w:pPr>
        <w:numPr>
          <w:ilvl w:val="4"/>
          <w:numId w:val="1"/>
        </w:numPr>
        <w:spacing w:after="0" w:line="240" w:lineRule="auto"/>
        <w:jc w:val="both"/>
        <w:rPr>
          <w:rFonts w:ascii="Times New Roman" w:hAnsi="Times New Roman" w:cs="Times New Roman"/>
          <w:sz w:val="24"/>
          <w:szCs w:val="24"/>
        </w:rPr>
      </w:pPr>
      <w:r w:rsidRPr="006C1774">
        <w:rPr>
          <w:rFonts w:ascii="Times New Roman" w:hAnsi="Times New Roman" w:cs="Times New Roman"/>
          <w:sz w:val="24"/>
          <w:szCs w:val="24"/>
        </w:rPr>
        <w:t>2.1.4.5.1</w:t>
      </w:r>
      <w:r w:rsidRPr="00C17639">
        <w:rPr>
          <w:rFonts w:ascii="Times New Roman" w:hAnsi="Times New Roman" w:cs="Times New Roman"/>
          <w:sz w:val="24"/>
          <w:szCs w:val="24"/>
        </w:rPr>
        <w:t xml:space="preserve"> </w:t>
      </w:r>
      <w:r w:rsidRPr="006C1774">
        <w:rPr>
          <w:rFonts w:ascii="Times New Roman" w:hAnsi="Times New Roman" w:cs="Times New Roman"/>
          <w:sz w:val="24"/>
          <w:szCs w:val="24"/>
        </w:rPr>
        <w:t xml:space="preserve">Ata da reunião para elaboração do fluxo do processo de DFT (PAD nº </w:t>
      </w:r>
      <w:r>
        <w:rPr>
          <w:rFonts w:ascii="Times New Roman" w:hAnsi="Times New Roman" w:cs="Times New Roman"/>
          <w:sz w:val="24"/>
          <w:szCs w:val="24"/>
        </w:rPr>
        <w:t xml:space="preserve">                   </w:t>
      </w:r>
      <w:r w:rsidRPr="006C1774">
        <w:rPr>
          <w:rFonts w:ascii="Times New Roman" w:hAnsi="Times New Roman" w:cs="Times New Roman"/>
          <w:sz w:val="24"/>
          <w:szCs w:val="24"/>
        </w:rPr>
        <w:t>4181/2018, Doc. nº 126.391/2018).</w:t>
      </w:r>
    </w:p>
    <w:p w:rsidR="00473149"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Esclarecimentos dos responsáveis:</w:t>
      </w:r>
    </w:p>
    <w:p w:rsidR="00473149" w:rsidRDefault="00473149" w:rsidP="00473149">
      <w:pPr>
        <w:numPr>
          <w:ilvl w:val="3"/>
          <w:numId w:val="1"/>
        </w:numPr>
        <w:spacing w:after="0" w:line="240" w:lineRule="auto"/>
        <w:jc w:val="both"/>
        <w:rPr>
          <w:rFonts w:ascii="Times New Roman" w:hAnsi="Times New Roman" w:cs="Times New Roman"/>
          <w:sz w:val="24"/>
          <w:szCs w:val="24"/>
        </w:rPr>
      </w:pPr>
      <w:r w:rsidRPr="000D7917">
        <w:rPr>
          <w:rFonts w:ascii="Times New Roman" w:hAnsi="Times New Roman" w:cs="Times New Roman"/>
          <w:sz w:val="24"/>
          <w:szCs w:val="24"/>
        </w:rPr>
        <w:t xml:space="preserve">Em resposta à RDI nº 39/2018 (PAD nº 10.441/2018, </w:t>
      </w:r>
      <w:r w:rsidRPr="006C5473">
        <w:rPr>
          <w:rFonts w:ascii="Times New Roman" w:hAnsi="Times New Roman" w:cs="Times New Roman"/>
          <w:sz w:val="24"/>
          <w:szCs w:val="24"/>
        </w:rPr>
        <w:t>Doc. nº 138.402/2018</w:t>
      </w:r>
      <w:r w:rsidRPr="000D7917">
        <w:rPr>
          <w:rFonts w:ascii="Times New Roman" w:hAnsi="Times New Roman" w:cs="Times New Roman"/>
          <w:sz w:val="24"/>
          <w:szCs w:val="24"/>
        </w:rPr>
        <w:t>), a SGP informou que o dimensionamento da força de trabalho é um processo novo no TRE-BA, como na maioria das instituições públicas</w:t>
      </w:r>
      <w:r>
        <w:rPr>
          <w:rFonts w:ascii="Times New Roman" w:hAnsi="Times New Roman" w:cs="Times New Roman"/>
          <w:sz w:val="24"/>
          <w:szCs w:val="24"/>
        </w:rPr>
        <w:t>,</w:t>
      </w:r>
      <w:r w:rsidRPr="000D7917">
        <w:rPr>
          <w:rFonts w:ascii="Times New Roman" w:hAnsi="Times New Roman" w:cs="Times New Roman"/>
          <w:sz w:val="24"/>
          <w:szCs w:val="24"/>
        </w:rPr>
        <w:t xml:space="preserve"> e que</w:t>
      </w:r>
      <w:r>
        <w:rPr>
          <w:rFonts w:ascii="Times New Roman" w:hAnsi="Times New Roman" w:cs="Times New Roman"/>
          <w:sz w:val="24"/>
          <w:szCs w:val="24"/>
        </w:rPr>
        <w:t>,</w:t>
      </w:r>
      <w:r w:rsidRPr="000D7917">
        <w:rPr>
          <w:rFonts w:ascii="Times New Roman" w:hAnsi="Times New Roman" w:cs="Times New Roman"/>
          <w:sz w:val="24"/>
          <w:szCs w:val="24"/>
        </w:rPr>
        <w:t xml:space="preserve"> na Justiça Eleitoral, o Tribunal é um dos pioneiros na implantação dessa ferramenta de gestão.</w:t>
      </w:r>
    </w:p>
    <w:p w:rsidR="00473149" w:rsidRDefault="00473149" w:rsidP="00473149">
      <w:pPr>
        <w:numPr>
          <w:ilvl w:val="3"/>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Acrescentou</w:t>
      </w:r>
      <w:r w:rsidRPr="000D7917">
        <w:rPr>
          <w:rFonts w:ascii="Times New Roman" w:hAnsi="Times New Roman" w:cs="Times New Roman"/>
          <w:sz w:val="24"/>
          <w:szCs w:val="24"/>
        </w:rPr>
        <w:t xml:space="preserve"> que a implantação tem sido feita de forma escalonada por diversas razões. </w:t>
      </w:r>
      <w:r>
        <w:rPr>
          <w:rFonts w:ascii="Times New Roman" w:hAnsi="Times New Roman" w:cs="Times New Roman"/>
          <w:sz w:val="24"/>
          <w:szCs w:val="24"/>
        </w:rPr>
        <w:t>Registrou e</w:t>
      </w:r>
      <w:r w:rsidRPr="000D7917">
        <w:rPr>
          <w:rFonts w:ascii="Times New Roman" w:hAnsi="Times New Roman" w:cs="Times New Roman"/>
          <w:sz w:val="24"/>
          <w:szCs w:val="24"/>
        </w:rPr>
        <w:t>ntende</w:t>
      </w:r>
      <w:r>
        <w:rPr>
          <w:rFonts w:ascii="Times New Roman" w:hAnsi="Times New Roman" w:cs="Times New Roman"/>
          <w:sz w:val="24"/>
          <w:szCs w:val="24"/>
        </w:rPr>
        <w:t>r</w:t>
      </w:r>
      <w:r w:rsidRPr="000D7917">
        <w:rPr>
          <w:rFonts w:ascii="Times New Roman" w:hAnsi="Times New Roman" w:cs="Times New Roman"/>
          <w:sz w:val="24"/>
          <w:szCs w:val="24"/>
        </w:rPr>
        <w:t xml:space="preserve"> ser necessário e natural do processo de implantação, o aperfeiçoamento do método e dos controles, a elaboração e revisão dos papéis de </w:t>
      </w:r>
      <w:r w:rsidRPr="000D7917">
        <w:rPr>
          <w:rFonts w:ascii="Times New Roman" w:hAnsi="Times New Roman" w:cs="Times New Roman"/>
          <w:sz w:val="24"/>
          <w:szCs w:val="24"/>
        </w:rPr>
        <w:lastRenderedPageBreak/>
        <w:t>trabalho e do fluxo e, ainda</w:t>
      </w:r>
      <w:r>
        <w:rPr>
          <w:rFonts w:ascii="Times New Roman" w:hAnsi="Times New Roman" w:cs="Times New Roman"/>
          <w:sz w:val="24"/>
          <w:szCs w:val="24"/>
        </w:rPr>
        <w:t>,</w:t>
      </w:r>
      <w:r w:rsidRPr="000D7917">
        <w:rPr>
          <w:rFonts w:ascii="Times New Roman" w:hAnsi="Times New Roman" w:cs="Times New Roman"/>
          <w:sz w:val="24"/>
          <w:szCs w:val="24"/>
        </w:rPr>
        <w:t xml:space="preserve"> a </w:t>
      </w:r>
      <w:proofErr w:type="gramStart"/>
      <w:r w:rsidRPr="000D7917">
        <w:rPr>
          <w:rFonts w:ascii="Times New Roman" w:hAnsi="Times New Roman" w:cs="Times New Roman"/>
          <w:sz w:val="24"/>
          <w:szCs w:val="24"/>
        </w:rPr>
        <w:t>implementação</w:t>
      </w:r>
      <w:proofErr w:type="gramEnd"/>
      <w:r w:rsidRPr="000D7917">
        <w:rPr>
          <w:rFonts w:ascii="Times New Roman" w:hAnsi="Times New Roman" w:cs="Times New Roman"/>
          <w:sz w:val="24"/>
          <w:szCs w:val="24"/>
        </w:rPr>
        <w:t xml:space="preserve"> de mecanismos de monitoramento do DFT apurado. </w:t>
      </w:r>
    </w:p>
    <w:p w:rsidR="00473149" w:rsidRDefault="00473149" w:rsidP="00473149">
      <w:pPr>
        <w:numPr>
          <w:ilvl w:val="3"/>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Informou, por fim, que a</w:t>
      </w:r>
      <w:r w:rsidRPr="000D7917">
        <w:rPr>
          <w:rFonts w:ascii="Times New Roman" w:hAnsi="Times New Roman" w:cs="Times New Roman"/>
          <w:sz w:val="24"/>
          <w:szCs w:val="24"/>
        </w:rPr>
        <w:t xml:space="preserve"> SEDES tem desenvolvido estudos visando detectar falhas e desvios e aprimorar seus processos de trabalho.</w:t>
      </w:r>
    </w:p>
    <w:p w:rsidR="00473149" w:rsidRPr="00CF3A56" w:rsidRDefault="00473149" w:rsidP="00473149">
      <w:pPr>
        <w:numPr>
          <w:ilvl w:val="3"/>
          <w:numId w:val="1"/>
        </w:numPr>
        <w:spacing w:after="0" w:line="240" w:lineRule="auto"/>
        <w:jc w:val="both"/>
        <w:rPr>
          <w:rFonts w:ascii="Times New Roman" w:hAnsi="Times New Roman" w:cs="Times New Roman"/>
          <w:sz w:val="24"/>
          <w:szCs w:val="24"/>
        </w:rPr>
      </w:pPr>
      <w:r w:rsidRPr="00CF3A56">
        <w:rPr>
          <w:rFonts w:ascii="Times New Roman" w:hAnsi="Times New Roman" w:cs="Times New Roman"/>
          <w:spacing w:val="-2"/>
          <w:sz w:val="24"/>
          <w:szCs w:val="24"/>
        </w:rPr>
        <w:t xml:space="preserve">Em resposta à RDI Circular nº 13/2018 (PAD nº 11.047/2018, Doc. nº 145.284/2018) a SGP ratificou informações anteriormente prestadas </w:t>
      </w:r>
      <w:r w:rsidR="00CF3A56" w:rsidRPr="00CF3A56">
        <w:rPr>
          <w:rFonts w:ascii="Times New Roman" w:hAnsi="Times New Roman" w:cs="Times New Roman"/>
          <w:spacing w:val="-2"/>
          <w:sz w:val="24"/>
          <w:szCs w:val="24"/>
        </w:rPr>
        <w:t xml:space="preserve">no </w:t>
      </w:r>
      <w:r w:rsidRPr="00CF3A56">
        <w:rPr>
          <w:rFonts w:ascii="Times New Roman" w:hAnsi="Times New Roman" w:cs="Times New Roman"/>
          <w:spacing w:val="-2"/>
          <w:sz w:val="24"/>
          <w:szCs w:val="24"/>
        </w:rPr>
        <w:t>PAD nº 10</w:t>
      </w:r>
      <w:r w:rsidR="00CF3A56" w:rsidRPr="00CF3A56">
        <w:rPr>
          <w:rFonts w:ascii="Times New Roman" w:hAnsi="Times New Roman" w:cs="Times New Roman"/>
          <w:spacing w:val="-2"/>
          <w:sz w:val="24"/>
          <w:szCs w:val="24"/>
        </w:rPr>
        <w:t xml:space="preserve">.441/2018, Doc. </w:t>
      </w:r>
      <w:proofErr w:type="gramStart"/>
      <w:r w:rsidR="00CF3A56" w:rsidRPr="00CF3A56">
        <w:rPr>
          <w:rFonts w:ascii="Times New Roman" w:hAnsi="Times New Roman" w:cs="Times New Roman"/>
          <w:spacing w:val="-2"/>
          <w:sz w:val="24"/>
          <w:szCs w:val="24"/>
        </w:rPr>
        <w:t>nº</w:t>
      </w:r>
      <w:proofErr w:type="gramEnd"/>
      <w:r w:rsidR="00CF3A56" w:rsidRPr="00CF3A56">
        <w:rPr>
          <w:rFonts w:ascii="Times New Roman" w:hAnsi="Times New Roman" w:cs="Times New Roman"/>
          <w:spacing w:val="-2"/>
          <w:sz w:val="24"/>
          <w:szCs w:val="24"/>
        </w:rPr>
        <w:t xml:space="preserve"> 138.402/2018</w:t>
      </w:r>
      <w:r w:rsidRPr="00CF3A56">
        <w:rPr>
          <w:rFonts w:ascii="Times New Roman" w:hAnsi="Times New Roman" w:cs="Times New Roman"/>
          <w:spacing w:val="-2"/>
          <w:sz w:val="24"/>
          <w:szCs w:val="24"/>
        </w:rPr>
        <w:t>.</w:t>
      </w:r>
    </w:p>
    <w:p w:rsidR="00473149" w:rsidRPr="00DD7F04"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DD7F04">
        <w:rPr>
          <w:rFonts w:ascii="Times New Roman" w:hAnsi="Times New Roman" w:cs="Times New Roman"/>
          <w:i/>
          <w:sz w:val="24"/>
          <w:szCs w:val="24"/>
        </w:rPr>
        <w:t>Conclusão da equipe de auditoria:</w:t>
      </w:r>
    </w:p>
    <w:p w:rsidR="00473149" w:rsidRPr="00F51B8C" w:rsidRDefault="00473149" w:rsidP="00473149">
      <w:pPr>
        <w:numPr>
          <w:ilvl w:val="4"/>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Em que pese ponderações registradas pela SGP acerca do pioneirismo da implantação do DFT na Justiça Eleitoral e dos estudos que tem sido desenvolvidos </w:t>
      </w:r>
      <w:proofErr w:type="gramStart"/>
      <w:r>
        <w:rPr>
          <w:rFonts w:ascii="Times New Roman" w:hAnsi="Times New Roman" w:cs="Times New Roman"/>
          <w:sz w:val="24"/>
          <w:szCs w:val="24"/>
        </w:rPr>
        <w:t>pela SEDES</w:t>
      </w:r>
      <w:proofErr w:type="gramEnd"/>
      <w:r>
        <w:rPr>
          <w:rFonts w:ascii="Times New Roman" w:hAnsi="Times New Roman" w:cs="Times New Roman"/>
          <w:sz w:val="24"/>
          <w:szCs w:val="24"/>
        </w:rPr>
        <w:t xml:space="preserve"> para detectar falhas, desvios e aprimorar o processo de trabalho, conclui-se que, enquanto não instituídos os mecanismos de monitoramento periódico do DFT, subsistirá a fragilidade anteriormente identificada.</w:t>
      </w:r>
    </w:p>
    <w:p w:rsidR="00473149" w:rsidRPr="00933F6E"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933F6E">
        <w:rPr>
          <w:rFonts w:ascii="Times New Roman" w:hAnsi="Times New Roman" w:cs="Times New Roman"/>
          <w:i/>
          <w:sz w:val="24"/>
          <w:szCs w:val="24"/>
        </w:rPr>
        <w:t>Proposta de encaminhamento:</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933F6E">
        <w:rPr>
          <w:rFonts w:ascii="Times New Roman" w:hAnsi="Times New Roman" w:cs="Times New Roman"/>
          <w:sz w:val="24"/>
          <w:szCs w:val="24"/>
        </w:rPr>
        <w:t xml:space="preserve">Recomendar à SGP que, observado o prazo de 60 dias, institua e </w:t>
      </w:r>
      <w:proofErr w:type="gramStart"/>
      <w:r w:rsidRPr="00933F6E">
        <w:rPr>
          <w:rFonts w:ascii="Times New Roman" w:hAnsi="Times New Roman" w:cs="Times New Roman"/>
          <w:sz w:val="24"/>
          <w:szCs w:val="24"/>
        </w:rPr>
        <w:t>implemente</w:t>
      </w:r>
      <w:proofErr w:type="gramEnd"/>
      <w:r w:rsidRPr="00933F6E">
        <w:rPr>
          <w:rFonts w:ascii="Times New Roman" w:hAnsi="Times New Roman" w:cs="Times New Roman"/>
          <w:sz w:val="24"/>
          <w:szCs w:val="24"/>
        </w:rPr>
        <w:t xml:space="preserve"> mecanismos de monitoramento periódico do DFT apurado e respectivas recomendações formuladas, de modo a instrumentalizar a gestão da força de trabalho organizacional por meio do fornecimento de informações gerenciais íntegras, tempestivas e atualizadas.</w:t>
      </w:r>
    </w:p>
    <w:p w:rsidR="00473149" w:rsidRDefault="00473149" w:rsidP="00473149">
      <w:pPr>
        <w:numPr>
          <w:ilvl w:val="2"/>
          <w:numId w:val="1"/>
        </w:numPr>
        <w:spacing w:before="120" w:after="120" w:line="240" w:lineRule="auto"/>
        <w:jc w:val="both"/>
        <w:rPr>
          <w:rFonts w:ascii="Times New Roman" w:hAnsi="Times New Roman" w:cs="Times New Roman"/>
          <w:sz w:val="24"/>
          <w:szCs w:val="24"/>
          <w:u w:val="single"/>
        </w:rPr>
      </w:pPr>
      <w:r w:rsidRPr="00CF64A7">
        <w:rPr>
          <w:rFonts w:ascii="Times New Roman" w:hAnsi="Times New Roman" w:cs="Times New Roman"/>
          <w:sz w:val="24"/>
          <w:szCs w:val="24"/>
          <w:u w:val="single"/>
        </w:rPr>
        <w:t>Ausência de gerenciamento de riscos</w:t>
      </w:r>
      <w:r w:rsidRPr="00F608EB">
        <w:rPr>
          <w:rFonts w:ascii="Times New Roman" w:hAnsi="Times New Roman" w:cs="Times New Roman"/>
          <w:sz w:val="24"/>
          <w:szCs w:val="24"/>
          <w:u w:val="single"/>
        </w:rPr>
        <w:t>.</w:t>
      </w:r>
    </w:p>
    <w:p w:rsidR="00473149" w:rsidRPr="00037370" w:rsidRDefault="00473149" w:rsidP="00473149">
      <w:pPr>
        <w:spacing w:before="120" w:after="120" w:line="240" w:lineRule="auto"/>
        <w:jc w:val="both"/>
        <w:rPr>
          <w:rFonts w:ascii="Times New Roman" w:hAnsi="Times New Roman" w:cs="Times New Roman"/>
          <w:i/>
          <w:spacing w:val="-4"/>
          <w:sz w:val="24"/>
          <w:szCs w:val="24"/>
          <w:u w:val="single"/>
        </w:rPr>
      </w:pPr>
      <w:r w:rsidRPr="00037370">
        <w:rPr>
          <w:rFonts w:ascii="Times New Roman" w:hAnsi="Times New Roman" w:cs="Times New Roman"/>
          <w:i/>
          <w:spacing w:val="-2"/>
          <w:sz w:val="24"/>
          <w:szCs w:val="24"/>
        </w:rPr>
        <w:t xml:space="preserve">Risco(s) associado(s): </w:t>
      </w:r>
      <w:r w:rsidRPr="00037370">
        <w:rPr>
          <w:rFonts w:ascii="Times New Roman" w:hAnsi="Times New Roman" w:cs="Times New Roman"/>
          <w:i/>
          <w:spacing w:val="-4"/>
          <w:sz w:val="24"/>
          <w:szCs w:val="24"/>
        </w:rPr>
        <w:t>R2 – TRE-BA: Ausência ou insuficiência de patrocínio dos gestores da unidade a ser dimensionada; R-4 – TRE-BA: MAP inconsistente; R6 – TRE-BA: DFT inadequado; R7 – TRE-BA: Relatório do DFT inconsistente; R8 – TRE-BA: Não sensibilização dos gestores para utilização dos resultados do DFT; e R9 - TRE-BA: Desatualização do DFT.</w:t>
      </w:r>
      <w:r w:rsidRPr="00037370">
        <w:rPr>
          <w:i/>
          <w:spacing w:val="-4"/>
          <w:sz w:val="20"/>
          <w:szCs w:val="20"/>
        </w:rPr>
        <w:t xml:space="preserve"> </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sz w:val="24"/>
          <w:szCs w:val="24"/>
        </w:rPr>
      </w:pPr>
      <w:r w:rsidRPr="00F608EB">
        <w:rPr>
          <w:rFonts w:ascii="Times New Roman" w:hAnsi="Times New Roman" w:cs="Times New Roman"/>
          <w:i/>
          <w:sz w:val="24"/>
          <w:szCs w:val="24"/>
        </w:rPr>
        <w:t>Situação encontrada</w:t>
      </w:r>
      <w:r w:rsidRPr="00F608EB">
        <w:rPr>
          <w:rFonts w:ascii="Times New Roman" w:hAnsi="Times New Roman" w:cs="Times New Roman"/>
          <w:sz w:val="24"/>
          <w:szCs w:val="24"/>
        </w:rPr>
        <w:t>:</w:t>
      </w:r>
    </w:p>
    <w:p w:rsidR="00473149" w:rsidRDefault="00473149" w:rsidP="00473149">
      <w:pPr>
        <w:numPr>
          <w:ilvl w:val="4"/>
          <w:numId w:val="1"/>
        </w:numPr>
        <w:spacing w:after="0" w:line="240" w:lineRule="auto"/>
        <w:jc w:val="both"/>
        <w:rPr>
          <w:rFonts w:ascii="Times New Roman" w:hAnsi="Times New Roman" w:cs="Times New Roman"/>
          <w:spacing w:val="-4"/>
          <w:sz w:val="24"/>
          <w:szCs w:val="24"/>
        </w:rPr>
      </w:pPr>
      <w:r w:rsidRPr="00CF64A7">
        <w:rPr>
          <w:rFonts w:ascii="Times New Roman" w:hAnsi="Times New Roman" w:cs="Times New Roman"/>
          <w:sz w:val="24"/>
          <w:szCs w:val="24"/>
        </w:rPr>
        <w:t>Com relação ao projeto de DFT, a SGP informou que ainda não adota procedimento formal e sistematizado voltado à identificação, análise, dimensionamento e tratamento de riscos associados, contudo tem definido pontos de controle e realizado atividades de controle específicas</w:t>
      </w:r>
      <w:r w:rsidRPr="00F608EB">
        <w:rPr>
          <w:rFonts w:ascii="Times New Roman" w:hAnsi="Times New Roman" w:cs="Times New Roman"/>
          <w:spacing w:val="-4"/>
          <w:sz w:val="24"/>
          <w:szCs w:val="24"/>
        </w:rPr>
        <w:t>.</w:t>
      </w:r>
    </w:p>
    <w:p w:rsidR="00473149" w:rsidRDefault="0085375F" w:rsidP="00473149">
      <w:pPr>
        <w:numPr>
          <w:ilvl w:val="4"/>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Entretanto</w:t>
      </w:r>
      <w:r w:rsidR="00473149" w:rsidRPr="00CF64A7">
        <w:rPr>
          <w:rFonts w:ascii="Times New Roman" w:hAnsi="Times New Roman" w:cs="Times New Roman"/>
          <w:sz w:val="24"/>
          <w:szCs w:val="24"/>
        </w:rPr>
        <w:t>, quanto à Oficina de Sensibilização de gestores, não se evidenciou documentação comprobatória de expedição de convite para a unidade a ser dimensionada no exercício, para participação da reunião de apresentação de resultados do ciclo anterior; não foram identificadas atas das reuniões realizadas nem listas de presença das Oficinas realizadas.  Na</w:t>
      </w:r>
      <w:r w:rsidR="00473149">
        <w:rPr>
          <w:rFonts w:ascii="Times New Roman" w:hAnsi="Times New Roman" w:cs="Times New Roman"/>
          <w:sz w:val="24"/>
          <w:szCs w:val="24"/>
        </w:rPr>
        <w:t xml:space="preserve"> </w:t>
      </w:r>
      <w:r w:rsidR="00473149" w:rsidRPr="00CF64A7">
        <w:rPr>
          <w:rFonts w:ascii="Times New Roman" w:hAnsi="Times New Roman" w:cs="Times New Roman"/>
          <w:sz w:val="24"/>
          <w:szCs w:val="24"/>
        </w:rPr>
        <w:t xml:space="preserve">revisão das informações dos </w:t>
      </w:r>
      <w:proofErr w:type="spellStart"/>
      <w:r w:rsidR="00473149" w:rsidRPr="00CF64A7">
        <w:rPr>
          <w:rFonts w:ascii="Times New Roman" w:hAnsi="Times New Roman" w:cs="Times New Roman"/>
          <w:sz w:val="24"/>
          <w:szCs w:val="24"/>
        </w:rPr>
        <w:t>MAPs</w:t>
      </w:r>
      <w:proofErr w:type="spellEnd"/>
      <w:r w:rsidR="00473149" w:rsidRPr="00CF64A7">
        <w:rPr>
          <w:rFonts w:ascii="Times New Roman" w:hAnsi="Times New Roman" w:cs="Times New Roman"/>
          <w:sz w:val="24"/>
          <w:szCs w:val="24"/>
        </w:rPr>
        <w:t xml:space="preserve"> e na elaboração de Relatório do DFT não se evidenciou roteiro ou lista de verificação documentada ou institucionalizada, não obstante a utilização de material da Leme Consultoria acerca do DFT. Com relação à validação das informações constantes nos MAPS com a unidade dimensionada, não se evidenciou documentação comprobatória da validação pela unidade cliente, sendo esta realizada de forma verbal. Com relação à elaboração dos MAPS e do DFT, etapas realizadas em planilha Excel, embora sejam utilizadas diversas fórmulas para o auxílio dos cálculos, não se evidenciou o travamento/bloqueio das células que contêm informações essenciais ao trabalho executado. No relatório de DFT da SGP e COPEG, </w:t>
      </w:r>
      <w:proofErr w:type="gramStart"/>
      <w:r w:rsidR="00473149" w:rsidRPr="00CF64A7">
        <w:rPr>
          <w:rFonts w:ascii="Times New Roman" w:hAnsi="Times New Roman" w:cs="Times New Roman"/>
          <w:sz w:val="24"/>
          <w:szCs w:val="24"/>
        </w:rPr>
        <w:t>evidenciou-se</w:t>
      </w:r>
      <w:proofErr w:type="gramEnd"/>
      <w:r w:rsidR="00473149" w:rsidRPr="00CF64A7">
        <w:rPr>
          <w:rFonts w:ascii="Times New Roman" w:hAnsi="Times New Roman" w:cs="Times New Roman"/>
          <w:sz w:val="24"/>
          <w:szCs w:val="24"/>
        </w:rPr>
        <w:t xml:space="preserve"> divergências de informações entre dados de quadro de servidores do relatório e dados extraídos do SGRH.</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CF64A7">
        <w:rPr>
          <w:rFonts w:ascii="Times New Roman" w:hAnsi="Times New Roman" w:cs="Times New Roman"/>
          <w:sz w:val="24"/>
          <w:szCs w:val="24"/>
        </w:rPr>
        <w:t>Ressalte-se que o TRE-BA aprovou, em 13/6/2018, a Resolução nº 16/2018 que institui o sistema de gestão de riscos no âmbito do Tribunal</w:t>
      </w:r>
      <w:r>
        <w:rPr>
          <w:rFonts w:ascii="Times New Roman" w:hAnsi="Times New Roman" w:cs="Times New Roman"/>
          <w:sz w:val="24"/>
          <w:szCs w:val="24"/>
        </w:rPr>
        <w:t>.</w:t>
      </w:r>
    </w:p>
    <w:p w:rsidR="00473149" w:rsidRPr="00CF64A7" w:rsidRDefault="00473149" w:rsidP="00473149">
      <w:pPr>
        <w:numPr>
          <w:ilvl w:val="4"/>
          <w:numId w:val="1"/>
        </w:numPr>
        <w:spacing w:after="0" w:line="240" w:lineRule="auto"/>
        <w:jc w:val="both"/>
        <w:rPr>
          <w:rFonts w:ascii="Times New Roman" w:hAnsi="Times New Roman" w:cs="Times New Roman"/>
          <w:sz w:val="24"/>
          <w:szCs w:val="24"/>
        </w:rPr>
      </w:pPr>
      <w:r w:rsidRPr="00CF64A7">
        <w:rPr>
          <w:rFonts w:ascii="Times New Roman" w:hAnsi="Times New Roman" w:cs="Times New Roman"/>
          <w:sz w:val="24"/>
          <w:szCs w:val="24"/>
        </w:rPr>
        <w:lastRenderedPageBreak/>
        <w:t>Nesse sentido, evidenciou-se que a instituição de controles, quando não carente de formalização, processa-se de forma intuitiva e dissociada de processo formal ou atividade sistemática destinada a assegurar que as respostas propostas sejam endereçadas a causas ou consequências de riscos inerentes ou, ainda, proporcionais à dimensão dos eventos de risco</w:t>
      </w:r>
      <w:r>
        <w:rPr>
          <w:rFonts w:ascii="Times New Roman" w:hAnsi="Times New Roman" w:cs="Times New Roman"/>
          <w:sz w:val="24"/>
          <w:szCs w:val="24"/>
        </w:rPr>
        <w:t>s</w:t>
      </w:r>
      <w:r w:rsidRPr="00CF64A7">
        <w:rPr>
          <w:rFonts w:ascii="Times New Roman" w:hAnsi="Times New Roman" w:cs="Times New Roman"/>
          <w:sz w:val="24"/>
          <w:szCs w:val="24"/>
        </w:rPr>
        <w:t xml:space="preserve"> associados.</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sz w:val="24"/>
          <w:szCs w:val="24"/>
        </w:rPr>
      </w:pPr>
      <w:r w:rsidRPr="00F608EB">
        <w:rPr>
          <w:rFonts w:ascii="Times New Roman" w:hAnsi="Times New Roman" w:cs="Times New Roman"/>
          <w:i/>
          <w:sz w:val="24"/>
          <w:szCs w:val="24"/>
        </w:rPr>
        <w:t>Critério(s)</w:t>
      </w:r>
      <w:r w:rsidRPr="00F608EB">
        <w:rPr>
          <w:rFonts w:ascii="Times New Roman" w:hAnsi="Times New Roman" w:cs="Times New Roman"/>
          <w:sz w:val="24"/>
          <w:szCs w:val="24"/>
        </w:rPr>
        <w:t xml:space="preserve">: </w:t>
      </w:r>
      <w:r w:rsidRPr="00F608EB">
        <w:rPr>
          <w:rFonts w:ascii="Times New Roman" w:hAnsi="Times New Roman" w:cs="Times New Roman"/>
          <w:sz w:val="24"/>
          <w:szCs w:val="24"/>
        </w:rPr>
        <w:tab/>
      </w:r>
    </w:p>
    <w:p w:rsidR="00473149" w:rsidRPr="00CF64A7" w:rsidRDefault="00473149" w:rsidP="00473149">
      <w:pPr>
        <w:numPr>
          <w:ilvl w:val="4"/>
          <w:numId w:val="1"/>
        </w:numPr>
        <w:spacing w:after="0" w:line="240" w:lineRule="auto"/>
        <w:jc w:val="both"/>
        <w:rPr>
          <w:rFonts w:ascii="Times New Roman" w:hAnsi="Times New Roman" w:cs="Times New Roman"/>
          <w:sz w:val="24"/>
          <w:szCs w:val="24"/>
        </w:rPr>
      </w:pPr>
      <w:r w:rsidRPr="00CF64A7">
        <w:rPr>
          <w:rFonts w:ascii="Times New Roman" w:hAnsi="Times New Roman" w:cs="Times New Roman"/>
          <w:sz w:val="24"/>
          <w:szCs w:val="24"/>
        </w:rPr>
        <w:t xml:space="preserve">Resolução Administrativa do TRE-BA nº 16/2018, art. 2º, XXX, </w:t>
      </w:r>
      <w:proofErr w:type="spellStart"/>
      <w:r w:rsidRPr="00CF64A7">
        <w:rPr>
          <w:rFonts w:ascii="Times New Roman" w:hAnsi="Times New Roman" w:cs="Times New Roman"/>
          <w:sz w:val="24"/>
          <w:szCs w:val="24"/>
        </w:rPr>
        <w:t>arts</w:t>
      </w:r>
      <w:proofErr w:type="spellEnd"/>
      <w:r w:rsidRPr="00CF64A7">
        <w:rPr>
          <w:rFonts w:ascii="Times New Roman" w:hAnsi="Times New Roman" w:cs="Times New Roman"/>
          <w:sz w:val="24"/>
          <w:szCs w:val="24"/>
        </w:rPr>
        <w:t xml:space="preserve">. 7º, I, 11, I e II, e 21; e Referencial Básico de Governança, TCU, Versão 2 – 2014, Práticas </w:t>
      </w:r>
      <w:proofErr w:type="gramStart"/>
      <w:r w:rsidRPr="00CF64A7">
        <w:rPr>
          <w:rFonts w:ascii="Times New Roman" w:hAnsi="Times New Roman" w:cs="Times New Roman"/>
          <w:sz w:val="24"/>
          <w:szCs w:val="24"/>
        </w:rPr>
        <w:t>L3.</w:t>
      </w:r>
      <w:proofErr w:type="gramEnd"/>
      <w:r w:rsidRPr="00CF64A7">
        <w:rPr>
          <w:rFonts w:ascii="Times New Roman" w:hAnsi="Times New Roman" w:cs="Times New Roman"/>
          <w:sz w:val="24"/>
          <w:szCs w:val="24"/>
        </w:rPr>
        <w:t>4 e C1.1</w:t>
      </w:r>
      <w:r w:rsidRPr="00F608EB">
        <w:rPr>
          <w:rFonts w:ascii="Times New Roman" w:hAnsi="Times New Roman" w:cs="Times New Roman"/>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Causa(s):</w:t>
      </w:r>
    </w:p>
    <w:p w:rsidR="00473149" w:rsidRPr="00F608EB" w:rsidRDefault="00473149" w:rsidP="00473149">
      <w:pPr>
        <w:numPr>
          <w:ilvl w:val="4"/>
          <w:numId w:val="1"/>
        </w:numPr>
        <w:spacing w:after="0" w:line="240" w:lineRule="auto"/>
        <w:jc w:val="both"/>
        <w:rPr>
          <w:rFonts w:ascii="Times New Roman" w:hAnsi="Times New Roman" w:cs="Times New Roman"/>
          <w:i/>
          <w:sz w:val="24"/>
          <w:szCs w:val="24"/>
        </w:rPr>
      </w:pPr>
      <w:r w:rsidRPr="00CF64A7">
        <w:rPr>
          <w:rFonts w:ascii="Times New Roman" w:hAnsi="Times New Roman" w:cs="Times New Roman"/>
          <w:sz w:val="24"/>
          <w:szCs w:val="24"/>
        </w:rPr>
        <w:t>Incipiente cultura organizacional em gerenciamento de riscos e proposição de controles; recente formalização de Sistema de Gestão de Riscos organizacional; e insuficiência de capacitação em gerenciamento de riscos</w:t>
      </w:r>
      <w:r w:rsidRPr="00F608EB">
        <w:rPr>
          <w:rFonts w:ascii="Times New Roman" w:hAnsi="Times New Roman" w:cs="Times New Roman"/>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Efeito(s) (real e/ou potencial):</w:t>
      </w:r>
    </w:p>
    <w:p w:rsidR="00473149" w:rsidRPr="002808EC" w:rsidRDefault="00473149" w:rsidP="00473149">
      <w:pPr>
        <w:numPr>
          <w:ilvl w:val="4"/>
          <w:numId w:val="1"/>
        </w:numPr>
        <w:spacing w:after="0" w:line="240" w:lineRule="auto"/>
        <w:jc w:val="both"/>
        <w:rPr>
          <w:rFonts w:ascii="Times New Roman" w:hAnsi="Times New Roman" w:cs="Times New Roman"/>
          <w:i/>
          <w:spacing w:val="-6"/>
          <w:sz w:val="24"/>
          <w:szCs w:val="24"/>
        </w:rPr>
      </w:pPr>
      <w:r w:rsidRPr="002808EC">
        <w:rPr>
          <w:rFonts w:ascii="Times New Roman" w:hAnsi="Times New Roman" w:cs="Times New Roman"/>
          <w:spacing w:val="-6"/>
          <w:sz w:val="24"/>
          <w:szCs w:val="24"/>
        </w:rPr>
        <w:t xml:space="preserve">Desconhecimento acerca dos riscos envolvidos na gestão da força de trabalho; comprometimento da capacidade da instituição em gerar resultados e benefícios para a sociedade; adoção de respostas a riscos inadequadas e/ou insuficientes à efetiva mitigação de fatores </w:t>
      </w:r>
      <w:proofErr w:type="spellStart"/>
      <w:r w:rsidRPr="002808EC">
        <w:rPr>
          <w:rFonts w:ascii="Times New Roman" w:hAnsi="Times New Roman" w:cs="Times New Roman"/>
          <w:spacing w:val="-6"/>
          <w:sz w:val="24"/>
          <w:szCs w:val="24"/>
        </w:rPr>
        <w:t>dificultadores</w:t>
      </w:r>
      <w:proofErr w:type="spellEnd"/>
      <w:r w:rsidRPr="002808EC">
        <w:rPr>
          <w:rFonts w:ascii="Times New Roman" w:hAnsi="Times New Roman" w:cs="Times New Roman"/>
          <w:spacing w:val="-6"/>
          <w:sz w:val="24"/>
          <w:szCs w:val="24"/>
        </w:rPr>
        <w:t xml:space="preserve"> ou impeditivos do alcance de resultados pretendidos.</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Evidência(s):</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FD38F1">
        <w:rPr>
          <w:rFonts w:ascii="Times New Roman" w:hAnsi="Times New Roman" w:cs="Times New Roman"/>
          <w:sz w:val="24"/>
          <w:szCs w:val="24"/>
        </w:rPr>
        <w:t xml:space="preserve">Ata da Reunião para elaboração do mapa do processo de DFT, PAD nº 6.532/2018 (DOC. nº 83.233/2018); e-mail da SGP para unidades dimensionadas; material da LEME Consultoria para apresentação do DFT às unidades a serem dimensionadas; Relatório Conclusivo e de Recomendações – DFT (SGP e COPEG). </w:t>
      </w:r>
      <w:proofErr w:type="spellStart"/>
      <w:r w:rsidRPr="00FD38F1">
        <w:rPr>
          <w:rFonts w:ascii="Times New Roman" w:hAnsi="Times New Roman" w:cs="Times New Roman"/>
          <w:sz w:val="24"/>
          <w:szCs w:val="24"/>
        </w:rPr>
        <w:t>MAPs</w:t>
      </w:r>
      <w:proofErr w:type="spellEnd"/>
      <w:r w:rsidRPr="00FD38F1">
        <w:rPr>
          <w:rFonts w:ascii="Times New Roman" w:hAnsi="Times New Roman" w:cs="Times New Roman"/>
          <w:sz w:val="24"/>
          <w:szCs w:val="24"/>
        </w:rPr>
        <w:t xml:space="preserve"> e DFT da COPEG, SGP, SGA e SOF em planilha Excel</w:t>
      </w:r>
      <w:r w:rsidRPr="00F608EB">
        <w:rPr>
          <w:rFonts w:ascii="Times New Roman" w:hAnsi="Times New Roman" w:cs="Times New Roman"/>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Esclarecimentos dos responsáveis:</w:t>
      </w:r>
    </w:p>
    <w:p w:rsidR="00473149" w:rsidRPr="00454681" w:rsidRDefault="00473149" w:rsidP="00473149">
      <w:pPr>
        <w:numPr>
          <w:ilvl w:val="4"/>
          <w:numId w:val="1"/>
        </w:numPr>
        <w:spacing w:after="0" w:line="240" w:lineRule="auto"/>
        <w:jc w:val="both"/>
        <w:rPr>
          <w:rFonts w:ascii="Times New Roman" w:hAnsi="Times New Roman" w:cs="Times New Roman"/>
          <w:sz w:val="24"/>
          <w:szCs w:val="24"/>
        </w:rPr>
      </w:pPr>
      <w:r w:rsidRPr="000D7917">
        <w:rPr>
          <w:rFonts w:ascii="Times New Roman" w:hAnsi="Times New Roman" w:cs="Times New Roman"/>
          <w:sz w:val="24"/>
          <w:szCs w:val="24"/>
        </w:rPr>
        <w:t xml:space="preserve">Em resposta à RDI nº 39/2018 (PAD nº 10.441/2018, Doc. nº </w:t>
      </w:r>
      <w:r w:rsidRPr="008B584C">
        <w:rPr>
          <w:rFonts w:ascii="Times New Roman" w:hAnsi="Times New Roman" w:cs="Times New Roman"/>
          <w:sz w:val="24"/>
          <w:szCs w:val="24"/>
        </w:rPr>
        <w:t>138.402/2018</w:t>
      </w:r>
      <w:r w:rsidRPr="000D7917">
        <w:rPr>
          <w:rFonts w:ascii="Times New Roman" w:hAnsi="Times New Roman" w:cs="Times New Roman"/>
          <w:sz w:val="24"/>
          <w:szCs w:val="24"/>
        </w:rPr>
        <w:t xml:space="preserve">), a SGP informou </w:t>
      </w:r>
      <w:r>
        <w:rPr>
          <w:rFonts w:ascii="Times New Roman" w:hAnsi="Times New Roman" w:cs="Times New Roman"/>
          <w:sz w:val="24"/>
          <w:szCs w:val="24"/>
        </w:rPr>
        <w:t>que a publicação do Manual de Gestão de Riscos, exigido pela Resolução Administrativa nº 16/2018, que institui o Sistema de Gestão de Riscos, tornará possível a elaboração do Plano de Tratamento de Riscos do DFT.</w:t>
      </w:r>
    </w:p>
    <w:p w:rsidR="00473149" w:rsidRPr="00454681" w:rsidRDefault="00473149" w:rsidP="00473149">
      <w:pPr>
        <w:numPr>
          <w:ilvl w:val="4"/>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Ressaltou, entretanto, que o meio mais simples de proporcionar essa ferramenta ao Tribunal é capacitar equipe única para conduzir os trabalhos, disseminar as informações, bem como monitorar e acompanhar a execução das atividades de construção dos planos de riscos.</w:t>
      </w:r>
    </w:p>
    <w:p w:rsidR="00473149" w:rsidRPr="008B584C" w:rsidRDefault="00473149" w:rsidP="00473149">
      <w:pPr>
        <w:numPr>
          <w:ilvl w:val="4"/>
          <w:numId w:val="1"/>
        </w:numPr>
        <w:spacing w:after="0" w:line="240" w:lineRule="auto"/>
        <w:jc w:val="both"/>
        <w:rPr>
          <w:rFonts w:ascii="Times New Roman" w:hAnsi="Times New Roman" w:cs="Times New Roman"/>
          <w:spacing w:val="-2"/>
          <w:sz w:val="24"/>
          <w:szCs w:val="24"/>
        </w:rPr>
      </w:pPr>
      <w:r w:rsidRPr="008B584C">
        <w:rPr>
          <w:rFonts w:ascii="Times New Roman" w:hAnsi="Times New Roman" w:cs="Times New Roman"/>
          <w:spacing w:val="-2"/>
          <w:sz w:val="24"/>
          <w:szCs w:val="24"/>
        </w:rPr>
        <w:t xml:space="preserve">Em resposta à RDI Circular nº 13/2018 (PAD nº 11.047/2018, Doc. nº 145.284/2018) a SGP ratificou informações anteriormente prestadas </w:t>
      </w:r>
      <w:r w:rsidR="008B584C" w:rsidRPr="008B584C">
        <w:rPr>
          <w:rFonts w:ascii="Times New Roman" w:hAnsi="Times New Roman" w:cs="Times New Roman"/>
          <w:spacing w:val="-2"/>
          <w:sz w:val="24"/>
          <w:szCs w:val="24"/>
        </w:rPr>
        <w:t xml:space="preserve">no </w:t>
      </w:r>
      <w:r w:rsidRPr="008B584C">
        <w:rPr>
          <w:rFonts w:ascii="Times New Roman" w:hAnsi="Times New Roman" w:cs="Times New Roman"/>
          <w:spacing w:val="-2"/>
          <w:sz w:val="24"/>
          <w:szCs w:val="24"/>
        </w:rPr>
        <w:t>PAD nº 10</w:t>
      </w:r>
      <w:r w:rsidR="008B584C" w:rsidRPr="008B584C">
        <w:rPr>
          <w:rFonts w:ascii="Times New Roman" w:hAnsi="Times New Roman" w:cs="Times New Roman"/>
          <w:spacing w:val="-2"/>
          <w:sz w:val="24"/>
          <w:szCs w:val="24"/>
        </w:rPr>
        <w:t xml:space="preserve">.441/2018, Doc. </w:t>
      </w:r>
      <w:proofErr w:type="gramStart"/>
      <w:r w:rsidR="008B584C" w:rsidRPr="008B584C">
        <w:rPr>
          <w:rFonts w:ascii="Times New Roman" w:hAnsi="Times New Roman" w:cs="Times New Roman"/>
          <w:spacing w:val="-2"/>
          <w:sz w:val="24"/>
          <w:szCs w:val="24"/>
        </w:rPr>
        <w:t>nº</w:t>
      </w:r>
      <w:proofErr w:type="gramEnd"/>
      <w:r w:rsidR="008B584C" w:rsidRPr="008B584C">
        <w:rPr>
          <w:rFonts w:ascii="Times New Roman" w:hAnsi="Times New Roman" w:cs="Times New Roman"/>
          <w:spacing w:val="-2"/>
          <w:sz w:val="24"/>
          <w:szCs w:val="24"/>
        </w:rPr>
        <w:t xml:space="preserve"> 138.402/2018</w:t>
      </w:r>
      <w:r w:rsidRPr="008B584C">
        <w:rPr>
          <w:rFonts w:ascii="Times New Roman" w:hAnsi="Times New Roman" w:cs="Times New Roman"/>
          <w:spacing w:val="-2"/>
          <w:sz w:val="24"/>
          <w:szCs w:val="24"/>
        </w:rPr>
        <w:t>.</w:t>
      </w:r>
    </w:p>
    <w:p w:rsidR="00473149" w:rsidRPr="008B584C" w:rsidRDefault="008B584C" w:rsidP="00473149">
      <w:pPr>
        <w:numPr>
          <w:ilvl w:val="4"/>
          <w:numId w:val="1"/>
        </w:numPr>
        <w:spacing w:after="0" w:line="240" w:lineRule="auto"/>
        <w:jc w:val="both"/>
        <w:rPr>
          <w:rFonts w:ascii="Times New Roman" w:hAnsi="Times New Roman" w:cs="Times New Roman"/>
          <w:spacing w:val="-2"/>
          <w:sz w:val="24"/>
          <w:szCs w:val="24"/>
        </w:rPr>
      </w:pPr>
      <w:r w:rsidRPr="008B584C">
        <w:rPr>
          <w:rFonts w:ascii="Times New Roman" w:hAnsi="Times New Roman" w:cs="Times New Roman"/>
          <w:spacing w:val="-2"/>
          <w:sz w:val="24"/>
          <w:szCs w:val="24"/>
        </w:rPr>
        <w:t>Também e</w:t>
      </w:r>
      <w:r w:rsidR="00473149" w:rsidRPr="008B584C">
        <w:rPr>
          <w:rFonts w:ascii="Times New Roman" w:hAnsi="Times New Roman" w:cs="Times New Roman"/>
          <w:spacing w:val="-2"/>
          <w:sz w:val="24"/>
          <w:szCs w:val="24"/>
        </w:rPr>
        <w:t xml:space="preserve">m resposta </w:t>
      </w:r>
      <w:r w:rsidRPr="008B584C">
        <w:rPr>
          <w:rFonts w:ascii="Times New Roman" w:hAnsi="Times New Roman" w:cs="Times New Roman"/>
          <w:spacing w:val="-2"/>
          <w:sz w:val="24"/>
          <w:szCs w:val="24"/>
        </w:rPr>
        <w:t>à sobredita</w:t>
      </w:r>
      <w:proofErr w:type="gramStart"/>
      <w:r w:rsidRPr="008B584C">
        <w:rPr>
          <w:rFonts w:ascii="Times New Roman" w:hAnsi="Times New Roman" w:cs="Times New Roman"/>
          <w:spacing w:val="-2"/>
          <w:sz w:val="24"/>
          <w:szCs w:val="24"/>
        </w:rPr>
        <w:t xml:space="preserve"> </w:t>
      </w:r>
      <w:r w:rsidR="00473149" w:rsidRPr="008B584C">
        <w:rPr>
          <w:rFonts w:ascii="Times New Roman" w:hAnsi="Times New Roman" w:cs="Times New Roman"/>
          <w:spacing w:val="-2"/>
          <w:sz w:val="24"/>
          <w:szCs w:val="24"/>
        </w:rPr>
        <w:t xml:space="preserve"> </w:t>
      </w:r>
      <w:proofErr w:type="gramEnd"/>
      <w:r w:rsidR="00473149" w:rsidRPr="008B584C">
        <w:rPr>
          <w:rFonts w:ascii="Times New Roman" w:hAnsi="Times New Roman" w:cs="Times New Roman"/>
          <w:spacing w:val="-2"/>
          <w:sz w:val="24"/>
          <w:szCs w:val="24"/>
        </w:rPr>
        <w:t>RDI (Doc. nº 146.328/2018)</w:t>
      </w:r>
      <w:r w:rsidRPr="008B584C">
        <w:rPr>
          <w:rFonts w:ascii="Times New Roman" w:hAnsi="Times New Roman" w:cs="Times New Roman"/>
          <w:spacing w:val="-2"/>
          <w:sz w:val="24"/>
          <w:szCs w:val="24"/>
        </w:rPr>
        <w:t>,</w:t>
      </w:r>
      <w:r w:rsidR="00473149" w:rsidRPr="008B584C">
        <w:rPr>
          <w:rFonts w:ascii="Times New Roman" w:hAnsi="Times New Roman" w:cs="Times New Roman"/>
          <w:spacing w:val="-2"/>
          <w:sz w:val="24"/>
          <w:szCs w:val="24"/>
        </w:rPr>
        <w:t xml:space="preserve"> a COPEG ponderou que, com a publicação da Resolução Administrativa nº 12/2018, a SEGEPRO e a SEPROQ receberam novas atribuições (gerenciamento de riscos e governança e gestão de processos, respectivamente), tornando-se necessária a capacitação de servidores a fim de se adequarem às novas atribuições.</w:t>
      </w:r>
    </w:p>
    <w:p w:rsidR="00473149" w:rsidRPr="006E337A" w:rsidRDefault="00473149" w:rsidP="00473149">
      <w:pPr>
        <w:numPr>
          <w:ilvl w:val="3"/>
          <w:numId w:val="1"/>
        </w:numPr>
        <w:spacing w:after="0" w:line="240" w:lineRule="auto"/>
        <w:jc w:val="both"/>
        <w:rPr>
          <w:rFonts w:ascii="Times New Roman" w:hAnsi="Times New Roman" w:cs="Times New Roman"/>
          <w:i/>
          <w:sz w:val="24"/>
          <w:szCs w:val="24"/>
        </w:rPr>
      </w:pPr>
      <w:r w:rsidRPr="006E337A">
        <w:rPr>
          <w:rFonts w:ascii="Times New Roman" w:hAnsi="Times New Roman" w:cs="Times New Roman"/>
          <w:i/>
          <w:sz w:val="24"/>
          <w:szCs w:val="24"/>
        </w:rPr>
        <w:t>Conclusão da equipe de auditoria:</w:t>
      </w:r>
    </w:p>
    <w:p w:rsidR="00473149" w:rsidRPr="00074EAC" w:rsidRDefault="00473149" w:rsidP="00473149">
      <w:pPr>
        <w:numPr>
          <w:ilvl w:val="4"/>
          <w:numId w:val="1"/>
        </w:numPr>
        <w:spacing w:after="0" w:line="240" w:lineRule="auto"/>
        <w:jc w:val="both"/>
        <w:rPr>
          <w:rFonts w:ascii="Times New Roman" w:hAnsi="Times New Roman" w:cs="Times New Roman"/>
          <w:i/>
          <w:sz w:val="24"/>
          <w:szCs w:val="24"/>
        </w:rPr>
      </w:pPr>
      <w:r w:rsidRPr="00074EAC">
        <w:rPr>
          <w:rFonts w:ascii="Times New Roman" w:hAnsi="Times New Roman" w:cs="Times New Roman"/>
          <w:sz w:val="24"/>
          <w:szCs w:val="24"/>
        </w:rPr>
        <w:t>Verificada ausência de interposição de razões destinadas a elidir o achado de auditoria sob exame,</w:t>
      </w:r>
      <w:r>
        <w:rPr>
          <w:rFonts w:ascii="Times New Roman" w:hAnsi="Times New Roman" w:cs="Times New Roman"/>
          <w:sz w:val="24"/>
          <w:szCs w:val="24"/>
        </w:rPr>
        <w:t xml:space="preserve"> </w:t>
      </w:r>
      <w:r w:rsidRPr="00074EAC">
        <w:rPr>
          <w:rFonts w:ascii="Times New Roman" w:hAnsi="Times New Roman" w:cs="Times New Roman"/>
          <w:sz w:val="24"/>
          <w:szCs w:val="24"/>
        </w:rPr>
        <w:t xml:space="preserve">conclui-se pela subsistência da </w:t>
      </w:r>
      <w:r>
        <w:rPr>
          <w:rFonts w:ascii="Times New Roman" w:hAnsi="Times New Roman" w:cs="Times New Roman"/>
          <w:sz w:val="24"/>
          <w:szCs w:val="24"/>
        </w:rPr>
        <w:t>fragilidade</w:t>
      </w:r>
      <w:r w:rsidRPr="00074EAC">
        <w:rPr>
          <w:rFonts w:ascii="Times New Roman" w:hAnsi="Times New Roman" w:cs="Times New Roman"/>
          <w:sz w:val="24"/>
          <w:szCs w:val="24"/>
        </w:rPr>
        <w:t xml:space="preserve"> ora evidenciada</w:t>
      </w:r>
      <w:r>
        <w:rPr>
          <w:rFonts w:ascii="Times New Roman" w:hAnsi="Times New Roman" w:cs="Times New Roman"/>
          <w:sz w:val="24"/>
          <w:szCs w:val="24"/>
        </w:rPr>
        <w:t xml:space="preserve">, registrando-se impossibilidade técnica de proposição de encaminhamento no sentido de capacitação da COPEG, unidade responsável pela orientação das demais áreas do Tribunal, na elaboração de planos de gestão de riscos, considerando que gestão de riscos e capacitação exorbitam o escopo </w:t>
      </w:r>
      <w:proofErr w:type="gramStart"/>
      <w:r>
        <w:rPr>
          <w:rFonts w:ascii="Times New Roman" w:hAnsi="Times New Roman" w:cs="Times New Roman"/>
          <w:sz w:val="24"/>
          <w:szCs w:val="24"/>
        </w:rPr>
        <w:t>da presente</w:t>
      </w:r>
      <w:proofErr w:type="gramEnd"/>
      <w:r>
        <w:rPr>
          <w:rFonts w:ascii="Times New Roman" w:hAnsi="Times New Roman" w:cs="Times New Roman"/>
          <w:sz w:val="24"/>
          <w:szCs w:val="24"/>
        </w:rPr>
        <w:t xml:space="preserve"> ação fiscalizatória. </w:t>
      </w:r>
      <w:r w:rsidRPr="00074EAC">
        <w:rPr>
          <w:rFonts w:ascii="Times New Roman" w:hAnsi="Times New Roman" w:cs="Times New Roman"/>
          <w:sz w:val="24"/>
          <w:szCs w:val="24"/>
        </w:rPr>
        <w:t xml:space="preserve"> </w:t>
      </w:r>
    </w:p>
    <w:p w:rsidR="00473149" w:rsidRPr="000D0CAF"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0D0CAF">
        <w:rPr>
          <w:rFonts w:ascii="Times New Roman" w:hAnsi="Times New Roman" w:cs="Times New Roman"/>
          <w:i/>
          <w:sz w:val="24"/>
          <w:szCs w:val="24"/>
        </w:rPr>
        <w:lastRenderedPageBreak/>
        <w:t>Proposta de encaminhamento:</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0D0CAF">
        <w:rPr>
          <w:rFonts w:ascii="Times New Roman" w:hAnsi="Times New Roman" w:cs="Times New Roman"/>
          <w:sz w:val="24"/>
          <w:szCs w:val="24"/>
        </w:rPr>
        <w:t>Recomendar à SGP que, observado o prazo de 120 dias, contados da publicação do Manual de Gestão de Riscos organizacional, proceda à elaboração do Plano de Tratamento de Riscos a que se refere o art. 23 da Resolução Administrativa TRE-BA nº 16/2018, contemplando riscos associados ao processo de dimensionamento da força de trabalho, assegurando seu efetivo cumprimento.</w:t>
      </w:r>
    </w:p>
    <w:p w:rsidR="00473149" w:rsidRDefault="00473149" w:rsidP="00473149">
      <w:pPr>
        <w:numPr>
          <w:ilvl w:val="2"/>
          <w:numId w:val="1"/>
        </w:numPr>
        <w:spacing w:before="120" w:after="120" w:line="240" w:lineRule="auto"/>
        <w:jc w:val="both"/>
        <w:rPr>
          <w:rFonts w:ascii="Times New Roman" w:hAnsi="Times New Roman" w:cs="Times New Roman"/>
          <w:sz w:val="24"/>
          <w:szCs w:val="24"/>
          <w:u w:val="single"/>
        </w:rPr>
      </w:pPr>
      <w:r w:rsidRPr="00D979EA">
        <w:rPr>
          <w:rFonts w:ascii="Times New Roman" w:hAnsi="Times New Roman" w:cs="Times New Roman"/>
          <w:spacing w:val="-4"/>
          <w:sz w:val="24"/>
          <w:szCs w:val="24"/>
          <w:u w:val="single"/>
        </w:rPr>
        <w:t>Deficiência de controles internos</w:t>
      </w:r>
      <w:r w:rsidRPr="00F608EB">
        <w:rPr>
          <w:rFonts w:ascii="Times New Roman" w:hAnsi="Times New Roman" w:cs="Times New Roman"/>
          <w:sz w:val="24"/>
          <w:szCs w:val="24"/>
          <w:u w:val="single"/>
        </w:rPr>
        <w:t>.</w:t>
      </w:r>
    </w:p>
    <w:p w:rsidR="00473149" w:rsidRPr="00037370" w:rsidRDefault="00473149" w:rsidP="00473149">
      <w:pPr>
        <w:spacing w:before="120" w:after="120" w:line="240" w:lineRule="auto"/>
        <w:jc w:val="both"/>
        <w:rPr>
          <w:rFonts w:ascii="Times New Roman" w:hAnsi="Times New Roman" w:cs="Times New Roman"/>
          <w:i/>
          <w:spacing w:val="-4"/>
          <w:sz w:val="24"/>
          <w:szCs w:val="24"/>
          <w:u w:val="single"/>
        </w:rPr>
      </w:pPr>
      <w:r w:rsidRPr="00037370">
        <w:rPr>
          <w:rFonts w:ascii="Times New Roman" w:hAnsi="Times New Roman" w:cs="Times New Roman"/>
          <w:i/>
          <w:spacing w:val="-2"/>
          <w:sz w:val="24"/>
          <w:szCs w:val="24"/>
        </w:rPr>
        <w:t xml:space="preserve">Risco(s) associado(s): </w:t>
      </w:r>
      <w:r w:rsidRPr="00037370">
        <w:rPr>
          <w:rFonts w:ascii="Times New Roman" w:hAnsi="Times New Roman" w:cs="Times New Roman"/>
          <w:i/>
          <w:spacing w:val="-4"/>
          <w:sz w:val="24"/>
          <w:szCs w:val="24"/>
        </w:rPr>
        <w:t>R2 – TRE-BA: Ausência ou insuficiência de patrocínio dos gestores da unidade a ser dimensionada; R-4 – TRE-BA: MAP inconsistente; R6 – TRE-BA: DFT inadequado; R7 – TRE-BA: Relatório do DFT inconsistente; R8 – TRE-BA: Não sensibilização dos gestores para utilização dos resultados do DFT; e R9 - TRE-BA: Desatualização do DFT.</w:t>
      </w:r>
      <w:r w:rsidRPr="00037370">
        <w:rPr>
          <w:i/>
          <w:spacing w:val="-4"/>
          <w:sz w:val="20"/>
          <w:szCs w:val="20"/>
        </w:rPr>
        <w:t xml:space="preserve"> </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sz w:val="24"/>
          <w:szCs w:val="24"/>
        </w:rPr>
      </w:pPr>
      <w:r w:rsidRPr="00F608EB">
        <w:rPr>
          <w:rFonts w:ascii="Times New Roman" w:hAnsi="Times New Roman" w:cs="Times New Roman"/>
          <w:i/>
          <w:sz w:val="24"/>
          <w:szCs w:val="24"/>
        </w:rPr>
        <w:t>Situação encontrada</w:t>
      </w:r>
      <w:r w:rsidRPr="00F608EB">
        <w:rPr>
          <w:rFonts w:ascii="Times New Roman" w:hAnsi="Times New Roman" w:cs="Times New Roman"/>
          <w:sz w:val="24"/>
          <w:szCs w:val="24"/>
        </w:rPr>
        <w:t>:</w:t>
      </w:r>
    </w:p>
    <w:p w:rsidR="00473149" w:rsidRPr="00F608EB" w:rsidRDefault="00473149" w:rsidP="00473149">
      <w:pPr>
        <w:numPr>
          <w:ilvl w:val="4"/>
          <w:numId w:val="1"/>
        </w:numPr>
        <w:spacing w:after="0" w:line="240" w:lineRule="auto"/>
        <w:jc w:val="both"/>
        <w:rPr>
          <w:rFonts w:ascii="Times New Roman" w:hAnsi="Times New Roman" w:cs="Times New Roman"/>
          <w:spacing w:val="-4"/>
          <w:sz w:val="24"/>
          <w:szCs w:val="24"/>
        </w:rPr>
      </w:pPr>
      <w:r w:rsidRPr="00D979EA">
        <w:rPr>
          <w:rFonts w:ascii="Times New Roman" w:hAnsi="Times New Roman" w:cs="Times New Roman"/>
          <w:spacing w:val="-4"/>
          <w:sz w:val="24"/>
          <w:szCs w:val="24"/>
          <w:lang w:eastAsia="pt-BR"/>
        </w:rPr>
        <w:t xml:space="preserve">Observadas as etapas afetas ao processo de DFT: quanto à Oficina de Sensibilização de gestores, não se evidenciou documentação comprobatória de expedição de convite para a unidade a ser dimensionada no exercício, para participação da reunião de apresentação de resultados do ciclo anterior; não foram identificadas atas das reuniões realizadas nem listas de presença das Oficinas realizadas; na revisão das informações dos </w:t>
      </w:r>
      <w:proofErr w:type="spellStart"/>
      <w:r w:rsidRPr="00D979EA">
        <w:rPr>
          <w:rFonts w:ascii="Times New Roman" w:hAnsi="Times New Roman" w:cs="Times New Roman"/>
          <w:spacing w:val="-4"/>
          <w:sz w:val="24"/>
          <w:szCs w:val="24"/>
          <w:lang w:eastAsia="pt-BR"/>
        </w:rPr>
        <w:t>MAPs</w:t>
      </w:r>
      <w:proofErr w:type="spellEnd"/>
      <w:r w:rsidRPr="00D979EA">
        <w:rPr>
          <w:rFonts w:ascii="Times New Roman" w:hAnsi="Times New Roman" w:cs="Times New Roman"/>
          <w:spacing w:val="-4"/>
          <w:sz w:val="24"/>
          <w:szCs w:val="24"/>
          <w:lang w:eastAsia="pt-BR"/>
        </w:rPr>
        <w:t xml:space="preserve"> e na elaboração de Relatório do DFT, não se evidenciou roteiro ou lista de verificação documentada ou institucionalizada, não obstante a utilização de material da Leme Consultoria acerca do DFT; com relação à validação das informações constantes nos MAPS com a unidade dimensionada, não se evidenciou documentação comprobatória da validação pela unidade cliente, sendo esta realizada de forma verbal; com relação à elaboração dos MAPS e do DFT, etapas realizadas em planilha Excel, embora sejam utilizadas diversas fórmulas para o auxílio dos cálculos, não se evidenciou o travamento/bloqueio das células que contêm informações essenciais ao trabalho executado</w:t>
      </w:r>
      <w:r w:rsidRPr="00F608EB">
        <w:rPr>
          <w:rFonts w:ascii="Times New Roman" w:hAnsi="Times New Roman" w:cs="Times New Roman"/>
          <w:spacing w:val="-4"/>
          <w:sz w:val="24"/>
          <w:szCs w:val="24"/>
          <w:lang w:eastAsia="pt-BR"/>
        </w:rPr>
        <w:t xml:space="preserve">. </w:t>
      </w:r>
    </w:p>
    <w:p w:rsidR="00473149" w:rsidRPr="00037370" w:rsidRDefault="00473149" w:rsidP="00473149">
      <w:pPr>
        <w:numPr>
          <w:ilvl w:val="4"/>
          <w:numId w:val="1"/>
        </w:numPr>
        <w:spacing w:after="0" w:line="240" w:lineRule="auto"/>
        <w:jc w:val="both"/>
        <w:rPr>
          <w:rFonts w:ascii="Times New Roman" w:hAnsi="Times New Roman" w:cs="Times New Roman"/>
          <w:sz w:val="24"/>
          <w:szCs w:val="24"/>
        </w:rPr>
      </w:pPr>
      <w:r w:rsidRPr="00037370">
        <w:rPr>
          <w:rFonts w:ascii="Times New Roman" w:hAnsi="Times New Roman" w:cs="Times New Roman"/>
          <w:sz w:val="24"/>
          <w:szCs w:val="24"/>
          <w:lang w:eastAsia="pt-BR"/>
        </w:rPr>
        <w:t xml:space="preserve">Não obstante, identificou-se a utilização de slides de suporte à apresentação do DFT para as unidades a serem dimensionadas, bem como de convite, por e-mail, para participação de reunião de orientação para a coleta das informações a serem inseridas no MAP.  </w:t>
      </w:r>
    </w:p>
    <w:p w:rsidR="00473149" w:rsidRDefault="00473149" w:rsidP="00473149">
      <w:pPr>
        <w:numPr>
          <w:ilvl w:val="4"/>
          <w:numId w:val="1"/>
        </w:numPr>
        <w:spacing w:after="0" w:line="240" w:lineRule="auto"/>
        <w:jc w:val="both"/>
        <w:rPr>
          <w:rFonts w:ascii="Times New Roman" w:hAnsi="Times New Roman" w:cs="Times New Roman"/>
          <w:spacing w:val="-4"/>
          <w:sz w:val="24"/>
          <w:szCs w:val="24"/>
        </w:rPr>
      </w:pPr>
      <w:r w:rsidRPr="00D979EA">
        <w:rPr>
          <w:rFonts w:ascii="Times New Roman" w:hAnsi="Times New Roman" w:cs="Times New Roman"/>
          <w:spacing w:val="-4"/>
          <w:sz w:val="24"/>
          <w:szCs w:val="24"/>
          <w:lang w:eastAsia="pt-BR"/>
        </w:rPr>
        <w:t>Adicionalmente, impende consignar que o mapeamento de competências realizado pelo Projeto Gestão por Competências, sem suporte de ferramenta informatizada, constitui insumo essencial para os trabalhos do DFT</w:t>
      </w:r>
      <w:r w:rsidRPr="00F608EB">
        <w:rPr>
          <w:rFonts w:ascii="Times New Roman" w:hAnsi="Times New Roman" w:cs="Times New Roman"/>
          <w:spacing w:val="-4"/>
          <w:sz w:val="24"/>
          <w:szCs w:val="24"/>
          <w:lang w:eastAsia="pt-BR"/>
        </w:rPr>
        <w:t>.</w:t>
      </w:r>
    </w:p>
    <w:p w:rsidR="00473149" w:rsidRDefault="00473149" w:rsidP="00473149">
      <w:pPr>
        <w:numPr>
          <w:ilvl w:val="4"/>
          <w:numId w:val="1"/>
        </w:numPr>
        <w:spacing w:after="0" w:line="240" w:lineRule="auto"/>
        <w:jc w:val="both"/>
        <w:rPr>
          <w:rFonts w:ascii="Times New Roman" w:hAnsi="Times New Roman" w:cs="Times New Roman"/>
          <w:spacing w:val="-4"/>
          <w:sz w:val="24"/>
          <w:szCs w:val="24"/>
          <w:lang w:eastAsia="pt-BR"/>
        </w:rPr>
      </w:pPr>
      <w:r w:rsidRPr="00D979EA">
        <w:rPr>
          <w:rFonts w:ascii="Times New Roman" w:hAnsi="Times New Roman" w:cs="Times New Roman"/>
          <w:spacing w:val="-4"/>
          <w:sz w:val="24"/>
          <w:szCs w:val="24"/>
          <w:lang w:eastAsia="pt-BR"/>
        </w:rPr>
        <w:t xml:space="preserve">Paralelamente, registre-se que na metodologia adotada para o DFT, a contabilização do quadro de servidores por unidade desconsidera o chefe da Seção na força de trabalho, contudo, da análise do Relatório do DFT realizado na SGP e COPEG com dados da época extraídos do SGRH, evidenciou-se as seguintes situações denotadoras de deficiência de controles: SEROJ, havia a indicação de quadro de pessoal com </w:t>
      </w:r>
      <w:proofErr w:type="gramStart"/>
      <w:r w:rsidRPr="00D979EA">
        <w:rPr>
          <w:rFonts w:ascii="Times New Roman" w:hAnsi="Times New Roman" w:cs="Times New Roman"/>
          <w:spacing w:val="-4"/>
          <w:sz w:val="24"/>
          <w:szCs w:val="24"/>
          <w:lang w:eastAsia="pt-BR"/>
        </w:rPr>
        <w:t>1</w:t>
      </w:r>
      <w:proofErr w:type="gramEnd"/>
      <w:r w:rsidRPr="00D979EA">
        <w:rPr>
          <w:rFonts w:ascii="Times New Roman" w:hAnsi="Times New Roman" w:cs="Times New Roman"/>
          <w:spacing w:val="-4"/>
          <w:sz w:val="24"/>
          <w:szCs w:val="24"/>
          <w:lang w:eastAsia="pt-BR"/>
        </w:rPr>
        <w:t xml:space="preserve"> Analista ADM e 3 Técnicos, contudo</w:t>
      </w:r>
      <w:r>
        <w:rPr>
          <w:rFonts w:ascii="Times New Roman" w:hAnsi="Times New Roman" w:cs="Times New Roman"/>
          <w:spacing w:val="-4"/>
          <w:sz w:val="24"/>
          <w:szCs w:val="24"/>
          <w:lang w:eastAsia="pt-BR"/>
        </w:rPr>
        <w:t>,</w:t>
      </w:r>
      <w:r w:rsidRPr="00D979EA">
        <w:rPr>
          <w:rFonts w:ascii="Times New Roman" w:hAnsi="Times New Roman" w:cs="Times New Roman"/>
          <w:spacing w:val="-4"/>
          <w:sz w:val="24"/>
          <w:szCs w:val="24"/>
          <w:lang w:eastAsia="pt-BR"/>
        </w:rPr>
        <w:t xml:space="preserve"> foram identificados no SGRH 1 Analista ADM e 4 Técnicos; SEMAMP, havia a indicação de quadro de pessoal com 1 Analista ADM, 1 Analista JUD e 1 Técnico, contudo</w:t>
      </w:r>
      <w:r>
        <w:rPr>
          <w:rFonts w:ascii="Times New Roman" w:hAnsi="Times New Roman" w:cs="Times New Roman"/>
          <w:spacing w:val="-4"/>
          <w:sz w:val="24"/>
          <w:szCs w:val="24"/>
          <w:lang w:eastAsia="pt-BR"/>
        </w:rPr>
        <w:t>,</w:t>
      </w:r>
      <w:r w:rsidRPr="00D979EA">
        <w:rPr>
          <w:rFonts w:ascii="Times New Roman" w:hAnsi="Times New Roman" w:cs="Times New Roman"/>
          <w:spacing w:val="-4"/>
          <w:sz w:val="24"/>
          <w:szCs w:val="24"/>
          <w:lang w:eastAsia="pt-BR"/>
        </w:rPr>
        <w:t xml:space="preserve"> foram identificados no SGRH 1 Analista ADM, 1 Analista JUD (chefe de Seção) e 2 Técnicos; SEDIR, havia a indicação de quadro de pessoal com 2 Analistas JUD e 2 Técnicos, contudo</w:t>
      </w:r>
      <w:r>
        <w:rPr>
          <w:rFonts w:ascii="Times New Roman" w:hAnsi="Times New Roman" w:cs="Times New Roman"/>
          <w:spacing w:val="-4"/>
          <w:sz w:val="24"/>
          <w:szCs w:val="24"/>
          <w:lang w:eastAsia="pt-BR"/>
        </w:rPr>
        <w:t>,</w:t>
      </w:r>
      <w:r w:rsidRPr="00D979EA">
        <w:rPr>
          <w:rFonts w:ascii="Times New Roman" w:hAnsi="Times New Roman" w:cs="Times New Roman"/>
          <w:spacing w:val="-4"/>
          <w:sz w:val="24"/>
          <w:szCs w:val="24"/>
          <w:lang w:eastAsia="pt-BR"/>
        </w:rPr>
        <w:t xml:space="preserve"> foram identificados no SGRH 2 Analistas JUD e 3 Técnicos; SEGEPRO,  havia a indicação de quadro de pessoal com 1 Analista JUD e 1 Técnico, contudo foram identificados no SGRH 1 Analista ADM (chefe de Seção) e 1 Técnico; SEPLANE, havia a indicação de quadro de pessoal com  1 Analista ADM e 1 Técnico, contudo</w:t>
      </w:r>
      <w:r>
        <w:rPr>
          <w:rFonts w:ascii="Times New Roman" w:hAnsi="Times New Roman" w:cs="Times New Roman"/>
          <w:spacing w:val="-4"/>
          <w:sz w:val="24"/>
          <w:szCs w:val="24"/>
          <w:lang w:eastAsia="pt-BR"/>
        </w:rPr>
        <w:t>,</w:t>
      </w:r>
      <w:r w:rsidRPr="00D979EA">
        <w:rPr>
          <w:rFonts w:ascii="Times New Roman" w:hAnsi="Times New Roman" w:cs="Times New Roman"/>
          <w:spacing w:val="-4"/>
          <w:sz w:val="24"/>
          <w:szCs w:val="24"/>
          <w:lang w:eastAsia="pt-BR"/>
        </w:rPr>
        <w:t xml:space="preserve"> foram identificados no SGRH 1 Analista ADM (Chefe de Seção)  e 1 Téc</w:t>
      </w:r>
      <w:r>
        <w:rPr>
          <w:rFonts w:ascii="Times New Roman" w:hAnsi="Times New Roman" w:cs="Times New Roman"/>
          <w:spacing w:val="-4"/>
          <w:sz w:val="24"/>
          <w:szCs w:val="24"/>
          <w:lang w:eastAsia="pt-BR"/>
        </w:rPr>
        <w:t xml:space="preserve">nico; SEPROQ, quadro de pessoal </w:t>
      </w:r>
      <w:r w:rsidRPr="00D979EA">
        <w:rPr>
          <w:rFonts w:ascii="Times New Roman" w:hAnsi="Times New Roman" w:cs="Times New Roman"/>
          <w:spacing w:val="-4"/>
          <w:sz w:val="24"/>
          <w:szCs w:val="24"/>
          <w:lang w:eastAsia="pt-BR"/>
        </w:rPr>
        <w:t xml:space="preserve">sem </w:t>
      </w:r>
      <w:r w:rsidRPr="00D979EA">
        <w:rPr>
          <w:rFonts w:ascii="Times New Roman" w:hAnsi="Times New Roman" w:cs="Times New Roman"/>
          <w:spacing w:val="-4"/>
          <w:sz w:val="24"/>
          <w:szCs w:val="24"/>
          <w:lang w:eastAsia="pt-BR"/>
        </w:rPr>
        <w:lastRenderedPageBreak/>
        <w:t>servidores, contudo</w:t>
      </w:r>
      <w:r>
        <w:rPr>
          <w:rFonts w:ascii="Times New Roman" w:hAnsi="Times New Roman" w:cs="Times New Roman"/>
          <w:spacing w:val="-4"/>
          <w:sz w:val="24"/>
          <w:szCs w:val="24"/>
          <w:lang w:eastAsia="pt-BR"/>
        </w:rPr>
        <w:t>,</w:t>
      </w:r>
      <w:r w:rsidRPr="00D979EA">
        <w:rPr>
          <w:rFonts w:ascii="Times New Roman" w:hAnsi="Times New Roman" w:cs="Times New Roman"/>
          <w:spacing w:val="-4"/>
          <w:sz w:val="24"/>
          <w:szCs w:val="24"/>
          <w:lang w:eastAsia="pt-BR"/>
        </w:rPr>
        <w:t xml:space="preserve"> foram identificados no SGRH 2 Técnicos; SESTAT, havia a indicação de quadro de pessoal com 1 Analista JUD e 1 Técnico, contudo</w:t>
      </w:r>
      <w:r>
        <w:rPr>
          <w:rFonts w:ascii="Times New Roman" w:hAnsi="Times New Roman" w:cs="Times New Roman"/>
          <w:spacing w:val="-4"/>
          <w:sz w:val="24"/>
          <w:szCs w:val="24"/>
          <w:lang w:eastAsia="pt-BR"/>
        </w:rPr>
        <w:t>,</w:t>
      </w:r>
      <w:r w:rsidRPr="00D979EA">
        <w:rPr>
          <w:rFonts w:ascii="Times New Roman" w:hAnsi="Times New Roman" w:cs="Times New Roman"/>
          <w:spacing w:val="-4"/>
          <w:sz w:val="24"/>
          <w:szCs w:val="24"/>
          <w:lang w:eastAsia="pt-BR"/>
        </w:rPr>
        <w:t xml:space="preserve"> foi identificado no SGRH apenas 1 Analista ADM (chefe de Seção).  Esclareça-se que, no Relatório do DFT da SGP e COPEG, não se evidenciou registro de informações adicionais que esclarecessem as divergências encontradas entre o Relatório ora analisado e os dados de pessoal do SGRH.</w:t>
      </w:r>
    </w:p>
    <w:p w:rsidR="00473149" w:rsidRPr="00F608EB" w:rsidRDefault="00473149" w:rsidP="00473149">
      <w:pPr>
        <w:numPr>
          <w:ilvl w:val="4"/>
          <w:numId w:val="1"/>
        </w:numPr>
        <w:spacing w:after="0" w:line="240" w:lineRule="auto"/>
        <w:jc w:val="both"/>
        <w:rPr>
          <w:rFonts w:ascii="Times New Roman" w:hAnsi="Times New Roman" w:cs="Times New Roman"/>
          <w:spacing w:val="-4"/>
          <w:sz w:val="24"/>
          <w:szCs w:val="24"/>
          <w:lang w:eastAsia="pt-BR"/>
        </w:rPr>
      </w:pPr>
      <w:r w:rsidRPr="00D979EA">
        <w:rPr>
          <w:rFonts w:ascii="Times New Roman" w:hAnsi="Times New Roman" w:cs="Times New Roman"/>
          <w:spacing w:val="-4"/>
          <w:sz w:val="24"/>
          <w:szCs w:val="24"/>
          <w:lang w:eastAsia="pt-BR"/>
        </w:rPr>
        <w:t>No período de 3/7 a 6/7/2018, foi realizada uma pesquisa com as unidades que já participaram do DFT (COPEG, SGP, SGA e SOF) e do resultado apurado evidenciou-se que 21,88% das unidades não participaram da reunião de sensibilização e explanação do DFT, 15,63% relataram não ter recebido orientação quanto ao preenchimento do MAP e 31,25% não foram comunicadas acerca dos resultados da aplicação do DFT.</w:t>
      </w:r>
    </w:p>
    <w:p w:rsidR="00473149" w:rsidRPr="00D979EA" w:rsidRDefault="00473149" w:rsidP="00473149">
      <w:pPr>
        <w:numPr>
          <w:ilvl w:val="3"/>
          <w:numId w:val="1"/>
        </w:numPr>
        <w:spacing w:after="0" w:line="240" w:lineRule="auto"/>
        <w:ind w:left="1077" w:hanging="1077"/>
        <w:jc w:val="both"/>
        <w:rPr>
          <w:rFonts w:ascii="Times New Roman" w:hAnsi="Times New Roman" w:cs="Times New Roman"/>
          <w:spacing w:val="-4"/>
          <w:sz w:val="24"/>
          <w:szCs w:val="24"/>
          <w:lang w:eastAsia="pt-BR"/>
        </w:rPr>
      </w:pPr>
      <w:r w:rsidRPr="00D979EA">
        <w:rPr>
          <w:rFonts w:ascii="Times New Roman" w:hAnsi="Times New Roman" w:cs="Times New Roman"/>
          <w:i/>
          <w:sz w:val="24"/>
          <w:szCs w:val="24"/>
        </w:rPr>
        <w:t>Critério(s):</w:t>
      </w:r>
      <w:r w:rsidRPr="00D979EA">
        <w:rPr>
          <w:rFonts w:ascii="Times New Roman" w:hAnsi="Times New Roman" w:cs="Times New Roman"/>
          <w:spacing w:val="-4"/>
          <w:sz w:val="24"/>
          <w:szCs w:val="24"/>
          <w:lang w:eastAsia="pt-BR"/>
        </w:rPr>
        <w:t xml:space="preserve"> </w:t>
      </w:r>
      <w:r w:rsidRPr="00D979EA">
        <w:rPr>
          <w:rFonts w:ascii="Times New Roman" w:hAnsi="Times New Roman" w:cs="Times New Roman"/>
          <w:spacing w:val="-4"/>
          <w:sz w:val="24"/>
          <w:szCs w:val="24"/>
          <w:lang w:eastAsia="pt-BR"/>
        </w:rPr>
        <w:tab/>
      </w:r>
    </w:p>
    <w:p w:rsidR="00473149" w:rsidRPr="00F608EB" w:rsidRDefault="00473149" w:rsidP="00473149">
      <w:pPr>
        <w:numPr>
          <w:ilvl w:val="4"/>
          <w:numId w:val="1"/>
        </w:numPr>
        <w:spacing w:after="0" w:line="240" w:lineRule="auto"/>
        <w:jc w:val="both"/>
        <w:rPr>
          <w:rFonts w:ascii="Times New Roman" w:hAnsi="Times New Roman" w:cs="Times New Roman"/>
          <w:spacing w:val="-6"/>
          <w:sz w:val="24"/>
          <w:szCs w:val="24"/>
        </w:rPr>
      </w:pPr>
      <w:r w:rsidRPr="00D979EA">
        <w:rPr>
          <w:rFonts w:ascii="Times New Roman" w:hAnsi="Times New Roman" w:cs="Times New Roman"/>
          <w:spacing w:val="-4"/>
          <w:sz w:val="24"/>
          <w:szCs w:val="24"/>
          <w:lang w:eastAsia="pt-BR"/>
        </w:rPr>
        <w:t xml:space="preserve">Resolução Administrativa do TRE-BA nº 16/2018, art. 4º, VII; Referencial Básico de Governança, TCU, Versão 2 – 2014, Práticas </w:t>
      </w:r>
      <w:proofErr w:type="gramStart"/>
      <w:r w:rsidRPr="00D979EA">
        <w:rPr>
          <w:rFonts w:ascii="Times New Roman" w:hAnsi="Times New Roman" w:cs="Times New Roman"/>
          <w:spacing w:val="-4"/>
          <w:sz w:val="24"/>
          <w:szCs w:val="24"/>
          <w:lang w:eastAsia="pt-BR"/>
        </w:rPr>
        <w:t>L3.</w:t>
      </w:r>
      <w:proofErr w:type="gramEnd"/>
      <w:r w:rsidRPr="00D979EA">
        <w:rPr>
          <w:rFonts w:ascii="Times New Roman" w:hAnsi="Times New Roman" w:cs="Times New Roman"/>
          <w:spacing w:val="-4"/>
          <w:sz w:val="24"/>
          <w:szCs w:val="24"/>
          <w:lang w:eastAsia="pt-BR"/>
        </w:rPr>
        <w:t>4 e C1.1</w:t>
      </w:r>
      <w:r w:rsidRPr="00F608EB">
        <w:rPr>
          <w:rFonts w:ascii="Times New Roman" w:hAnsi="Times New Roman" w:cs="Times New Roman"/>
          <w:spacing w:val="-6"/>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Causa(s):</w:t>
      </w:r>
    </w:p>
    <w:p w:rsidR="00473149" w:rsidRPr="00F608EB" w:rsidRDefault="00473149" w:rsidP="00473149">
      <w:pPr>
        <w:numPr>
          <w:ilvl w:val="4"/>
          <w:numId w:val="1"/>
        </w:numPr>
        <w:spacing w:after="0" w:line="240" w:lineRule="auto"/>
        <w:jc w:val="both"/>
        <w:rPr>
          <w:rFonts w:ascii="Times New Roman" w:hAnsi="Times New Roman" w:cs="Times New Roman"/>
          <w:spacing w:val="-4"/>
          <w:sz w:val="24"/>
          <w:szCs w:val="24"/>
          <w:lang w:eastAsia="pt-BR"/>
        </w:rPr>
      </w:pPr>
      <w:r w:rsidRPr="00D979EA">
        <w:rPr>
          <w:rFonts w:ascii="Times New Roman" w:hAnsi="Times New Roman" w:cs="Times New Roman"/>
          <w:spacing w:val="-4"/>
          <w:sz w:val="24"/>
          <w:szCs w:val="24"/>
          <w:lang w:eastAsia="pt-BR"/>
        </w:rPr>
        <w:t xml:space="preserve">Incipiente cultura organizacional em gerenciamento de riscos e proposição de controles; recente formalização de Sistema de Gestão de Riscos organizacional; e insuficiência de sistematização, padronização ou </w:t>
      </w:r>
      <w:proofErr w:type="spellStart"/>
      <w:r w:rsidRPr="00D979EA">
        <w:rPr>
          <w:rFonts w:ascii="Times New Roman" w:hAnsi="Times New Roman" w:cs="Times New Roman"/>
          <w:spacing w:val="-4"/>
          <w:sz w:val="24"/>
          <w:szCs w:val="24"/>
          <w:lang w:eastAsia="pt-BR"/>
        </w:rPr>
        <w:t>manualização</w:t>
      </w:r>
      <w:proofErr w:type="spellEnd"/>
      <w:r w:rsidRPr="00D979EA">
        <w:rPr>
          <w:rFonts w:ascii="Times New Roman" w:hAnsi="Times New Roman" w:cs="Times New Roman"/>
          <w:spacing w:val="-4"/>
          <w:sz w:val="24"/>
          <w:szCs w:val="24"/>
          <w:lang w:eastAsia="pt-BR"/>
        </w:rPr>
        <w:t xml:space="preserve"> de procedimentos e modelos pertinentes</w:t>
      </w:r>
      <w:r w:rsidRPr="00F608EB">
        <w:rPr>
          <w:rFonts w:ascii="Times New Roman" w:hAnsi="Times New Roman" w:cs="Times New Roman"/>
          <w:spacing w:val="-4"/>
          <w:sz w:val="24"/>
          <w:szCs w:val="24"/>
          <w:lang w:eastAsia="pt-BR"/>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Efeito(s) (real e/ou potencial):</w:t>
      </w:r>
    </w:p>
    <w:p w:rsidR="00473149" w:rsidRPr="00D979EA" w:rsidRDefault="00473149" w:rsidP="00473149">
      <w:pPr>
        <w:numPr>
          <w:ilvl w:val="4"/>
          <w:numId w:val="1"/>
        </w:numPr>
        <w:spacing w:after="0" w:line="240" w:lineRule="auto"/>
        <w:jc w:val="both"/>
        <w:rPr>
          <w:rFonts w:ascii="Times New Roman" w:hAnsi="Times New Roman" w:cs="Times New Roman"/>
          <w:sz w:val="24"/>
          <w:szCs w:val="24"/>
        </w:rPr>
      </w:pPr>
      <w:r w:rsidRPr="00D979EA">
        <w:rPr>
          <w:rFonts w:ascii="Times New Roman" w:hAnsi="Times New Roman" w:cs="Times New Roman"/>
          <w:sz w:val="24"/>
          <w:szCs w:val="24"/>
        </w:rPr>
        <w:t xml:space="preserve">Ausência de gestores nas Oficinas de Sensibilização; insuficiente sensibilização e comprometimento dos gestores com os trabalhos do DFT; lançamento de informações inconsistentes nos </w:t>
      </w:r>
      <w:proofErr w:type="spellStart"/>
      <w:r w:rsidRPr="00D979EA">
        <w:rPr>
          <w:rFonts w:ascii="Times New Roman" w:hAnsi="Times New Roman" w:cs="Times New Roman"/>
          <w:sz w:val="24"/>
          <w:szCs w:val="24"/>
        </w:rPr>
        <w:t>MAPs</w:t>
      </w:r>
      <w:proofErr w:type="spellEnd"/>
      <w:r w:rsidRPr="00D979EA">
        <w:rPr>
          <w:rFonts w:ascii="Times New Roman" w:hAnsi="Times New Roman" w:cs="Times New Roman"/>
          <w:sz w:val="24"/>
          <w:szCs w:val="24"/>
        </w:rPr>
        <w:t xml:space="preserve">; incerteza acerca da validação, pela unidade cliente dos </w:t>
      </w:r>
      <w:proofErr w:type="spellStart"/>
      <w:r w:rsidRPr="00D979EA">
        <w:rPr>
          <w:rFonts w:ascii="Times New Roman" w:hAnsi="Times New Roman" w:cs="Times New Roman"/>
          <w:sz w:val="24"/>
          <w:szCs w:val="24"/>
        </w:rPr>
        <w:t>MAPs</w:t>
      </w:r>
      <w:proofErr w:type="spellEnd"/>
      <w:r w:rsidRPr="00D979EA">
        <w:rPr>
          <w:rFonts w:ascii="Times New Roman" w:hAnsi="Times New Roman" w:cs="Times New Roman"/>
          <w:sz w:val="24"/>
          <w:szCs w:val="24"/>
        </w:rPr>
        <w:t xml:space="preserve"> elaborados; comprometimento dos resultados do DFT; e deficiência na alocação de servidores. </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Evidência(s):</w:t>
      </w:r>
    </w:p>
    <w:p w:rsidR="00473149" w:rsidRPr="00F608EB" w:rsidRDefault="00473149" w:rsidP="00473149">
      <w:pPr>
        <w:numPr>
          <w:ilvl w:val="4"/>
          <w:numId w:val="1"/>
        </w:numPr>
        <w:spacing w:after="0" w:line="240" w:lineRule="auto"/>
        <w:jc w:val="both"/>
        <w:rPr>
          <w:rFonts w:ascii="Times New Roman" w:hAnsi="Times New Roman" w:cs="Times New Roman"/>
          <w:i/>
          <w:sz w:val="24"/>
          <w:szCs w:val="24"/>
        </w:rPr>
      </w:pPr>
      <w:r w:rsidRPr="00193D3B">
        <w:rPr>
          <w:rFonts w:ascii="Times New Roman" w:hAnsi="Times New Roman" w:cs="Times New Roman"/>
          <w:sz w:val="24"/>
          <w:szCs w:val="24"/>
        </w:rPr>
        <w:t xml:space="preserve">Resposta da SGP à RDI nº 34/2018, PAD nº 8.252/2018 (Doc. nº 110.620/2018); e-mail da SGP para unidades dimensionadas; material da LEME Consultoria para apresentação do DFT às unidades a serem dimensionadas; Relatório Conclusivo e de Recomendações – DFT (SGP e COPEG). </w:t>
      </w:r>
      <w:proofErr w:type="spellStart"/>
      <w:r w:rsidRPr="00193D3B">
        <w:rPr>
          <w:rFonts w:ascii="Times New Roman" w:hAnsi="Times New Roman" w:cs="Times New Roman"/>
          <w:sz w:val="24"/>
          <w:szCs w:val="24"/>
        </w:rPr>
        <w:t>MAPs</w:t>
      </w:r>
      <w:proofErr w:type="spellEnd"/>
      <w:r w:rsidRPr="00193D3B">
        <w:rPr>
          <w:rFonts w:ascii="Times New Roman" w:hAnsi="Times New Roman" w:cs="Times New Roman"/>
          <w:sz w:val="24"/>
          <w:szCs w:val="24"/>
        </w:rPr>
        <w:t xml:space="preserve"> e DFT da COPEG, SGP, SGA e SOF em planilha Excel</w:t>
      </w:r>
      <w:r w:rsidRPr="00F608EB">
        <w:rPr>
          <w:rFonts w:ascii="Times New Roman" w:hAnsi="Times New Roman" w:cs="Times New Roman"/>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Esclarecimentos dos responsáveis:</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703250">
        <w:rPr>
          <w:rFonts w:ascii="Times New Roman" w:hAnsi="Times New Roman" w:cs="Times New Roman"/>
          <w:sz w:val="24"/>
          <w:szCs w:val="24"/>
        </w:rPr>
        <w:t>Em resposta à RDI nº 40/2018 (PAD nº 10.442/2018, Doc. nº 133.646/2018), a STI informou que o Sistema de Gestão por</w:t>
      </w:r>
      <w:r>
        <w:rPr>
          <w:rFonts w:ascii="Times New Roman" w:hAnsi="Times New Roman" w:cs="Times New Roman"/>
          <w:sz w:val="24"/>
          <w:szCs w:val="24"/>
        </w:rPr>
        <w:t xml:space="preserve"> Competência, originário do TRE-</w:t>
      </w:r>
      <w:r w:rsidRPr="00703250">
        <w:rPr>
          <w:rFonts w:ascii="Times New Roman" w:hAnsi="Times New Roman" w:cs="Times New Roman"/>
          <w:sz w:val="24"/>
          <w:szCs w:val="24"/>
        </w:rPr>
        <w:t>MA, foi customizado e implantado em ambiente de homologação, com apoio presencial de colegas daquele Tribunal, e disponibilizado à SGP no mês de junho</w:t>
      </w:r>
      <w:r>
        <w:rPr>
          <w:rFonts w:ascii="Times New Roman" w:hAnsi="Times New Roman" w:cs="Times New Roman"/>
          <w:sz w:val="24"/>
          <w:szCs w:val="24"/>
        </w:rPr>
        <w:t>,</w:t>
      </w:r>
      <w:r w:rsidRPr="00703250">
        <w:rPr>
          <w:rFonts w:ascii="Times New Roman" w:hAnsi="Times New Roman" w:cs="Times New Roman"/>
          <w:sz w:val="24"/>
          <w:szCs w:val="24"/>
        </w:rPr>
        <w:t xml:space="preserve"> para testes e aceitação. </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703250">
        <w:rPr>
          <w:rFonts w:ascii="Times New Roman" w:hAnsi="Times New Roman" w:cs="Times New Roman"/>
          <w:sz w:val="24"/>
          <w:szCs w:val="24"/>
        </w:rPr>
        <w:t>Acrescentou que a informação é corroborada pelo quanto expresso pela SGP no documento nº 133</w:t>
      </w:r>
      <w:r>
        <w:rPr>
          <w:rFonts w:ascii="Times New Roman" w:hAnsi="Times New Roman" w:cs="Times New Roman"/>
          <w:sz w:val="24"/>
          <w:szCs w:val="24"/>
        </w:rPr>
        <w:t>.</w:t>
      </w:r>
      <w:r w:rsidRPr="00703250">
        <w:rPr>
          <w:rFonts w:ascii="Times New Roman" w:hAnsi="Times New Roman" w:cs="Times New Roman"/>
          <w:sz w:val="24"/>
          <w:szCs w:val="24"/>
        </w:rPr>
        <w:t>555/2018 do PAD nº 9842/2018. Ponderou, ainda</w:t>
      </w:r>
      <w:r>
        <w:rPr>
          <w:rFonts w:ascii="Times New Roman" w:hAnsi="Times New Roman" w:cs="Times New Roman"/>
          <w:sz w:val="24"/>
          <w:szCs w:val="24"/>
        </w:rPr>
        <w:t>,</w:t>
      </w:r>
      <w:r w:rsidRPr="00703250">
        <w:rPr>
          <w:rFonts w:ascii="Times New Roman" w:hAnsi="Times New Roman" w:cs="Times New Roman"/>
          <w:sz w:val="24"/>
          <w:szCs w:val="24"/>
        </w:rPr>
        <w:t xml:space="preserve"> que, uma vez homologado pela área de negócio responsável, o Sistema será disponibilizado em produção para uso oficial.</w:t>
      </w:r>
    </w:p>
    <w:p w:rsidR="00473149" w:rsidRPr="006E2DA6" w:rsidRDefault="00473149" w:rsidP="00473149">
      <w:pPr>
        <w:numPr>
          <w:ilvl w:val="4"/>
          <w:numId w:val="1"/>
        </w:numPr>
        <w:spacing w:after="0" w:line="240" w:lineRule="auto"/>
        <w:jc w:val="both"/>
        <w:rPr>
          <w:rFonts w:ascii="Times New Roman" w:hAnsi="Times New Roman" w:cs="Times New Roman"/>
          <w:spacing w:val="-4"/>
          <w:sz w:val="24"/>
          <w:szCs w:val="24"/>
        </w:rPr>
      </w:pPr>
      <w:r w:rsidRPr="006E2DA6">
        <w:rPr>
          <w:rFonts w:ascii="Times New Roman" w:hAnsi="Times New Roman" w:cs="Times New Roman"/>
          <w:spacing w:val="-4"/>
          <w:sz w:val="24"/>
          <w:szCs w:val="24"/>
        </w:rPr>
        <w:t xml:space="preserve">Em resposta à RDI nº 39/2018 (PAD nº 10.441/2018, Doc. nº </w:t>
      </w:r>
      <w:r>
        <w:rPr>
          <w:rFonts w:ascii="Times New Roman" w:hAnsi="Times New Roman" w:cs="Times New Roman"/>
          <w:spacing w:val="-4"/>
          <w:sz w:val="24"/>
          <w:szCs w:val="24"/>
        </w:rPr>
        <w:t>138.402</w:t>
      </w:r>
      <w:r w:rsidRPr="006E2DA6">
        <w:rPr>
          <w:rFonts w:ascii="Times New Roman" w:hAnsi="Times New Roman" w:cs="Times New Roman"/>
          <w:spacing w:val="-4"/>
          <w:sz w:val="24"/>
          <w:szCs w:val="24"/>
        </w:rPr>
        <w:t xml:space="preserve">/2018), a SGP informou que o dimensionamento da força de trabalho é um processo novo no TRE-BA, como na maioria das instituições públicas, e que, na Justiça Eleitoral, o Tribunal é um dos pioneiros na implantação dessa ferramenta de gestão. Acrescentou que a implantação tem sido feita de forma escalonada por diversas razões. </w:t>
      </w:r>
    </w:p>
    <w:p w:rsidR="00473149" w:rsidRDefault="00473149" w:rsidP="00473149">
      <w:pPr>
        <w:numPr>
          <w:ilvl w:val="4"/>
          <w:numId w:val="1"/>
        </w:numPr>
        <w:spacing w:after="0" w:line="240" w:lineRule="auto"/>
        <w:jc w:val="both"/>
        <w:rPr>
          <w:rFonts w:ascii="Times New Roman" w:hAnsi="Times New Roman" w:cs="Times New Roman"/>
          <w:spacing w:val="-2"/>
          <w:sz w:val="24"/>
          <w:szCs w:val="24"/>
        </w:rPr>
      </w:pPr>
      <w:r w:rsidRPr="006E2DA6">
        <w:rPr>
          <w:rFonts w:ascii="Times New Roman" w:hAnsi="Times New Roman" w:cs="Times New Roman"/>
          <w:spacing w:val="-2"/>
          <w:sz w:val="24"/>
          <w:szCs w:val="24"/>
        </w:rPr>
        <w:t>Ressaltou</w:t>
      </w:r>
      <w:r>
        <w:rPr>
          <w:rFonts w:ascii="Times New Roman" w:hAnsi="Times New Roman" w:cs="Times New Roman"/>
          <w:spacing w:val="-2"/>
          <w:sz w:val="24"/>
          <w:szCs w:val="24"/>
        </w:rPr>
        <w:t xml:space="preserve"> e</w:t>
      </w:r>
      <w:r w:rsidRPr="006E2DA6">
        <w:rPr>
          <w:rFonts w:ascii="Times New Roman" w:hAnsi="Times New Roman" w:cs="Times New Roman"/>
          <w:spacing w:val="-2"/>
          <w:sz w:val="24"/>
          <w:szCs w:val="24"/>
        </w:rPr>
        <w:t>ntende</w:t>
      </w:r>
      <w:r>
        <w:rPr>
          <w:rFonts w:ascii="Times New Roman" w:hAnsi="Times New Roman" w:cs="Times New Roman"/>
          <w:spacing w:val="-2"/>
          <w:sz w:val="24"/>
          <w:szCs w:val="24"/>
        </w:rPr>
        <w:t>r</w:t>
      </w:r>
      <w:r w:rsidRPr="006E2DA6">
        <w:rPr>
          <w:rFonts w:ascii="Times New Roman" w:hAnsi="Times New Roman" w:cs="Times New Roman"/>
          <w:spacing w:val="-2"/>
          <w:sz w:val="24"/>
          <w:szCs w:val="24"/>
        </w:rPr>
        <w:t xml:space="preserve"> ser necessário e natural do processo de implantação, o aperfeiçoamento do método e dos controles, a elaboração e revisão dos papéis de </w:t>
      </w:r>
      <w:r w:rsidRPr="006E2DA6">
        <w:rPr>
          <w:rFonts w:ascii="Times New Roman" w:hAnsi="Times New Roman" w:cs="Times New Roman"/>
          <w:spacing w:val="-2"/>
          <w:sz w:val="24"/>
          <w:szCs w:val="24"/>
        </w:rPr>
        <w:lastRenderedPageBreak/>
        <w:t xml:space="preserve">trabalho e do fluxo e, ainda, a </w:t>
      </w:r>
      <w:proofErr w:type="gramStart"/>
      <w:r w:rsidRPr="006E2DA6">
        <w:rPr>
          <w:rFonts w:ascii="Times New Roman" w:hAnsi="Times New Roman" w:cs="Times New Roman"/>
          <w:spacing w:val="-2"/>
          <w:sz w:val="24"/>
          <w:szCs w:val="24"/>
        </w:rPr>
        <w:t>implementação</w:t>
      </w:r>
      <w:proofErr w:type="gramEnd"/>
      <w:r w:rsidRPr="006E2DA6">
        <w:rPr>
          <w:rFonts w:ascii="Times New Roman" w:hAnsi="Times New Roman" w:cs="Times New Roman"/>
          <w:spacing w:val="-2"/>
          <w:sz w:val="24"/>
          <w:szCs w:val="24"/>
        </w:rPr>
        <w:t xml:space="preserve"> de mecanismos de monitoramento do DFT apurado. </w:t>
      </w:r>
    </w:p>
    <w:p w:rsidR="00473149" w:rsidRDefault="00473149" w:rsidP="00473149">
      <w:pPr>
        <w:numPr>
          <w:ilvl w:val="4"/>
          <w:numId w:val="1"/>
        </w:numPr>
        <w:spacing w:after="0" w:line="240" w:lineRule="auto"/>
        <w:jc w:val="both"/>
        <w:rPr>
          <w:rFonts w:ascii="Times New Roman" w:hAnsi="Times New Roman" w:cs="Times New Roman"/>
          <w:spacing w:val="-2"/>
          <w:sz w:val="24"/>
          <w:szCs w:val="24"/>
        </w:rPr>
      </w:pPr>
      <w:r>
        <w:rPr>
          <w:rFonts w:ascii="Times New Roman" w:hAnsi="Times New Roman" w:cs="Times New Roman"/>
          <w:spacing w:val="-2"/>
          <w:sz w:val="24"/>
          <w:szCs w:val="24"/>
        </w:rPr>
        <w:t>Pontuou que a SEDES está</w:t>
      </w:r>
      <w:r w:rsidRPr="006E2DA6">
        <w:rPr>
          <w:rFonts w:ascii="Times New Roman" w:hAnsi="Times New Roman" w:cs="Times New Roman"/>
          <w:spacing w:val="-2"/>
          <w:sz w:val="24"/>
          <w:szCs w:val="24"/>
        </w:rPr>
        <w:t xml:space="preserve"> elaborando manual do DFT, com detalhamento dos procedimentos relativos ao estudo da força de trabalho no TRE-BA, a fim de registrar e compartilhar com futuros servidores da unidade, o conhecimento sobre essa ferramenta de gestão. </w:t>
      </w:r>
    </w:p>
    <w:p w:rsidR="00473149" w:rsidRDefault="00473149" w:rsidP="00473149">
      <w:pPr>
        <w:numPr>
          <w:ilvl w:val="4"/>
          <w:numId w:val="1"/>
        </w:numPr>
        <w:spacing w:after="0" w:line="240" w:lineRule="auto"/>
        <w:jc w:val="both"/>
        <w:rPr>
          <w:rFonts w:ascii="Times New Roman" w:hAnsi="Times New Roman" w:cs="Times New Roman"/>
          <w:spacing w:val="-2"/>
          <w:sz w:val="24"/>
          <w:szCs w:val="24"/>
        </w:rPr>
      </w:pPr>
      <w:r>
        <w:rPr>
          <w:rFonts w:ascii="Times New Roman" w:hAnsi="Times New Roman" w:cs="Times New Roman"/>
          <w:spacing w:val="-2"/>
          <w:sz w:val="24"/>
          <w:szCs w:val="24"/>
        </w:rPr>
        <w:t>Esclareceu</w:t>
      </w:r>
      <w:r w:rsidRPr="006E2DA6">
        <w:rPr>
          <w:rFonts w:ascii="Times New Roman" w:hAnsi="Times New Roman" w:cs="Times New Roman"/>
          <w:spacing w:val="-2"/>
          <w:sz w:val="24"/>
          <w:szCs w:val="24"/>
        </w:rPr>
        <w:t xml:space="preserve"> que</w:t>
      </w:r>
      <w:r>
        <w:rPr>
          <w:rFonts w:ascii="Times New Roman" w:hAnsi="Times New Roman" w:cs="Times New Roman"/>
          <w:spacing w:val="-2"/>
          <w:sz w:val="24"/>
          <w:szCs w:val="24"/>
        </w:rPr>
        <w:t>,</w:t>
      </w:r>
      <w:r w:rsidRPr="006E2DA6">
        <w:rPr>
          <w:rFonts w:ascii="Times New Roman" w:hAnsi="Times New Roman" w:cs="Times New Roman"/>
          <w:spacing w:val="-2"/>
          <w:sz w:val="24"/>
          <w:szCs w:val="24"/>
        </w:rPr>
        <w:t xml:space="preserve"> além da elaboração do manual, as rotinas estão sendo repensadas e estão sendo estabelecidos controles do </w:t>
      </w:r>
      <w:r>
        <w:rPr>
          <w:rFonts w:ascii="Times New Roman" w:hAnsi="Times New Roman" w:cs="Times New Roman"/>
          <w:spacing w:val="-2"/>
          <w:sz w:val="24"/>
          <w:szCs w:val="24"/>
        </w:rPr>
        <w:t xml:space="preserve">processo de trabalho como </w:t>
      </w:r>
      <w:proofErr w:type="spellStart"/>
      <w:r w:rsidRPr="006E2DA6">
        <w:rPr>
          <w:rFonts w:ascii="Times New Roman" w:hAnsi="Times New Roman" w:cs="Times New Roman"/>
          <w:i/>
          <w:spacing w:val="-2"/>
          <w:sz w:val="24"/>
          <w:szCs w:val="24"/>
        </w:rPr>
        <w:t>check</w:t>
      </w:r>
      <w:proofErr w:type="spellEnd"/>
      <w:r w:rsidRPr="006E2DA6">
        <w:rPr>
          <w:rFonts w:ascii="Times New Roman" w:hAnsi="Times New Roman" w:cs="Times New Roman"/>
          <w:i/>
          <w:spacing w:val="-2"/>
          <w:sz w:val="24"/>
          <w:szCs w:val="24"/>
        </w:rPr>
        <w:t xml:space="preserve"> </w:t>
      </w:r>
      <w:proofErr w:type="spellStart"/>
      <w:r w:rsidRPr="006E2DA6">
        <w:rPr>
          <w:rFonts w:ascii="Times New Roman" w:hAnsi="Times New Roman" w:cs="Times New Roman"/>
          <w:i/>
          <w:spacing w:val="-2"/>
          <w:sz w:val="24"/>
          <w:szCs w:val="24"/>
        </w:rPr>
        <w:t>list</w:t>
      </w:r>
      <w:proofErr w:type="spellEnd"/>
      <w:r w:rsidRPr="006E2DA6">
        <w:rPr>
          <w:rFonts w:ascii="Times New Roman" w:hAnsi="Times New Roman" w:cs="Times New Roman"/>
          <w:spacing w:val="-2"/>
          <w:sz w:val="24"/>
          <w:szCs w:val="24"/>
        </w:rPr>
        <w:t xml:space="preserve">, formulários e fluxograma.  </w:t>
      </w:r>
    </w:p>
    <w:p w:rsidR="00473149" w:rsidRDefault="00473149" w:rsidP="00473149">
      <w:pPr>
        <w:numPr>
          <w:ilvl w:val="4"/>
          <w:numId w:val="1"/>
        </w:numPr>
        <w:spacing w:after="0" w:line="240" w:lineRule="auto"/>
        <w:jc w:val="both"/>
        <w:rPr>
          <w:rFonts w:ascii="Times New Roman" w:hAnsi="Times New Roman" w:cs="Times New Roman"/>
          <w:spacing w:val="-2"/>
          <w:sz w:val="24"/>
          <w:szCs w:val="24"/>
        </w:rPr>
      </w:pPr>
      <w:r w:rsidRPr="006E2DA6">
        <w:rPr>
          <w:rFonts w:ascii="Times New Roman" w:hAnsi="Times New Roman" w:cs="Times New Roman"/>
          <w:spacing w:val="-2"/>
          <w:sz w:val="24"/>
          <w:szCs w:val="24"/>
        </w:rPr>
        <w:t>Informou, ainda, que a SEDES tem desenvolvido estudos visando detectar falhas e desvios e aprimorar seus processos de trabalho</w:t>
      </w:r>
      <w:r>
        <w:rPr>
          <w:rFonts w:ascii="Times New Roman" w:hAnsi="Times New Roman" w:cs="Times New Roman"/>
          <w:spacing w:val="-2"/>
          <w:sz w:val="24"/>
          <w:szCs w:val="24"/>
        </w:rPr>
        <w:t>.</w:t>
      </w:r>
    </w:p>
    <w:p w:rsidR="00473149" w:rsidRDefault="00473149" w:rsidP="00473149">
      <w:pPr>
        <w:numPr>
          <w:ilvl w:val="4"/>
          <w:numId w:val="1"/>
        </w:numPr>
        <w:spacing w:after="0" w:line="240" w:lineRule="auto"/>
        <w:jc w:val="both"/>
        <w:rPr>
          <w:rFonts w:ascii="Times New Roman" w:hAnsi="Times New Roman" w:cs="Times New Roman"/>
          <w:spacing w:val="-6"/>
          <w:sz w:val="24"/>
          <w:szCs w:val="24"/>
        </w:rPr>
      </w:pPr>
      <w:r w:rsidRPr="006E2DA6">
        <w:rPr>
          <w:rFonts w:ascii="Times New Roman" w:hAnsi="Times New Roman" w:cs="Times New Roman"/>
          <w:spacing w:val="-6"/>
          <w:sz w:val="24"/>
          <w:szCs w:val="24"/>
        </w:rPr>
        <w:t>Acrescentou que a publicação do Manual de Gestão de Riscos, exigido pela Resolução Administrativa nº 16/2018, que institui o Sistema de Gestão de Riscos, tornará possível a elaboração do Plano de Tratamento de Riscos do DFT. Ressaltou, entretanto, que o meio mais simples de proporcionar essa ferramenta ao Tribunal é capacitar equipe única para conduzir os trabalhos, disseminar as informações, bem como monitorar e acompanhar a execução das atividades de construção dos planos de riscos.</w:t>
      </w:r>
    </w:p>
    <w:p w:rsidR="00473149" w:rsidRPr="008B584C" w:rsidRDefault="00473149" w:rsidP="00473149">
      <w:pPr>
        <w:numPr>
          <w:ilvl w:val="4"/>
          <w:numId w:val="1"/>
        </w:numPr>
        <w:spacing w:after="0" w:line="240" w:lineRule="auto"/>
        <w:jc w:val="both"/>
        <w:rPr>
          <w:rFonts w:ascii="Times New Roman" w:hAnsi="Times New Roman" w:cs="Times New Roman"/>
          <w:spacing w:val="-6"/>
          <w:sz w:val="24"/>
          <w:szCs w:val="24"/>
        </w:rPr>
      </w:pPr>
      <w:r w:rsidRPr="008B584C">
        <w:rPr>
          <w:rFonts w:ascii="Times New Roman" w:hAnsi="Times New Roman" w:cs="Times New Roman"/>
          <w:spacing w:val="-2"/>
          <w:sz w:val="24"/>
          <w:szCs w:val="24"/>
        </w:rPr>
        <w:t xml:space="preserve">Em resposta à RDI Circular nº 13/2018 (PAD nº 11.047/2018, Doc. nº 145.284/2018) a SGP ratificou informações anteriormente prestadas </w:t>
      </w:r>
      <w:r w:rsidR="008B584C" w:rsidRPr="008B584C">
        <w:rPr>
          <w:rFonts w:ascii="Times New Roman" w:hAnsi="Times New Roman" w:cs="Times New Roman"/>
          <w:spacing w:val="-2"/>
          <w:sz w:val="24"/>
          <w:szCs w:val="24"/>
        </w:rPr>
        <w:t xml:space="preserve">no </w:t>
      </w:r>
      <w:r w:rsidRPr="008B584C">
        <w:rPr>
          <w:rFonts w:ascii="Times New Roman" w:hAnsi="Times New Roman" w:cs="Times New Roman"/>
          <w:spacing w:val="-2"/>
          <w:sz w:val="24"/>
          <w:szCs w:val="24"/>
        </w:rPr>
        <w:t>PAD nº 10</w:t>
      </w:r>
      <w:r w:rsidR="008B584C" w:rsidRPr="008B584C">
        <w:rPr>
          <w:rFonts w:ascii="Times New Roman" w:hAnsi="Times New Roman" w:cs="Times New Roman"/>
          <w:spacing w:val="-2"/>
          <w:sz w:val="24"/>
          <w:szCs w:val="24"/>
        </w:rPr>
        <w:t xml:space="preserve">.441/2018, Doc. </w:t>
      </w:r>
      <w:proofErr w:type="gramStart"/>
      <w:r w:rsidR="008B584C" w:rsidRPr="008B584C">
        <w:rPr>
          <w:rFonts w:ascii="Times New Roman" w:hAnsi="Times New Roman" w:cs="Times New Roman"/>
          <w:spacing w:val="-2"/>
          <w:sz w:val="24"/>
          <w:szCs w:val="24"/>
        </w:rPr>
        <w:t>nº</w:t>
      </w:r>
      <w:proofErr w:type="gramEnd"/>
      <w:r w:rsidR="008B584C" w:rsidRPr="008B584C">
        <w:rPr>
          <w:rFonts w:ascii="Times New Roman" w:hAnsi="Times New Roman" w:cs="Times New Roman"/>
          <w:spacing w:val="-2"/>
          <w:sz w:val="24"/>
          <w:szCs w:val="24"/>
        </w:rPr>
        <w:t xml:space="preserve"> 138.402/2018</w:t>
      </w:r>
      <w:r w:rsidRPr="008B584C">
        <w:rPr>
          <w:rFonts w:ascii="Times New Roman" w:hAnsi="Times New Roman" w:cs="Times New Roman"/>
          <w:spacing w:val="-2"/>
          <w:sz w:val="24"/>
          <w:szCs w:val="24"/>
        </w:rPr>
        <w:t>.</w:t>
      </w:r>
    </w:p>
    <w:p w:rsidR="00473149" w:rsidRPr="00064B8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064B8B">
        <w:rPr>
          <w:rFonts w:ascii="Times New Roman" w:hAnsi="Times New Roman" w:cs="Times New Roman"/>
          <w:i/>
          <w:sz w:val="24"/>
          <w:szCs w:val="24"/>
        </w:rPr>
        <w:t>Conclusão da equipe de auditoria:</w:t>
      </w:r>
    </w:p>
    <w:p w:rsidR="00473149" w:rsidRPr="00DD58CA" w:rsidRDefault="00473149" w:rsidP="00473149">
      <w:pPr>
        <w:numPr>
          <w:ilvl w:val="4"/>
          <w:numId w:val="1"/>
        </w:num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Tendo em vista a informação da STI que o Sistema de Gestão por Competência já foi customizado e implantado em ambiente de homologação, conclui-se pelo saneamento da fragilidade ora evidenciada no que se refere à ferramenta informatizada de suporte ao mapeamento de competências.</w:t>
      </w:r>
    </w:p>
    <w:p w:rsidR="00473149" w:rsidRPr="00D81C41" w:rsidRDefault="00473149" w:rsidP="00473149">
      <w:pPr>
        <w:numPr>
          <w:ilvl w:val="4"/>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Em que pese ponderações registradas pela SGP acerca da elaboração do manual, mudança de rotinas, instituição de controles e dos estudos que tem sido desenvolvidos </w:t>
      </w:r>
      <w:proofErr w:type="gramStart"/>
      <w:r>
        <w:rPr>
          <w:rFonts w:ascii="Times New Roman" w:hAnsi="Times New Roman" w:cs="Times New Roman"/>
          <w:sz w:val="24"/>
          <w:szCs w:val="24"/>
        </w:rPr>
        <w:t>pela SEDES</w:t>
      </w:r>
      <w:proofErr w:type="gramEnd"/>
      <w:r>
        <w:rPr>
          <w:rFonts w:ascii="Times New Roman" w:hAnsi="Times New Roman" w:cs="Times New Roman"/>
          <w:sz w:val="24"/>
          <w:szCs w:val="24"/>
        </w:rPr>
        <w:t xml:space="preserve"> para detectar falhas, desvios e aprimorar o processo de trabalho DFT, conclui-se que, enquanto não documentada a metodologia utilizada na realização do DFT e elaborado o efetivo plano de tratamento de riscos, subsistirá a fragilidade anteriormente evidenciada e respectivos riscos associados.</w:t>
      </w:r>
    </w:p>
    <w:p w:rsidR="00473149"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0D0CAF">
        <w:rPr>
          <w:rFonts w:ascii="Times New Roman" w:hAnsi="Times New Roman" w:cs="Times New Roman"/>
          <w:i/>
          <w:sz w:val="24"/>
          <w:szCs w:val="24"/>
        </w:rPr>
        <w:t>Proposta de encaminhamento:</w:t>
      </w:r>
    </w:p>
    <w:p w:rsidR="00473149" w:rsidRPr="006C51E3" w:rsidRDefault="00473149" w:rsidP="00473149">
      <w:pPr>
        <w:numPr>
          <w:ilvl w:val="4"/>
          <w:numId w:val="1"/>
        </w:numPr>
        <w:spacing w:after="0" w:line="240" w:lineRule="auto"/>
        <w:jc w:val="both"/>
        <w:rPr>
          <w:rFonts w:ascii="Times New Roman" w:hAnsi="Times New Roman" w:cs="Times New Roman"/>
          <w:sz w:val="24"/>
          <w:szCs w:val="24"/>
        </w:rPr>
      </w:pPr>
      <w:r w:rsidRPr="006C51E3">
        <w:rPr>
          <w:rFonts w:ascii="Times New Roman" w:hAnsi="Times New Roman" w:cs="Times New Roman"/>
          <w:sz w:val="24"/>
          <w:szCs w:val="24"/>
        </w:rPr>
        <w:t>Recomendar à SGP que, observado o prazo de 120 dias, documente a metodologia utilizada na realização do dimensionamento da força de trabalho, de modo a padronizar procedimentos e modelos pertinentes e formalizar controles instituídos.</w:t>
      </w:r>
    </w:p>
    <w:p w:rsidR="00473149" w:rsidRPr="006C51E3" w:rsidRDefault="00473149" w:rsidP="00473149">
      <w:pPr>
        <w:numPr>
          <w:ilvl w:val="4"/>
          <w:numId w:val="1"/>
        </w:numPr>
        <w:spacing w:after="0" w:line="240" w:lineRule="auto"/>
        <w:jc w:val="both"/>
        <w:rPr>
          <w:rFonts w:ascii="Times New Roman" w:hAnsi="Times New Roman" w:cs="Times New Roman"/>
          <w:sz w:val="24"/>
          <w:szCs w:val="24"/>
        </w:rPr>
      </w:pPr>
      <w:r w:rsidRPr="006C51E3">
        <w:rPr>
          <w:rFonts w:ascii="Times New Roman" w:hAnsi="Times New Roman" w:cs="Times New Roman"/>
          <w:sz w:val="24"/>
          <w:szCs w:val="24"/>
        </w:rPr>
        <w:t xml:space="preserve">Recomendar à SGP que, observado o prazo de 120 dias contados da publicação do Manual de Gestão de Riscos organizacional, proceda à elaboração do Plano de Tratamento de Riscos a que se refere o art. 23, da Resolução Administrativa TRE-BA nº 16/2018, contemplando riscos associados ao processo de dimensionamento da força de trabalho, assegurando sua efetiva </w:t>
      </w:r>
      <w:proofErr w:type="gramStart"/>
      <w:r w:rsidRPr="006C51E3">
        <w:rPr>
          <w:rFonts w:ascii="Times New Roman" w:hAnsi="Times New Roman" w:cs="Times New Roman"/>
          <w:sz w:val="24"/>
          <w:szCs w:val="24"/>
        </w:rPr>
        <w:t>implementação</w:t>
      </w:r>
      <w:proofErr w:type="gramEnd"/>
      <w:r w:rsidRPr="006C51E3">
        <w:rPr>
          <w:rFonts w:ascii="Times New Roman" w:hAnsi="Times New Roman" w:cs="Times New Roman"/>
          <w:sz w:val="24"/>
          <w:szCs w:val="24"/>
        </w:rPr>
        <w:t>.</w:t>
      </w:r>
    </w:p>
    <w:p w:rsidR="00473149" w:rsidRDefault="00473149" w:rsidP="00473149">
      <w:pPr>
        <w:numPr>
          <w:ilvl w:val="2"/>
          <w:numId w:val="1"/>
        </w:numPr>
        <w:spacing w:before="120" w:after="120" w:line="240" w:lineRule="auto"/>
        <w:jc w:val="both"/>
        <w:rPr>
          <w:rFonts w:ascii="Times New Roman" w:hAnsi="Times New Roman" w:cs="Times New Roman"/>
          <w:spacing w:val="-4"/>
          <w:sz w:val="24"/>
          <w:szCs w:val="24"/>
          <w:u w:val="single"/>
        </w:rPr>
      </w:pPr>
      <w:r w:rsidRPr="00193D3B">
        <w:rPr>
          <w:rFonts w:ascii="Times New Roman" w:hAnsi="Times New Roman" w:cs="Times New Roman"/>
          <w:sz w:val="24"/>
          <w:szCs w:val="24"/>
          <w:u w:val="single"/>
        </w:rPr>
        <w:t>Tempo de duração de trabalhos de mapeamento/dimensionamento de unidades incompatível com cronograma estabelecido</w:t>
      </w:r>
      <w:r w:rsidRPr="00F608EB">
        <w:rPr>
          <w:rFonts w:ascii="Times New Roman" w:hAnsi="Times New Roman" w:cs="Times New Roman"/>
          <w:spacing w:val="-4"/>
          <w:sz w:val="24"/>
          <w:szCs w:val="24"/>
          <w:u w:val="single"/>
        </w:rPr>
        <w:t>.</w:t>
      </w:r>
    </w:p>
    <w:p w:rsidR="00473149" w:rsidRPr="00037370" w:rsidRDefault="00473149" w:rsidP="00473149">
      <w:pPr>
        <w:spacing w:before="120" w:after="120" w:line="240" w:lineRule="auto"/>
        <w:jc w:val="both"/>
        <w:rPr>
          <w:rFonts w:ascii="Times New Roman" w:hAnsi="Times New Roman" w:cs="Times New Roman"/>
          <w:i/>
          <w:sz w:val="24"/>
          <w:szCs w:val="24"/>
          <w:u w:val="single"/>
        </w:rPr>
      </w:pPr>
      <w:r w:rsidRPr="00037370">
        <w:rPr>
          <w:rFonts w:ascii="Times New Roman" w:hAnsi="Times New Roman" w:cs="Times New Roman"/>
          <w:i/>
          <w:spacing w:val="-2"/>
          <w:sz w:val="24"/>
          <w:szCs w:val="24"/>
        </w:rPr>
        <w:t xml:space="preserve">Risco(s) associado(s): </w:t>
      </w:r>
      <w:r w:rsidRPr="00037370">
        <w:rPr>
          <w:rFonts w:ascii="Times New Roman" w:hAnsi="Times New Roman" w:cs="Times New Roman"/>
          <w:i/>
          <w:sz w:val="24"/>
          <w:szCs w:val="24"/>
        </w:rPr>
        <w:t>R1 – TRE-BA: Priorização inadequada de unidades a serem dimensionadas; e R9 - TRE-BA: Desatualização do DFT.</w:t>
      </w:r>
      <w:r w:rsidRPr="00037370">
        <w:rPr>
          <w:i/>
          <w:sz w:val="20"/>
          <w:szCs w:val="20"/>
        </w:rPr>
        <w:t xml:space="preserve"> </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sz w:val="24"/>
          <w:szCs w:val="24"/>
        </w:rPr>
      </w:pPr>
      <w:r w:rsidRPr="00F608EB">
        <w:rPr>
          <w:rFonts w:ascii="Times New Roman" w:hAnsi="Times New Roman" w:cs="Times New Roman"/>
          <w:i/>
          <w:sz w:val="24"/>
          <w:szCs w:val="24"/>
        </w:rPr>
        <w:t>Situação encontrada</w:t>
      </w:r>
      <w:r w:rsidRPr="00F608EB">
        <w:rPr>
          <w:rFonts w:ascii="Times New Roman" w:hAnsi="Times New Roman" w:cs="Times New Roman"/>
          <w:sz w:val="24"/>
          <w:szCs w:val="24"/>
        </w:rPr>
        <w:t>:</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193D3B">
        <w:rPr>
          <w:rFonts w:ascii="Times New Roman" w:hAnsi="Times New Roman" w:cs="Times New Roman"/>
          <w:sz w:val="24"/>
          <w:szCs w:val="24"/>
        </w:rPr>
        <w:t xml:space="preserve">Verificou-se que os trabalhos do Projeto de Dimensionamento da Força de Trabalho são realizados consoante cronograma estabelecido para as atividades do Projeto Gestão por Competências, observados os seguintes critérios: número de </w:t>
      </w:r>
      <w:r w:rsidRPr="00193D3B">
        <w:rPr>
          <w:rFonts w:ascii="Times New Roman" w:hAnsi="Times New Roman" w:cs="Times New Roman"/>
          <w:sz w:val="24"/>
          <w:szCs w:val="24"/>
        </w:rPr>
        <w:lastRenderedPageBreak/>
        <w:t>unidades integrantes da área a ser dimensionada de modo a compatibilizar o esforço com a capacidade operacional da área gestora do processo de trabalho; existência de recomendação de auditoria requerendo mapeamento de competências e/ou dimensionamento da força de trabalho de unidade específica em caráter prioritário; contexto de ano eleitoral e não eleitoral, de modo a não impactar unidades envolvidas em atividades preparatórias do pleito, em exercícios em que se realizam eleições; e situações críticas, a exemplo de unidades com quantitativo considerável de aposentáveis</w:t>
      </w:r>
      <w:r w:rsidRPr="00F608EB">
        <w:rPr>
          <w:rFonts w:ascii="Times New Roman" w:hAnsi="Times New Roman" w:cs="Times New Roman"/>
          <w:sz w:val="24"/>
          <w:szCs w:val="24"/>
        </w:rPr>
        <w:t xml:space="preserve">. </w:t>
      </w:r>
    </w:p>
    <w:p w:rsidR="00473149" w:rsidRPr="00F608EB" w:rsidRDefault="00473149" w:rsidP="00473149">
      <w:pPr>
        <w:numPr>
          <w:ilvl w:val="4"/>
          <w:numId w:val="1"/>
        </w:numPr>
        <w:spacing w:after="0" w:line="240" w:lineRule="auto"/>
        <w:jc w:val="both"/>
        <w:rPr>
          <w:rFonts w:ascii="Times New Roman" w:hAnsi="Times New Roman" w:cs="Times New Roman"/>
          <w:b/>
          <w:sz w:val="24"/>
          <w:szCs w:val="24"/>
        </w:rPr>
      </w:pPr>
      <w:r w:rsidRPr="00193D3B">
        <w:rPr>
          <w:rFonts w:ascii="Times New Roman" w:hAnsi="Times New Roman" w:cs="Times New Roman"/>
          <w:sz w:val="24"/>
          <w:szCs w:val="24"/>
        </w:rPr>
        <w:t>Da análise do cronograma de trabalhos apresentado pela SGP, verificou-se o seguinte escalonamento de unidades a serem mapeadas/dimensionadas, observado ciclo de vigência do Planejamento Estratégico institucional do TRE-BA: 2016 – SGP e COPEG; 2017 – SGA e SOF; 2018 – STI e SGS; 2019 – SAU, ASCEP, SCR, COELOG e Cartórios Eleitorais; 2020 – SJU e Gabinete de Juízes; e 2021 – EJE, Ouvidoria, ASJUR, ASSESD, DG, ASSESP e ASCOM</w:t>
      </w:r>
      <w:r w:rsidRPr="00F608EB">
        <w:rPr>
          <w:rFonts w:ascii="Times New Roman" w:hAnsi="Times New Roman" w:cs="Times New Roman"/>
          <w:sz w:val="24"/>
          <w:szCs w:val="24"/>
        </w:rPr>
        <w:t>.</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193D3B">
        <w:rPr>
          <w:rFonts w:ascii="Times New Roman" w:hAnsi="Times New Roman" w:cs="Times New Roman"/>
          <w:spacing w:val="-2"/>
          <w:sz w:val="24"/>
          <w:szCs w:val="24"/>
          <w:lang w:eastAsia="pt-BR"/>
        </w:rPr>
        <w:t xml:space="preserve">Registre-se que não se evidenciou, no referido cronograma, registro de reserva de tempo para a realização das atividades atinentes à revisão do mapeamento de competências e DFT apurado, em unidades já mapeadas/dimensionadas, observada periodicidade anual definida, notadamente em face de reduzida capacidade operacional </w:t>
      </w:r>
      <w:proofErr w:type="gramStart"/>
      <w:r w:rsidRPr="00193D3B">
        <w:rPr>
          <w:rFonts w:ascii="Times New Roman" w:hAnsi="Times New Roman" w:cs="Times New Roman"/>
          <w:spacing w:val="-2"/>
          <w:sz w:val="24"/>
          <w:szCs w:val="24"/>
          <w:lang w:eastAsia="pt-BR"/>
        </w:rPr>
        <w:t>da SEDES</w:t>
      </w:r>
      <w:proofErr w:type="gramEnd"/>
      <w:r w:rsidRPr="00193D3B">
        <w:rPr>
          <w:rFonts w:ascii="Times New Roman" w:hAnsi="Times New Roman" w:cs="Times New Roman"/>
          <w:spacing w:val="-2"/>
          <w:sz w:val="24"/>
          <w:szCs w:val="24"/>
          <w:lang w:eastAsia="pt-BR"/>
        </w:rPr>
        <w:t xml:space="preserve"> e utilização da mesma força de trabalho para realização das atividades de mapeamento/dimensionamento novo e revisão de mapeamento/dimensionamento já realizado</w:t>
      </w:r>
      <w:r w:rsidRPr="00F608EB">
        <w:rPr>
          <w:rFonts w:ascii="Times New Roman" w:hAnsi="Times New Roman" w:cs="Times New Roman"/>
          <w:sz w:val="24"/>
          <w:szCs w:val="24"/>
        </w:rPr>
        <w:t>.</w:t>
      </w:r>
    </w:p>
    <w:p w:rsidR="00473149" w:rsidRDefault="00473149" w:rsidP="00473149">
      <w:pPr>
        <w:numPr>
          <w:ilvl w:val="4"/>
          <w:numId w:val="1"/>
        </w:numPr>
        <w:spacing w:after="0" w:line="240" w:lineRule="auto"/>
        <w:jc w:val="both"/>
        <w:rPr>
          <w:rFonts w:ascii="Times New Roman" w:hAnsi="Times New Roman" w:cs="Times New Roman"/>
          <w:spacing w:val="-2"/>
          <w:sz w:val="24"/>
          <w:szCs w:val="24"/>
          <w:lang w:eastAsia="pt-BR"/>
        </w:rPr>
      </w:pPr>
      <w:r w:rsidRPr="00193D3B">
        <w:rPr>
          <w:rFonts w:ascii="Times New Roman" w:hAnsi="Times New Roman" w:cs="Times New Roman"/>
          <w:spacing w:val="-2"/>
          <w:sz w:val="24"/>
          <w:szCs w:val="24"/>
          <w:lang w:eastAsia="pt-BR"/>
        </w:rPr>
        <w:t>Examinados os registros de resultados de trabalhos realizados – Relatórios Conclusivos e de Recomendações ao DFT de unidades já dimensionadas –, constatou-se que as atividades relativas ao DFT da SGP (12 unidades operacionais) e COPEG (</w:t>
      </w:r>
      <w:proofErr w:type="gramStart"/>
      <w:r w:rsidRPr="00193D3B">
        <w:rPr>
          <w:rFonts w:ascii="Times New Roman" w:hAnsi="Times New Roman" w:cs="Times New Roman"/>
          <w:spacing w:val="-2"/>
          <w:sz w:val="24"/>
          <w:szCs w:val="24"/>
          <w:lang w:eastAsia="pt-BR"/>
        </w:rPr>
        <w:t>5</w:t>
      </w:r>
      <w:proofErr w:type="gramEnd"/>
      <w:r w:rsidRPr="00193D3B">
        <w:rPr>
          <w:rFonts w:ascii="Times New Roman" w:hAnsi="Times New Roman" w:cs="Times New Roman"/>
          <w:spacing w:val="-2"/>
          <w:sz w:val="24"/>
          <w:szCs w:val="24"/>
          <w:lang w:eastAsia="pt-BR"/>
        </w:rPr>
        <w:t xml:space="preserve"> unidades operacionais) se processaram no período compreendido entre 9/11/2016 e 12/6/2017, sendo o correspondente relatório emitido em 7/8/2017 (271 dias); bem como que as atividades desenvolvidas junto à SGA (12 unidades operacionais) e SOF (7 unidades operacionais) ocorreram entre 3/10/2017 e 4/5/2018, sendo o respectivo relatório expedido em 16/5/2018  (225 dias).</w:t>
      </w:r>
    </w:p>
    <w:p w:rsidR="00473149" w:rsidRDefault="00473149" w:rsidP="00473149">
      <w:pPr>
        <w:numPr>
          <w:ilvl w:val="4"/>
          <w:numId w:val="1"/>
        </w:numPr>
        <w:spacing w:after="0" w:line="240" w:lineRule="auto"/>
        <w:jc w:val="both"/>
        <w:rPr>
          <w:rFonts w:ascii="Times New Roman" w:hAnsi="Times New Roman" w:cs="Times New Roman"/>
          <w:spacing w:val="-2"/>
          <w:sz w:val="24"/>
          <w:szCs w:val="24"/>
          <w:lang w:eastAsia="pt-BR"/>
        </w:rPr>
      </w:pPr>
      <w:r w:rsidRPr="00193D3B">
        <w:rPr>
          <w:rFonts w:ascii="Times New Roman" w:hAnsi="Times New Roman" w:cs="Times New Roman"/>
          <w:spacing w:val="-2"/>
          <w:sz w:val="24"/>
          <w:szCs w:val="24"/>
          <w:lang w:eastAsia="pt-BR"/>
        </w:rPr>
        <w:t>O cotejo do tempo bruto de duração dos trabalhos com o quantitativo de unidades operacionais mapeadas/dimensionadas, por ciclo, desconsideradas Secretarias e Coordenadorias envolvidas, haja vista composição determinada pela estrutura organizacional do Tribunal (</w:t>
      </w:r>
      <w:proofErr w:type="gramStart"/>
      <w:r w:rsidRPr="00193D3B">
        <w:rPr>
          <w:rFonts w:ascii="Times New Roman" w:hAnsi="Times New Roman" w:cs="Times New Roman"/>
          <w:spacing w:val="-2"/>
          <w:sz w:val="24"/>
          <w:szCs w:val="24"/>
          <w:lang w:eastAsia="pt-BR"/>
        </w:rPr>
        <w:t>1</w:t>
      </w:r>
      <w:proofErr w:type="gramEnd"/>
      <w:r w:rsidRPr="00193D3B">
        <w:rPr>
          <w:rFonts w:ascii="Times New Roman" w:hAnsi="Times New Roman" w:cs="Times New Roman"/>
          <w:spacing w:val="-2"/>
          <w:sz w:val="24"/>
          <w:szCs w:val="24"/>
          <w:lang w:eastAsia="pt-BR"/>
        </w:rPr>
        <w:t xml:space="preserve"> Secretário e 1 Coordenador), percebe-se que o tempo de duração dos trabalhos tem variado entre 8 (primeiro ciclo, projeto piloto e com acompanhamento de consultoria especializada) e 7 meses (2º ciclo ainda acompanhado por empresa de consultoria contratada), denotando uma média de duração, considerado o último ciclo realizado, de 12 dias por unidade</w:t>
      </w:r>
      <w:r>
        <w:rPr>
          <w:rFonts w:ascii="Times New Roman" w:hAnsi="Times New Roman" w:cs="Times New Roman"/>
          <w:spacing w:val="-2"/>
          <w:sz w:val="24"/>
          <w:szCs w:val="24"/>
          <w:lang w:eastAsia="pt-BR"/>
        </w:rPr>
        <w:t>.</w:t>
      </w:r>
    </w:p>
    <w:p w:rsidR="00473149" w:rsidRPr="00193D3B" w:rsidRDefault="00473149" w:rsidP="00473149">
      <w:pPr>
        <w:numPr>
          <w:ilvl w:val="4"/>
          <w:numId w:val="1"/>
        </w:numPr>
        <w:spacing w:after="0" w:line="240" w:lineRule="auto"/>
        <w:jc w:val="both"/>
        <w:rPr>
          <w:rFonts w:ascii="Times New Roman" w:hAnsi="Times New Roman" w:cs="Times New Roman"/>
          <w:spacing w:val="-2"/>
          <w:sz w:val="24"/>
          <w:szCs w:val="24"/>
          <w:lang w:eastAsia="pt-BR"/>
        </w:rPr>
      </w:pPr>
      <w:r w:rsidRPr="00193D3B">
        <w:rPr>
          <w:rFonts w:ascii="Times New Roman" w:hAnsi="Times New Roman" w:cs="Times New Roman"/>
          <w:spacing w:val="-2"/>
          <w:sz w:val="24"/>
          <w:szCs w:val="24"/>
          <w:lang w:eastAsia="pt-BR"/>
        </w:rPr>
        <w:t xml:space="preserve">A projeção do referido tempo médio de duração nos ciclos a serem realizados, observado cenário de ausência de apoio de empresa de consultoria contratada, haja vista termo final de vigência do certame nº 26/2018, em 31/5/2018, necessidade de reserva de tempo, anualmente, para desenvolvimento de atividades atinentes à revisão do mapeamento e DFT apurado preteritamente, inexistência de sistema informatizado de suporte ao mapeamento de competências, ausência de </w:t>
      </w:r>
      <w:proofErr w:type="spellStart"/>
      <w:r w:rsidRPr="00193D3B">
        <w:rPr>
          <w:rFonts w:ascii="Times New Roman" w:hAnsi="Times New Roman" w:cs="Times New Roman"/>
          <w:spacing w:val="-2"/>
          <w:sz w:val="24"/>
          <w:szCs w:val="24"/>
          <w:lang w:eastAsia="pt-BR"/>
        </w:rPr>
        <w:t>manualização</w:t>
      </w:r>
      <w:proofErr w:type="spellEnd"/>
      <w:r w:rsidRPr="00193D3B">
        <w:rPr>
          <w:rFonts w:ascii="Times New Roman" w:hAnsi="Times New Roman" w:cs="Times New Roman"/>
          <w:spacing w:val="-2"/>
          <w:sz w:val="24"/>
          <w:szCs w:val="24"/>
          <w:lang w:eastAsia="pt-BR"/>
        </w:rPr>
        <w:t xml:space="preserve"> dos procedimentos pertinentes e reduzida capacidade operacional </w:t>
      </w:r>
      <w:proofErr w:type="gramStart"/>
      <w:r w:rsidRPr="00193D3B">
        <w:rPr>
          <w:rFonts w:ascii="Times New Roman" w:hAnsi="Times New Roman" w:cs="Times New Roman"/>
          <w:spacing w:val="-2"/>
          <w:sz w:val="24"/>
          <w:szCs w:val="24"/>
          <w:lang w:eastAsia="pt-BR"/>
        </w:rPr>
        <w:t>da SEDES</w:t>
      </w:r>
      <w:proofErr w:type="gramEnd"/>
      <w:r w:rsidRPr="00193D3B">
        <w:rPr>
          <w:rFonts w:ascii="Times New Roman" w:hAnsi="Times New Roman" w:cs="Times New Roman"/>
          <w:spacing w:val="-2"/>
          <w:sz w:val="24"/>
          <w:szCs w:val="24"/>
          <w:lang w:eastAsia="pt-BR"/>
        </w:rPr>
        <w:t xml:space="preserve"> – 1 Chefe de Seção e 3 servidores –, revela risco de não cumprimento do quanto planejado até 2021</w:t>
      </w:r>
      <w:r>
        <w:rPr>
          <w:sz w:val="20"/>
          <w:szCs w:val="20"/>
        </w:rPr>
        <w:t>.</w:t>
      </w:r>
    </w:p>
    <w:p w:rsidR="00473149" w:rsidRPr="00193D3B" w:rsidRDefault="00473149" w:rsidP="00473149">
      <w:pPr>
        <w:numPr>
          <w:ilvl w:val="4"/>
          <w:numId w:val="1"/>
        </w:numPr>
        <w:spacing w:after="0" w:line="240" w:lineRule="auto"/>
        <w:jc w:val="both"/>
        <w:rPr>
          <w:rFonts w:ascii="Times New Roman" w:hAnsi="Times New Roman" w:cs="Times New Roman"/>
          <w:spacing w:val="-2"/>
          <w:sz w:val="24"/>
          <w:szCs w:val="24"/>
          <w:lang w:eastAsia="pt-BR"/>
        </w:rPr>
      </w:pPr>
      <w:r w:rsidRPr="00193D3B">
        <w:rPr>
          <w:rFonts w:ascii="Times New Roman" w:hAnsi="Times New Roman" w:cs="Times New Roman"/>
          <w:spacing w:val="-2"/>
          <w:sz w:val="24"/>
          <w:szCs w:val="24"/>
          <w:lang w:eastAsia="pt-BR"/>
        </w:rPr>
        <w:t xml:space="preserve">Registre-se, adicionalmente, superveniência de reestruturação administrativa, no âmbito da Secretaria deste Regional, em 30/4/2018, que reorganizou, de forma significativa, a SGP, agregou novas competências a unidades operacionais da </w:t>
      </w:r>
      <w:r w:rsidRPr="00193D3B">
        <w:rPr>
          <w:rFonts w:ascii="Times New Roman" w:hAnsi="Times New Roman" w:cs="Times New Roman"/>
          <w:spacing w:val="-2"/>
          <w:sz w:val="24"/>
          <w:szCs w:val="24"/>
          <w:lang w:eastAsia="pt-BR"/>
        </w:rPr>
        <w:lastRenderedPageBreak/>
        <w:t xml:space="preserve">COPEG, alterou, ainda, a estrutura da SGA. A referida restruturação concorreu para a desatualização das conclusões do DFT apurado, no 1º ciclo, após </w:t>
      </w:r>
      <w:proofErr w:type="gramStart"/>
      <w:r w:rsidRPr="00193D3B">
        <w:rPr>
          <w:rFonts w:ascii="Times New Roman" w:hAnsi="Times New Roman" w:cs="Times New Roman"/>
          <w:spacing w:val="-2"/>
          <w:sz w:val="24"/>
          <w:szCs w:val="24"/>
          <w:lang w:eastAsia="pt-BR"/>
        </w:rPr>
        <w:t>8</w:t>
      </w:r>
      <w:proofErr w:type="gramEnd"/>
      <w:r w:rsidRPr="00193D3B">
        <w:rPr>
          <w:rFonts w:ascii="Times New Roman" w:hAnsi="Times New Roman" w:cs="Times New Roman"/>
          <w:spacing w:val="-2"/>
          <w:sz w:val="24"/>
          <w:szCs w:val="24"/>
          <w:lang w:eastAsia="pt-BR"/>
        </w:rPr>
        <w:t xml:space="preserve"> meses da emissão do relatório conclusivo, reduzindo, assim,  o tempo de utilização dos resultados apurados. No que tange ao 2º ciclo, a superveniência da reestruturação, ainda no curso dos trabalhos, tende a prejudicar a efetiva utilização de informações decorrentes, não obstante tempo, esforço e custos dispendidos</w:t>
      </w:r>
      <w:r>
        <w:rPr>
          <w:rFonts w:ascii="Times New Roman" w:hAnsi="Times New Roman" w:cs="Times New Roman"/>
          <w:spacing w:val="-2"/>
          <w:sz w:val="24"/>
          <w:szCs w:val="24"/>
          <w:lang w:eastAsia="pt-BR"/>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sz w:val="24"/>
          <w:szCs w:val="24"/>
        </w:rPr>
      </w:pPr>
      <w:r w:rsidRPr="00F608EB">
        <w:rPr>
          <w:rFonts w:ascii="Times New Roman" w:hAnsi="Times New Roman" w:cs="Times New Roman"/>
          <w:i/>
          <w:sz w:val="24"/>
          <w:szCs w:val="24"/>
        </w:rPr>
        <w:t>Critério(s)</w:t>
      </w:r>
      <w:r w:rsidRPr="00F608EB">
        <w:rPr>
          <w:rFonts w:ascii="Times New Roman" w:hAnsi="Times New Roman" w:cs="Times New Roman"/>
          <w:sz w:val="24"/>
          <w:szCs w:val="24"/>
        </w:rPr>
        <w:t xml:space="preserve">: </w:t>
      </w:r>
      <w:r w:rsidRPr="00F608EB">
        <w:rPr>
          <w:rFonts w:ascii="Times New Roman" w:hAnsi="Times New Roman" w:cs="Times New Roman"/>
          <w:sz w:val="24"/>
          <w:szCs w:val="24"/>
        </w:rPr>
        <w:tab/>
      </w:r>
    </w:p>
    <w:p w:rsidR="00473149" w:rsidRPr="002808EC" w:rsidRDefault="00473149" w:rsidP="00473149">
      <w:pPr>
        <w:numPr>
          <w:ilvl w:val="4"/>
          <w:numId w:val="1"/>
        </w:numPr>
        <w:spacing w:after="0" w:line="240" w:lineRule="auto"/>
        <w:jc w:val="both"/>
        <w:rPr>
          <w:rFonts w:ascii="Times New Roman" w:hAnsi="Times New Roman" w:cs="Times New Roman"/>
          <w:spacing w:val="-6"/>
          <w:sz w:val="24"/>
          <w:szCs w:val="24"/>
          <w:lang w:eastAsia="pt-BR"/>
        </w:rPr>
      </w:pPr>
      <w:r w:rsidRPr="002808EC">
        <w:rPr>
          <w:rFonts w:ascii="Times New Roman" w:hAnsi="Times New Roman" w:cs="Times New Roman"/>
          <w:spacing w:val="-6"/>
          <w:sz w:val="24"/>
          <w:szCs w:val="24"/>
          <w:lang w:eastAsia="pt-BR"/>
        </w:rPr>
        <w:t xml:space="preserve">Constituição Federal Brasileira de 1988, art. 37 (princípio da eficiência); Resolução CNJ nº 240/2016, </w:t>
      </w:r>
      <w:proofErr w:type="spellStart"/>
      <w:r w:rsidRPr="002808EC">
        <w:rPr>
          <w:rFonts w:ascii="Times New Roman" w:hAnsi="Times New Roman" w:cs="Times New Roman"/>
          <w:spacing w:val="-6"/>
          <w:sz w:val="24"/>
          <w:szCs w:val="24"/>
          <w:lang w:eastAsia="pt-BR"/>
        </w:rPr>
        <w:t>arts</w:t>
      </w:r>
      <w:proofErr w:type="spellEnd"/>
      <w:r w:rsidRPr="002808EC">
        <w:rPr>
          <w:rFonts w:ascii="Times New Roman" w:hAnsi="Times New Roman" w:cs="Times New Roman"/>
          <w:spacing w:val="-6"/>
          <w:sz w:val="24"/>
          <w:szCs w:val="24"/>
          <w:lang w:eastAsia="pt-BR"/>
        </w:rPr>
        <w:t xml:space="preserve">. </w:t>
      </w:r>
      <w:proofErr w:type="gramStart"/>
      <w:r w:rsidRPr="002808EC">
        <w:rPr>
          <w:rFonts w:ascii="Times New Roman" w:hAnsi="Times New Roman" w:cs="Times New Roman"/>
          <w:spacing w:val="-6"/>
          <w:sz w:val="24"/>
          <w:szCs w:val="24"/>
          <w:lang w:eastAsia="pt-BR"/>
        </w:rPr>
        <w:t>3º, V</w:t>
      </w:r>
      <w:proofErr w:type="gramEnd"/>
      <w:r w:rsidRPr="002808EC">
        <w:rPr>
          <w:rFonts w:ascii="Times New Roman" w:hAnsi="Times New Roman" w:cs="Times New Roman"/>
          <w:spacing w:val="-6"/>
          <w:sz w:val="24"/>
          <w:szCs w:val="24"/>
          <w:lang w:eastAsia="pt-BR"/>
        </w:rPr>
        <w:t xml:space="preserve"> e VI, 4º, IX, e 5º, III; Resolução Administrativa TRE-BA nº 12/2017 (Política de Gestão de Pessoas do TRE-BA), </w:t>
      </w:r>
      <w:proofErr w:type="spellStart"/>
      <w:r w:rsidRPr="002808EC">
        <w:rPr>
          <w:rFonts w:ascii="Times New Roman" w:hAnsi="Times New Roman" w:cs="Times New Roman"/>
          <w:spacing w:val="-6"/>
          <w:sz w:val="24"/>
          <w:szCs w:val="24"/>
          <w:lang w:eastAsia="pt-BR"/>
        </w:rPr>
        <w:t>arts</w:t>
      </w:r>
      <w:proofErr w:type="spellEnd"/>
      <w:r w:rsidRPr="002808EC">
        <w:rPr>
          <w:rFonts w:ascii="Times New Roman" w:hAnsi="Times New Roman" w:cs="Times New Roman"/>
          <w:spacing w:val="-6"/>
          <w:sz w:val="24"/>
          <w:szCs w:val="24"/>
          <w:lang w:eastAsia="pt-BR"/>
        </w:rPr>
        <w:t xml:space="preserve">. 2º, II, 4º, V, e 5º, III e IV; Resolução Administrativa do TRE-BA nº 12/2018 (Regulamento Interno da Secretaria do Tribunal), </w:t>
      </w:r>
      <w:proofErr w:type="spellStart"/>
      <w:r w:rsidRPr="002808EC">
        <w:rPr>
          <w:rFonts w:ascii="Times New Roman" w:hAnsi="Times New Roman" w:cs="Times New Roman"/>
          <w:spacing w:val="-6"/>
          <w:sz w:val="24"/>
          <w:szCs w:val="24"/>
          <w:lang w:eastAsia="pt-BR"/>
        </w:rPr>
        <w:t>arts</w:t>
      </w:r>
      <w:proofErr w:type="spellEnd"/>
      <w:r w:rsidRPr="002808EC">
        <w:rPr>
          <w:rFonts w:ascii="Times New Roman" w:hAnsi="Times New Roman" w:cs="Times New Roman"/>
          <w:spacing w:val="-6"/>
          <w:sz w:val="24"/>
          <w:szCs w:val="24"/>
          <w:lang w:eastAsia="pt-BR"/>
        </w:rPr>
        <w:t xml:space="preserve">. 55, 65, II e X e 67, VII; Resolução Administrativa do TRE-BA nº 15/2018 (Sistema de Governança e Gestão do TRE-BA), </w:t>
      </w:r>
      <w:proofErr w:type="spellStart"/>
      <w:r w:rsidRPr="002808EC">
        <w:rPr>
          <w:rFonts w:ascii="Times New Roman" w:hAnsi="Times New Roman" w:cs="Times New Roman"/>
          <w:spacing w:val="-6"/>
          <w:sz w:val="24"/>
          <w:szCs w:val="24"/>
          <w:lang w:eastAsia="pt-BR"/>
        </w:rPr>
        <w:t>arts</w:t>
      </w:r>
      <w:proofErr w:type="spellEnd"/>
      <w:r w:rsidRPr="002808EC">
        <w:rPr>
          <w:rFonts w:ascii="Times New Roman" w:hAnsi="Times New Roman" w:cs="Times New Roman"/>
          <w:spacing w:val="-6"/>
          <w:sz w:val="24"/>
          <w:szCs w:val="24"/>
          <w:lang w:eastAsia="pt-BR"/>
        </w:rPr>
        <w:t xml:space="preserve">. </w:t>
      </w:r>
      <w:proofErr w:type="gramStart"/>
      <w:r w:rsidRPr="002808EC">
        <w:rPr>
          <w:rFonts w:ascii="Times New Roman" w:hAnsi="Times New Roman" w:cs="Times New Roman"/>
          <w:spacing w:val="-6"/>
          <w:sz w:val="24"/>
          <w:szCs w:val="24"/>
          <w:lang w:eastAsia="pt-BR"/>
        </w:rPr>
        <w:t>nº</w:t>
      </w:r>
      <w:proofErr w:type="gramEnd"/>
      <w:r w:rsidRPr="002808EC">
        <w:rPr>
          <w:rFonts w:ascii="Times New Roman" w:hAnsi="Times New Roman" w:cs="Times New Roman"/>
          <w:spacing w:val="-6"/>
          <w:sz w:val="24"/>
          <w:szCs w:val="24"/>
          <w:lang w:eastAsia="pt-BR"/>
        </w:rPr>
        <w:t xml:space="preserve"> 3º, IV, e 6º, IV; Resolução Administrativa TRE-BA nº 18/2018 (Política de Gestão de Pessoas de TIC), </w:t>
      </w:r>
      <w:proofErr w:type="spellStart"/>
      <w:r w:rsidRPr="002808EC">
        <w:rPr>
          <w:rFonts w:ascii="Times New Roman" w:hAnsi="Times New Roman" w:cs="Times New Roman"/>
          <w:spacing w:val="-6"/>
          <w:sz w:val="24"/>
          <w:szCs w:val="24"/>
          <w:lang w:eastAsia="pt-BR"/>
        </w:rPr>
        <w:t>arts</w:t>
      </w:r>
      <w:proofErr w:type="spellEnd"/>
      <w:r w:rsidRPr="002808EC">
        <w:rPr>
          <w:rFonts w:ascii="Times New Roman" w:hAnsi="Times New Roman" w:cs="Times New Roman"/>
          <w:spacing w:val="-6"/>
          <w:sz w:val="24"/>
          <w:szCs w:val="24"/>
          <w:lang w:eastAsia="pt-BR"/>
        </w:rPr>
        <w:t>. 2º, V, 3º, I, e 4º; e Acórdão TCU nº 1172/2015, subitens 9.1.8, 9.1.9 e 9.1.10.</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Causa(s):</w:t>
      </w:r>
    </w:p>
    <w:p w:rsidR="00473149" w:rsidRPr="00193D3B" w:rsidRDefault="00473149" w:rsidP="00473149">
      <w:pPr>
        <w:numPr>
          <w:ilvl w:val="4"/>
          <w:numId w:val="1"/>
        </w:numPr>
        <w:spacing w:after="0" w:line="240" w:lineRule="auto"/>
        <w:jc w:val="both"/>
        <w:rPr>
          <w:rFonts w:ascii="Times New Roman" w:hAnsi="Times New Roman" w:cs="Times New Roman"/>
          <w:spacing w:val="-2"/>
          <w:sz w:val="24"/>
          <w:szCs w:val="24"/>
        </w:rPr>
      </w:pPr>
      <w:r w:rsidRPr="00193D3B">
        <w:rPr>
          <w:rFonts w:ascii="Times New Roman" w:hAnsi="Times New Roman" w:cs="Times New Roman"/>
          <w:spacing w:val="-2"/>
          <w:sz w:val="24"/>
          <w:szCs w:val="24"/>
        </w:rPr>
        <w:t xml:space="preserve">Incipiente cultura organizacional em orientação para resultados; incipiente cultura organizacional em planejamento da força de trabalho em alinhamento com </w:t>
      </w:r>
      <w:proofErr w:type="gramStart"/>
      <w:r w:rsidRPr="00193D3B">
        <w:rPr>
          <w:rFonts w:ascii="Times New Roman" w:hAnsi="Times New Roman" w:cs="Times New Roman"/>
          <w:spacing w:val="-2"/>
          <w:sz w:val="24"/>
          <w:szCs w:val="24"/>
        </w:rPr>
        <w:t>macro diretrizes organizacionais</w:t>
      </w:r>
      <w:proofErr w:type="gramEnd"/>
      <w:r w:rsidRPr="00193D3B">
        <w:rPr>
          <w:rFonts w:ascii="Times New Roman" w:hAnsi="Times New Roman" w:cs="Times New Roman"/>
          <w:spacing w:val="-2"/>
          <w:sz w:val="24"/>
          <w:szCs w:val="24"/>
        </w:rPr>
        <w:t xml:space="preserve"> (estratégia, cadeia de valor, atividades finalísticas etc.); inc</w:t>
      </w:r>
      <w:r>
        <w:rPr>
          <w:rFonts w:ascii="Times New Roman" w:hAnsi="Times New Roman" w:cs="Times New Roman"/>
          <w:spacing w:val="-2"/>
          <w:sz w:val="24"/>
          <w:szCs w:val="24"/>
        </w:rPr>
        <w:t xml:space="preserve">ipiente cultura organizacional </w:t>
      </w:r>
      <w:r w:rsidRPr="00193D3B">
        <w:rPr>
          <w:rFonts w:ascii="Times New Roman" w:hAnsi="Times New Roman" w:cs="Times New Roman"/>
          <w:spacing w:val="-2"/>
          <w:sz w:val="24"/>
          <w:szCs w:val="24"/>
        </w:rPr>
        <w:t>em gerenciamento de riscos, notadamente no que tange à continuidade do negócio; recente formalização de política de gestão de pessoas, contemplando diretrizes relacionadas ao dimensionamento da força de trabalho, no âmbito organizacional.</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Efeito(s) (real e/ou potencial):</w:t>
      </w:r>
    </w:p>
    <w:p w:rsidR="00473149" w:rsidRPr="00F608EB" w:rsidRDefault="00473149" w:rsidP="00473149">
      <w:pPr>
        <w:numPr>
          <w:ilvl w:val="4"/>
          <w:numId w:val="1"/>
        </w:numPr>
        <w:spacing w:after="0" w:line="240" w:lineRule="auto"/>
        <w:jc w:val="both"/>
        <w:rPr>
          <w:rFonts w:ascii="Times New Roman" w:hAnsi="Times New Roman" w:cs="Times New Roman"/>
          <w:i/>
          <w:spacing w:val="-2"/>
          <w:sz w:val="24"/>
          <w:szCs w:val="24"/>
        </w:rPr>
      </w:pPr>
      <w:r w:rsidRPr="00193D3B">
        <w:rPr>
          <w:rFonts w:ascii="Times New Roman" w:hAnsi="Times New Roman" w:cs="Times New Roman"/>
          <w:bCs/>
          <w:spacing w:val="-2"/>
          <w:sz w:val="24"/>
          <w:szCs w:val="24"/>
        </w:rPr>
        <w:t xml:space="preserve">Comprometimento da concretização da missão e alcance da </w:t>
      </w:r>
      <w:proofErr w:type="gramStart"/>
      <w:r w:rsidRPr="00193D3B">
        <w:rPr>
          <w:rFonts w:ascii="Times New Roman" w:hAnsi="Times New Roman" w:cs="Times New Roman"/>
          <w:bCs/>
          <w:spacing w:val="-2"/>
          <w:sz w:val="24"/>
          <w:szCs w:val="24"/>
        </w:rPr>
        <w:t>visão de futuro organizacionais</w:t>
      </w:r>
      <w:proofErr w:type="gramEnd"/>
      <w:r w:rsidRPr="00193D3B">
        <w:rPr>
          <w:rFonts w:ascii="Times New Roman" w:hAnsi="Times New Roman" w:cs="Times New Roman"/>
          <w:bCs/>
          <w:spacing w:val="-2"/>
          <w:sz w:val="24"/>
          <w:szCs w:val="24"/>
        </w:rPr>
        <w:t>, observado ciclo de vigência definido; comprometimento da celeridade e qualidade de entregas, notadamente de Unidades que desenvolvem atividades estratégicas ou finalísticas; e comprometimento da capacidade da instituição em gerar resultados e benefícios para a sociedade.</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Evidência(s):</w:t>
      </w:r>
    </w:p>
    <w:p w:rsidR="00473149" w:rsidRPr="006C1774" w:rsidRDefault="00473149" w:rsidP="00473149">
      <w:pPr>
        <w:numPr>
          <w:ilvl w:val="4"/>
          <w:numId w:val="1"/>
        </w:numPr>
        <w:spacing w:after="0" w:line="240" w:lineRule="auto"/>
        <w:jc w:val="both"/>
        <w:rPr>
          <w:rFonts w:ascii="Times New Roman" w:hAnsi="Times New Roman" w:cs="Times New Roman"/>
          <w:bCs/>
          <w:spacing w:val="-2"/>
          <w:sz w:val="24"/>
          <w:szCs w:val="24"/>
        </w:rPr>
      </w:pPr>
      <w:r w:rsidRPr="006C1774">
        <w:rPr>
          <w:rFonts w:ascii="Times New Roman" w:hAnsi="Times New Roman" w:cs="Times New Roman"/>
          <w:bCs/>
          <w:spacing w:val="-2"/>
          <w:sz w:val="24"/>
          <w:szCs w:val="24"/>
        </w:rPr>
        <w:t xml:space="preserve">Planejamento Estratégico do TRE-BA – 2016-2021 (Resolução Administrativa TRE-BA nº 14/2015); respostas da SGP às </w:t>
      </w:r>
      <w:proofErr w:type="spellStart"/>
      <w:r w:rsidRPr="006C1774">
        <w:rPr>
          <w:rFonts w:ascii="Times New Roman" w:hAnsi="Times New Roman" w:cs="Times New Roman"/>
          <w:bCs/>
          <w:spacing w:val="-2"/>
          <w:sz w:val="24"/>
          <w:szCs w:val="24"/>
        </w:rPr>
        <w:t>RDIs</w:t>
      </w:r>
      <w:proofErr w:type="spellEnd"/>
      <w:r w:rsidRPr="006C1774">
        <w:rPr>
          <w:rFonts w:ascii="Times New Roman" w:hAnsi="Times New Roman" w:cs="Times New Roman"/>
          <w:bCs/>
          <w:spacing w:val="-2"/>
          <w:sz w:val="24"/>
          <w:szCs w:val="24"/>
        </w:rPr>
        <w:t xml:space="preserve"> nº 15/2018 (PAD nº 4180/2018, Docs. nº 57.597 e 75.735/2018) e 34/2018 </w:t>
      </w:r>
      <w:proofErr w:type="gramStart"/>
      <w:r w:rsidRPr="006C1774">
        <w:rPr>
          <w:rFonts w:ascii="Times New Roman" w:hAnsi="Times New Roman" w:cs="Times New Roman"/>
          <w:bCs/>
          <w:spacing w:val="-2"/>
          <w:sz w:val="24"/>
          <w:szCs w:val="24"/>
        </w:rPr>
        <w:t>(PAD nº 8252/2018, Doc.</w:t>
      </w:r>
      <w:proofErr w:type="gramEnd"/>
      <w:r w:rsidRPr="006C1774">
        <w:rPr>
          <w:rFonts w:ascii="Times New Roman" w:hAnsi="Times New Roman" w:cs="Times New Roman"/>
          <w:bCs/>
          <w:spacing w:val="-2"/>
          <w:sz w:val="24"/>
          <w:szCs w:val="24"/>
        </w:rPr>
        <w:t xml:space="preserve"> nº 110.620/2018 e cronograma de trabalhos do Projeto Gestão por Competências 2016-2021; ata da reunião para elaboração do mapa do processo de DFT (PAD nº 4181/2018, Doc. nº 126.391/2018); e Contratos Leme Consultoria (</w:t>
      </w:r>
      <w:proofErr w:type="spellStart"/>
      <w:r w:rsidRPr="006C1774">
        <w:rPr>
          <w:rFonts w:ascii="Times New Roman" w:hAnsi="Times New Roman" w:cs="Times New Roman"/>
          <w:bCs/>
          <w:spacing w:val="-2"/>
          <w:sz w:val="24"/>
          <w:szCs w:val="24"/>
        </w:rPr>
        <w:t>PADs</w:t>
      </w:r>
      <w:proofErr w:type="spellEnd"/>
      <w:r w:rsidRPr="006C1774">
        <w:rPr>
          <w:rFonts w:ascii="Times New Roman" w:hAnsi="Times New Roman" w:cs="Times New Roman"/>
          <w:bCs/>
          <w:spacing w:val="-2"/>
          <w:sz w:val="24"/>
          <w:szCs w:val="24"/>
        </w:rPr>
        <w:t xml:space="preserve"> nº 13.718/2016 e 10.735/2017).</w:t>
      </w:r>
    </w:p>
    <w:p w:rsidR="00473149" w:rsidRPr="00CB5533"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CB5533">
        <w:rPr>
          <w:rFonts w:ascii="Times New Roman" w:hAnsi="Times New Roman" w:cs="Times New Roman"/>
          <w:i/>
          <w:sz w:val="24"/>
          <w:szCs w:val="24"/>
        </w:rPr>
        <w:t>Esclarecimentos dos responsáveis:</w:t>
      </w:r>
    </w:p>
    <w:p w:rsidR="00473149" w:rsidRPr="00937414" w:rsidRDefault="00473149" w:rsidP="00473149">
      <w:pPr>
        <w:numPr>
          <w:ilvl w:val="4"/>
          <w:numId w:val="1"/>
        </w:numPr>
        <w:spacing w:after="0" w:line="240" w:lineRule="auto"/>
        <w:jc w:val="both"/>
        <w:rPr>
          <w:rFonts w:ascii="Times New Roman" w:hAnsi="Times New Roman" w:cs="Times New Roman"/>
          <w:bCs/>
          <w:spacing w:val="-2"/>
          <w:sz w:val="24"/>
          <w:szCs w:val="24"/>
        </w:rPr>
      </w:pPr>
      <w:r w:rsidRPr="00937414">
        <w:rPr>
          <w:rFonts w:ascii="Times New Roman" w:hAnsi="Times New Roman" w:cs="Times New Roman"/>
          <w:bCs/>
          <w:spacing w:val="-2"/>
          <w:sz w:val="24"/>
          <w:szCs w:val="24"/>
        </w:rPr>
        <w:t xml:space="preserve">Em resposta à RDI nº 39/2018 (PAD nº 10.441/2018, Doc. nº 138.402/2018), a SGP esclareceu que, apesar de reconhecer a importância, a necessidade e a urgência do DFT, o quadro reduzido de servidores do Órgão não permite um incremento imediato do quadro de pessoal </w:t>
      </w:r>
      <w:proofErr w:type="gramStart"/>
      <w:r w:rsidRPr="00937414">
        <w:rPr>
          <w:rFonts w:ascii="Times New Roman" w:hAnsi="Times New Roman" w:cs="Times New Roman"/>
          <w:bCs/>
          <w:spacing w:val="-2"/>
          <w:sz w:val="24"/>
          <w:szCs w:val="24"/>
        </w:rPr>
        <w:t>da SEDES</w:t>
      </w:r>
      <w:proofErr w:type="gramEnd"/>
      <w:r w:rsidRPr="00937414">
        <w:rPr>
          <w:rFonts w:ascii="Times New Roman" w:hAnsi="Times New Roman" w:cs="Times New Roman"/>
          <w:bCs/>
          <w:spacing w:val="-2"/>
          <w:sz w:val="24"/>
          <w:szCs w:val="24"/>
        </w:rPr>
        <w:t xml:space="preserve">. </w:t>
      </w:r>
    </w:p>
    <w:p w:rsidR="00473149" w:rsidRPr="00937414" w:rsidRDefault="00473149" w:rsidP="00473149">
      <w:pPr>
        <w:numPr>
          <w:ilvl w:val="4"/>
          <w:numId w:val="1"/>
        </w:numPr>
        <w:spacing w:after="0" w:line="240" w:lineRule="auto"/>
        <w:jc w:val="both"/>
        <w:rPr>
          <w:rFonts w:ascii="Times New Roman" w:hAnsi="Times New Roman" w:cs="Times New Roman"/>
          <w:bCs/>
          <w:spacing w:val="-2"/>
          <w:sz w:val="24"/>
          <w:szCs w:val="24"/>
        </w:rPr>
      </w:pPr>
      <w:r w:rsidRPr="00937414">
        <w:rPr>
          <w:rFonts w:ascii="Times New Roman" w:hAnsi="Times New Roman" w:cs="Times New Roman"/>
          <w:bCs/>
          <w:spacing w:val="-2"/>
          <w:sz w:val="24"/>
          <w:szCs w:val="24"/>
        </w:rPr>
        <w:t xml:space="preserve">Acrescentou que esse trabalho era anteriormente realizado pelo Comitê de Desenvolvimento Organizacional (Portaria Presidência nº 522/2016), composto por </w:t>
      </w:r>
      <w:proofErr w:type="gramStart"/>
      <w:r w:rsidRPr="00937414">
        <w:rPr>
          <w:rFonts w:ascii="Times New Roman" w:hAnsi="Times New Roman" w:cs="Times New Roman"/>
          <w:bCs/>
          <w:spacing w:val="-2"/>
          <w:sz w:val="24"/>
          <w:szCs w:val="24"/>
        </w:rPr>
        <w:t>7</w:t>
      </w:r>
      <w:proofErr w:type="gramEnd"/>
      <w:r w:rsidRPr="00937414">
        <w:rPr>
          <w:rFonts w:ascii="Times New Roman" w:hAnsi="Times New Roman" w:cs="Times New Roman"/>
          <w:bCs/>
          <w:spacing w:val="-2"/>
          <w:sz w:val="24"/>
          <w:szCs w:val="24"/>
        </w:rPr>
        <w:t xml:space="preserve"> servidores. Informou, também, que a SEDES possui </w:t>
      </w:r>
      <w:proofErr w:type="gramStart"/>
      <w:r w:rsidRPr="00937414">
        <w:rPr>
          <w:rFonts w:ascii="Times New Roman" w:hAnsi="Times New Roman" w:cs="Times New Roman"/>
          <w:bCs/>
          <w:spacing w:val="-2"/>
          <w:sz w:val="24"/>
          <w:szCs w:val="24"/>
        </w:rPr>
        <w:t>4</w:t>
      </w:r>
      <w:proofErr w:type="gramEnd"/>
      <w:r w:rsidRPr="00937414">
        <w:rPr>
          <w:rFonts w:ascii="Times New Roman" w:hAnsi="Times New Roman" w:cs="Times New Roman"/>
          <w:bCs/>
          <w:spacing w:val="-2"/>
          <w:sz w:val="24"/>
          <w:szCs w:val="24"/>
        </w:rPr>
        <w:t xml:space="preserve"> servidores, incluindo a chefe da unidade, o que impacta na sua capacidade operacional. Salientou que, mesmo que a unidade gestora do processo volte a contar com </w:t>
      </w:r>
      <w:proofErr w:type="gramStart"/>
      <w:r w:rsidRPr="00937414">
        <w:rPr>
          <w:rFonts w:ascii="Times New Roman" w:hAnsi="Times New Roman" w:cs="Times New Roman"/>
          <w:bCs/>
          <w:spacing w:val="-2"/>
          <w:sz w:val="24"/>
          <w:szCs w:val="24"/>
        </w:rPr>
        <w:t>7</w:t>
      </w:r>
      <w:proofErr w:type="gramEnd"/>
      <w:r w:rsidRPr="00937414">
        <w:rPr>
          <w:rFonts w:ascii="Times New Roman" w:hAnsi="Times New Roman" w:cs="Times New Roman"/>
          <w:bCs/>
          <w:spacing w:val="-2"/>
          <w:sz w:val="24"/>
          <w:szCs w:val="24"/>
        </w:rPr>
        <w:t xml:space="preserve"> servidores, não há como prepará-los para ter o grau de conhecimento e amadurecimento técnico necessário para realização das atividades relativas ao DFT, no prazo estipulado </w:t>
      </w:r>
      <w:r w:rsidRPr="00937414">
        <w:rPr>
          <w:rFonts w:ascii="Times New Roman" w:hAnsi="Times New Roman" w:cs="Times New Roman"/>
          <w:bCs/>
          <w:spacing w:val="-2"/>
          <w:sz w:val="24"/>
          <w:szCs w:val="24"/>
        </w:rPr>
        <w:lastRenderedPageBreak/>
        <w:t xml:space="preserve">(primeira metade do ciclo do planejamento estratégico), conforme registrado na RAE ocorrida em 14 de julho do corrente ano. </w:t>
      </w:r>
    </w:p>
    <w:p w:rsidR="00473149" w:rsidRPr="00937414" w:rsidRDefault="00473149" w:rsidP="00473149">
      <w:pPr>
        <w:numPr>
          <w:ilvl w:val="4"/>
          <w:numId w:val="1"/>
        </w:numPr>
        <w:spacing w:after="0" w:line="240" w:lineRule="auto"/>
        <w:jc w:val="both"/>
        <w:rPr>
          <w:rFonts w:ascii="Times New Roman" w:hAnsi="Times New Roman" w:cs="Times New Roman"/>
          <w:bCs/>
          <w:spacing w:val="-2"/>
          <w:sz w:val="24"/>
          <w:szCs w:val="24"/>
        </w:rPr>
      </w:pPr>
      <w:r w:rsidRPr="00937414">
        <w:rPr>
          <w:rFonts w:ascii="Times New Roman" w:hAnsi="Times New Roman" w:cs="Times New Roman"/>
          <w:bCs/>
          <w:spacing w:val="-2"/>
          <w:sz w:val="24"/>
          <w:szCs w:val="24"/>
        </w:rPr>
        <w:t xml:space="preserve">Com relação à realização de estudos e apresentação de proposta com medidas destinadas a contornar a reduzida capacidade operacional da unidade de modo a assegurar o DFT de todas as unidades administrativas e judiciárias do TRE-BA, garantiu para dezembro de 2018 a </w:t>
      </w:r>
      <w:proofErr w:type="spellStart"/>
      <w:r w:rsidRPr="00937414">
        <w:rPr>
          <w:rFonts w:ascii="Times New Roman" w:hAnsi="Times New Roman" w:cs="Times New Roman"/>
          <w:bCs/>
          <w:spacing w:val="-2"/>
          <w:sz w:val="24"/>
          <w:szCs w:val="24"/>
        </w:rPr>
        <w:t>manualização</w:t>
      </w:r>
      <w:proofErr w:type="spellEnd"/>
      <w:r w:rsidRPr="00937414">
        <w:rPr>
          <w:rFonts w:ascii="Times New Roman" w:hAnsi="Times New Roman" w:cs="Times New Roman"/>
          <w:bCs/>
          <w:spacing w:val="-2"/>
          <w:sz w:val="24"/>
          <w:szCs w:val="24"/>
        </w:rPr>
        <w:t xml:space="preserve"> das rotinas e procedimentos e o incremento do quadro da unidade gestora do processo de trabalho. </w:t>
      </w:r>
    </w:p>
    <w:p w:rsidR="00473149" w:rsidRPr="00937414" w:rsidRDefault="00473149" w:rsidP="00473149">
      <w:pPr>
        <w:numPr>
          <w:ilvl w:val="4"/>
          <w:numId w:val="1"/>
        </w:numPr>
        <w:spacing w:after="0" w:line="240" w:lineRule="auto"/>
        <w:jc w:val="both"/>
        <w:rPr>
          <w:rFonts w:ascii="Times New Roman" w:hAnsi="Times New Roman" w:cs="Times New Roman"/>
          <w:bCs/>
          <w:spacing w:val="-2"/>
          <w:sz w:val="24"/>
          <w:szCs w:val="24"/>
        </w:rPr>
      </w:pPr>
      <w:r w:rsidRPr="00937414">
        <w:rPr>
          <w:rFonts w:ascii="Times New Roman" w:hAnsi="Times New Roman" w:cs="Times New Roman"/>
          <w:bCs/>
          <w:spacing w:val="-2"/>
          <w:sz w:val="24"/>
          <w:szCs w:val="24"/>
        </w:rPr>
        <w:t xml:space="preserve">Ponderou, entretanto, que o conhecimento e o amadurecimento técnico dessa equipe adicionada não são possíveis em um curto espaço de tempo, sendo necessária, para alcançar o aludido amadurecimento, a participação da nova equipe em, pelo menos, um ciclo completo. </w:t>
      </w:r>
    </w:p>
    <w:p w:rsidR="00473149" w:rsidRPr="00937414" w:rsidRDefault="00473149" w:rsidP="00473149">
      <w:pPr>
        <w:numPr>
          <w:ilvl w:val="4"/>
          <w:numId w:val="1"/>
        </w:numPr>
        <w:spacing w:after="0" w:line="240" w:lineRule="auto"/>
        <w:jc w:val="both"/>
        <w:rPr>
          <w:rFonts w:ascii="Times New Roman" w:hAnsi="Times New Roman" w:cs="Times New Roman"/>
          <w:bCs/>
          <w:spacing w:val="-2"/>
          <w:sz w:val="24"/>
          <w:szCs w:val="24"/>
        </w:rPr>
      </w:pPr>
      <w:r w:rsidRPr="00937414">
        <w:rPr>
          <w:rFonts w:ascii="Times New Roman" w:hAnsi="Times New Roman" w:cs="Times New Roman"/>
          <w:bCs/>
          <w:spacing w:val="-2"/>
          <w:sz w:val="24"/>
          <w:szCs w:val="24"/>
        </w:rPr>
        <w:t xml:space="preserve">Quanto à recomendação de priorização das unidades responsáveis pelo cumprimento do maior número de metas, informou ser possível o reajuste do calendário geral do Projeto Gestão por Competências, que serve de base para os estudos relativos ao DFT, de forma a atender ao encaminhamento proposto. </w:t>
      </w:r>
    </w:p>
    <w:p w:rsidR="00473149" w:rsidRPr="008B584C" w:rsidRDefault="00473149" w:rsidP="00473149">
      <w:pPr>
        <w:numPr>
          <w:ilvl w:val="4"/>
          <w:numId w:val="1"/>
        </w:numPr>
        <w:spacing w:after="0" w:line="240" w:lineRule="auto"/>
        <w:jc w:val="both"/>
        <w:rPr>
          <w:rFonts w:ascii="Times New Roman" w:hAnsi="Times New Roman" w:cs="Times New Roman"/>
          <w:bCs/>
          <w:spacing w:val="-2"/>
          <w:sz w:val="24"/>
          <w:szCs w:val="24"/>
        </w:rPr>
      </w:pPr>
      <w:r w:rsidRPr="008B584C">
        <w:rPr>
          <w:rFonts w:ascii="Times New Roman" w:hAnsi="Times New Roman" w:cs="Times New Roman"/>
          <w:bCs/>
          <w:spacing w:val="-2"/>
          <w:sz w:val="24"/>
          <w:szCs w:val="24"/>
        </w:rPr>
        <w:t>Em resposta à RDI Circular nº 13/2018 (PAD nº 11.047/2018, Doc. nº 142.622/2018) a ASSESP ratificou a necessidade de realização de estudos e apresentação de proposta à Alta Administração, contemplando medidas destinadas a contornar a reduzida capacidade operacional da unidade, de modo a assegurar o dimensionamento da força de trabalho de todas as unidades do TRE-BA.</w:t>
      </w:r>
    </w:p>
    <w:p w:rsidR="00473149" w:rsidRPr="008B584C" w:rsidRDefault="008B584C" w:rsidP="00473149">
      <w:pPr>
        <w:numPr>
          <w:ilvl w:val="4"/>
          <w:numId w:val="1"/>
        </w:numPr>
        <w:spacing w:after="0" w:line="240" w:lineRule="auto"/>
        <w:jc w:val="both"/>
        <w:rPr>
          <w:rFonts w:ascii="Times New Roman" w:hAnsi="Times New Roman" w:cs="Times New Roman"/>
          <w:bCs/>
          <w:spacing w:val="-2"/>
          <w:sz w:val="24"/>
          <w:szCs w:val="24"/>
        </w:rPr>
      </w:pPr>
      <w:r w:rsidRPr="008B584C">
        <w:rPr>
          <w:rFonts w:ascii="Times New Roman" w:hAnsi="Times New Roman" w:cs="Times New Roman"/>
          <w:spacing w:val="-2"/>
          <w:sz w:val="24"/>
          <w:szCs w:val="24"/>
        </w:rPr>
        <w:t>Também e</w:t>
      </w:r>
      <w:r w:rsidR="00473149" w:rsidRPr="008B584C">
        <w:rPr>
          <w:rFonts w:ascii="Times New Roman" w:hAnsi="Times New Roman" w:cs="Times New Roman"/>
          <w:spacing w:val="-2"/>
          <w:sz w:val="24"/>
          <w:szCs w:val="24"/>
        </w:rPr>
        <w:t xml:space="preserve">m resposta à </w:t>
      </w:r>
      <w:r w:rsidRPr="008B584C">
        <w:rPr>
          <w:rFonts w:ascii="Times New Roman" w:hAnsi="Times New Roman" w:cs="Times New Roman"/>
          <w:spacing w:val="-2"/>
          <w:sz w:val="24"/>
          <w:szCs w:val="24"/>
        </w:rPr>
        <w:t>sobredita RDI</w:t>
      </w:r>
      <w:r w:rsidR="00250761">
        <w:rPr>
          <w:rFonts w:ascii="Times New Roman" w:hAnsi="Times New Roman" w:cs="Times New Roman"/>
          <w:spacing w:val="-2"/>
          <w:sz w:val="24"/>
          <w:szCs w:val="24"/>
        </w:rPr>
        <w:t xml:space="preserve"> Circular</w:t>
      </w:r>
      <w:r w:rsidR="00473149" w:rsidRPr="008B584C">
        <w:rPr>
          <w:rFonts w:ascii="Times New Roman" w:hAnsi="Times New Roman" w:cs="Times New Roman"/>
          <w:spacing w:val="-2"/>
          <w:sz w:val="24"/>
          <w:szCs w:val="24"/>
        </w:rPr>
        <w:t xml:space="preserve"> (Doc. nº 145.284/2018)</w:t>
      </w:r>
      <w:r w:rsidRPr="008B584C">
        <w:rPr>
          <w:rFonts w:ascii="Times New Roman" w:hAnsi="Times New Roman" w:cs="Times New Roman"/>
          <w:spacing w:val="-2"/>
          <w:sz w:val="24"/>
          <w:szCs w:val="24"/>
        </w:rPr>
        <w:t>,</w:t>
      </w:r>
      <w:r w:rsidR="00473149" w:rsidRPr="008B584C">
        <w:rPr>
          <w:rFonts w:ascii="Times New Roman" w:hAnsi="Times New Roman" w:cs="Times New Roman"/>
          <w:spacing w:val="-2"/>
          <w:sz w:val="24"/>
          <w:szCs w:val="24"/>
        </w:rPr>
        <w:t xml:space="preserve"> a SGP ratificou informações anteriormente prestadas </w:t>
      </w:r>
      <w:r w:rsidRPr="008B584C">
        <w:rPr>
          <w:rFonts w:ascii="Times New Roman" w:hAnsi="Times New Roman" w:cs="Times New Roman"/>
          <w:spacing w:val="-2"/>
          <w:sz w:val="24"/>
          <w:szCs w:val="24"/>
        </w:rPr>
        <w:t xml:space="preserve">no </w:t>
      </w:r>
      <w:r w:rsidR="00473149" w:rsidRPr="008B584C">
        <w:rPr>
          <w:rFonts w:ascii="Times New Roman" w:hAnsi="Times New Roman" w:cs="Times New Roman"/>
          <w:spacing w:val="-2"/>
          <w:sz w:val="24"/>
          <w:szCs w:val="24"/>
        </w:rPr>
        <w:t xml:space="preserve">PAD nº 10.441/2018, Doc. </w:t>
      </w:r>
      <w:proofErr w:type="gramStart"/>
      <w:r w:rsidR="00473149" w:rsidRPr="008B584C">
        <w:rPr>
          <w:rFonts w:ascii="Times New Roman" w:hAnsi="Times New Roman" w:cs="Times New Roman"/>
          <w:spacing w:val="-2"/>
          <w:sz w:val="24"/>
          <w:szCs w:val="24"/>
        </w:rPr>
        <w:t>nº</w:t>
      </w:r>
      <w:proofErr w:type="gramEnd"/>
      <w:r w:rsidR="00473149" w:rsidRPr="008B584C">
        <w:rPr>
          <w:rFonts w:ascii="Times New Roman" w:hAnsi="Times New Roman" w:cs="Times New Roman"/>
          <w:spacing w:val="-2"/>
          <w:sz w:val="24"/>
          <w:szCs w:val="24"/>
        </w:rPr>
        <w:t xml:space="preserve"> 138.402/2018.</w:t>
      </w:r>
    </w:p>
    <w:p w:rsidR="00473149" w:rsidRPr="00CB5533"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CB5533">
        <w:rPr>
          <w:rFonts w:ascii="Times New Roman" w:hAnsi="Times New Roman" w:cs="Times New Roman"/>
          <w:i/>
          <w:sz w:val="24"/>
          <w:szCs w:val="24"/>
        </w:rPr>
        <w:t>Conclusão da equipe de auditoria:</w:t>
      </w:r>
    </w:p>
    <w:p w:rsidR="00473149" w:rsidRPr="00187535" w:rsidRDefault="00473149" w:rsidP="00473149">
      <w:pPr>
        <w:numPr>
          <w:ilvl w:val="4"/>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Em que pese as dificuldades relatadas pela SGP e o compromisso firmado de </w:t>
      </w:r>
      <w:proofErr w:type="spellStart"/>
      <w:r>
        <w:rPr>
          <w:rFonts w:ascii="Times New Roman" w:hAnsi="Times New Roman" w:cs="Times New Roman"/>
          <w:sz w:val="24"/>
          <w:szCs w:val="24"/>
        </w:rPr>
        <w:t>manualização</w:t>
      </w:r>
      <w:proofErr w:type="spellEnd"/>
      <w:r>
        <w:rPr>
          <w:rFonts w:ascii="Times New Roman" w:hAnsi="Times New Roman" w:cs="Times New Roman"/>
          <w:sz w:val="24"/>
          <w:szCs w:val="24"/>
        </w:rPr>
        <w:t xml:space="preserve"> das rotinas e procedimentos, bem </w:t>
      </w:r>
      <w:r w:rsidR="00CE62A0">
        <w:rPr>
          <w:rFonts w:ascii="Times New Roman" w:hAnsi="Times New Roman" w:cs="Times New Roman"/>
          <w:sz w:val="24"/>
          <w:szCs w:val="24"/>
        </w:rPr>
        <w:t xml:space="preserve">como de incremento do quadro </w:t>
      </w:r>
      <w:proofErr w:type="gramStart"/>
      <w:r w:rsidR="00CE62A0">
        <w:rPr>
          <w:rFonts w:ascii="Times New Roman" w:hAnsi="Times New Roman" w:cs="Times New Roman"/>
          <w:sz w:val="24"/>
          <w:szCs w:val="24"/>
        </w:rPr>
        <w:t xml:space="preserve">da </w:t>
      </w:r>
      <w:r>
        <w:rPr>
          <w:rFonts w:ascii="Times New Roman" w:hAnsi="Times New Roman" w:cs="Times New Roman"/>
          <w:sz w:val="24"/>
          <w:szCs w:val="24"/>
        </w:rPr>
        <w:t>SEDES</w:t>
      </w:r>
      <w:proofErr w:type="gramEnd"/>
      <w:r>
        <w:rPr>
          <w:rFonts w:ascii="Times New Roman" w:hAnsi="Times New Roman" w:cs="Times New Roman"/>
          <w:sz w:val="24"/>
          <w:szCs w:val="24"/>
        </w:rPr>
        <w:t xml:space="preserve"> até dezembro de 2018, conclui-se que, enquanto não realizados os estudos e propostas medidas destinadas a mitigar a reduzida capacidade operacional da unidade e viabilizar a tomada de decisão no intuito de assegurar a realização do DFT no âmbito deste Tribunal, observado ciclo da estratégia vigente, subsistirá a fragilidade ora evidenciada</w:t>
      </w:r>
      <w:r w:rsidRPr="002B58AC">
        <w:rPr>
          <w:rFonts w:ascii="Times New Roman" w:hAnsi="Times New Roman" w:cs="Times New Roman"/>
          <w:sz w:val="24"/>
          <w:szCs w:val="24"/>
        </w:rPr>
        <w:t>.</w:t>
      </w:r>
    </w:p>
    <w:p w:rsidR="00473149"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0D0CAF">
        <w:rPr>
          <w:rFonts w:ascii="Times New Roman" w:hAnsi="Times New Roman" w:cs="Times New Roman"/>
          <w:i/>
          <w:sz w:val="24"/>
          <w:szCs w:val="24"/>
        </w:rPr>
        <w:t>Proposta de encaminhamento:</w:t>
      </w:r>
    </w:p>
    <w:p w:rsidR="00473149" w:rsidRPr="000D0CAF" w:rsidRDefault="00473149" w:rsidP="00473149">
      <w:pPr>
        <w:numPr>
          <w:ilvl w:val="4"/>
          <w:numId w:val="1"/>
        </w:numPr>
        <w:spacing w:after="0" w:line="240" w:lineRule="auto"/>
        <w:jc w:val="both"/>
        <w:rPr>
          <w:rFonts w:ascii="Times New Roman" w:hAnsi="Times New Roman" w:cs="Times New Roman"/>
          <w:sz w:val="24"/>
          <w:szCs w:val="24"/>
        </w:rPr>
      </w:pPr>
      <w:r w:rsidRPr="000D0CAF">
        <w:rPr>
          <w:rFonts w:ascii="Times New Roman" w:hAnsi="Times New Roman" w:cs="Times New Roman"/>
          <w:sz w:val="24"/>
          <w:szCs w:val="24"/>
        </w:rPr>
        <w:t xml:space="preserve">Recomendar à SGP que, observado o prazo de </w:t>
      </w:r>
      <w:r w:rsidRPr="00937414">
        <w:rPr>
          <w:rFonts w:ascii="Times New Roman" w:hAnsi="Times New Roman" w:cs="Times New Roman"/>
          <w:sz w:val="24"/>
          <w:szCs w:val="24"/>
        </w:rPr>
        <w:t>90</w:t>
      </w:r>
      <w:r w:rsidRPr="000D0CAF">
        <w:rPr>
          <w:rFonts w:ascii="Times New Roman" w:hAnsi="Times New Roman" w:cs="Times New Roman"/>
          <w:sz w:val="24"/>
          <w:szCs w:val="24"/>
        </w:rPr>
        <w:t xml:space="preserve"> dias, realize estudos e apresente proposta à Presidência e Diretoria-Geral contemplando medidas destinadas a contornar a reduzida capacidade operacional da unidade de modo a assegurar o dimensionamento da força de trabalho de todas as unidades administrativas e judiciárias do TRE-BA, preferencialmente, na primeira metade do ciclo do planejamento estratégico de referência, a exemplo de: formalização de critérios que assegurem dimensionamento prioritário às unidades responsáveis pelo cumprimento de maior número de objetivos e metas organizacionais ou desenvolvimento de atividades finalísticas; racionalização de procedimentos; normatização do processo de trabalho e </w:t>
      </w:r>
      <w:proofErr w:type="spellStart"/>
      <w:r w:rsidRPr="000D0CAF">
        <w:rPr>
          <w:rFonts w:ascii="Times New Roman" w:hAnsi="Times New Roman" w:cs="Times New Roman"/>
          <w:sz w:val="24"/>
          <w:szCs w:val="24"/>
        </w:rPr>
        <w:t>manualização</w:t>
      </w:r>
      <w:proofErr w:type="spellEnd"/>
      <w:r w:rsidRPr="000D0CAF">
        <w:rPr>
          <w:rFonts w:ascii="Times New Roman" w:hAnsi="Times New Roman" w:cs="Times New Roman"/>
          <w:sz w:val="24"/>
          <w:szCs w:val="24"/>
        </w:rPr>
        <w:t xml:space="preserve"> de rotinas e procedimentos; incremento do quadro de pessoal </w:t>
      </w:r>
      <w:proofErr w:type="gramStart"/>
      <w:r w:rsidRPr="000D0CAF">
        <w:rPr>
          <w:rFonts w:ascii="Times New Roman" w:hAnsi="Times New Roman" w:cs="Times New Roman"/>
          <w:sz w:val="24"/>
          <w:szCs w:val="24"/>
        </w:rPr>
        <w:t>da SEDES</w:t>
      </w:r>
      <w:proofErr w:type="gramEnd"/>
      <w:r w:rsidRPr="000D0CAF">
        <w:rPr>
          <w:rFonts w:ascii="Times New Roman" w:hAnsi="Times New Roman" w:cs="Times New Roman"/>
          <w:sz w:val="24"/>
          <w:szCs w:val="24"/>
        </w:rPr>
        <w:t>; e/ou aporte de capacitação dos servidores envolvidos com a execução da atividade.</w:t>
      </w:r>
    </w:p>
    <w:p w:rsidR="00473149" w:rsidRDefault="00473149" w:rsidP="00473149">
      <w:pPr>
        <w:numPr>
          <w:ilvl w:val="2"/>
          <w:numId w:val="1"/>
        </w:numPr>
        <w:spacing w:before="120" w:after="120" w:line="240" w:lineRule="auto"/>
        <w:jc w:val="both"/>
        <w:rPr>
          <w:rFonts w:ascii="Times New Roman" w:hAnsi="Times New Roman" w:cs="Times New Roman"/>
          <w:sz w:val="24"/>
          <w:szCs w:val="24"/>
          <w:u w:val="single"/>
        </w:rPr>
      </w:pPr>
      <w:r w:rsidRPr="00B6065F">
        <w:rPr>
          <w:rFonts w:ascii="Times New Roman" w:hAnsi="Times New Roman" w:cs="Times New Roman"/>
          <w:sz w:val="24"/>
          <w:szCs w:val="24"/>
          <w:u w:val="single"/>
        </w:rPr>
        <w:t xml:space="preserve">Deficiente </w:t>
      </w:r>
      <w:proofErr w:type="gramStart"/>
      <w:r w:rsidRPr="00B6065F">
        <w:rPr>
          <w:rFonts w:ascii="Times New Roman" w:hAnsi="Times New Roman" w:cs="Times New Roman"/>
          <w:sz w:val="24"/>
          <w:szCs w:val="24"/>
          <w:u w:val="single"/>
        </w:rPr>
        <w:t>implementação</w:t>
      </w:r>
      <w:proofErr w:type="gramEnd"/>
      <w:r w:rsidRPr="00B6065F">
        <w:rPr>
          <w:rFonts w:ascii="Times New Roman" w:hAnsi="Times New Roman" w:cs="Times New Roman"/>
          <w:sz w:val="24"/>
          <w:szCs w:val="24"/>
          <w:u w:val="single"/>
        </w:rPr>
        <w:t xml:space="preserve"> do gerenciamento do DFT</w:t>
      </w:r>
      <w:r w:rsidRPr="00F608EB">
        <w:rPr>
          <w:rFonts w:ascii="Times New Roman" w:hAnsi="Times New Roman" w:cs="Times New Roman"/>
          <w:sz w:val="24"/>
          <w:szCs w:val="24"/>
          <w:u w:val="single"/>
        </w:rPr>
        <w:t>.</w:t>
      </w:r>
    </w:p>
    <w:p w:rsidR="00473149" w:rsidRPr="008A7DE0" w:rsidRDefault="00473149" w:rsidP="00473149">
      <w:pPr>
        <w:spacing w:before="120" w:after="120" w:line="240" w:lineRule="auto"/>
        <w:jc w:val="both"/>
        <w:rPr>
          <w:rFonts w:ascii="Times New Roman" w:hAnsi="Times New Roman" w:cs="Times New Roman"/>
          <w:i/>
          <w:spacing w:val="-2"/>
          <w:sz w:val="24"/>
          <w:szCs w:val="24"/>
          <w:u w:val="single"/>
        </w:rPr>
      </w:pPr>
      <w:r w:rsidRPr="008A7DE0">
        <w:rPr>
          <w:rFonts w:ascii="Times New Roman" w:hAnsi="Times New Roman" w:cs="Times New Roman"/>
          <w:i/>
          <w:spacing w:val="-2"/>
          <w:sz w:val="24"/>
          <w:szCs w:val="24"/>
        </w:rPr>
        <w:t>Risco(s) associado(s): R8 – TRE-BA: Não sensibilização dos gestores para utilização dos resultados do DFT; R1 – TSE: Alocação e movimentação inadequada (</w:t>
      </w:r>
      <w:proofErr w:type="gramStart"/>
      <w:r w:rsidRPr="008A7DE0">
        <w:rPr>
          <w:rFonts w:ascii="Times New Roman" w:hAnsi="Times New Roman" w:cs="Times New Roman"/>
          <w:i/>
          <w:spacing w:val="-2"/>
          <w:sz w:val="24"/>
          <w:szCs w:val="24"/>
        </w:rPr>
        <w:t>quantitativa/qualitativa</w:t>
      </w:r>
      <w:proofErr w:type="gramEnd"/>
      <w:r w:rsidRPr="008A7DE0">
        <w:rPr>
          <w:rFonts w:ascii="Times New Roman" w:hAnsi="Times New Roman" w:cs="Times New Roman"/>
          <w:i/>
          <w:spacing w:val="-2"/>
          <w:sz w:val="24"/>
          <w:szCs w:val="24"/>
        </w:rPr>
        <w:t xml:space="preserve">) </w:t>
      </w:r>
      <w:r w:rsidRPr="008A7DE0">
        <w:rPr>
          <w:rFonts w:ascii="Times New Roman" w:hAnsi="Times New Roman" w:cs="Times New Roman"/>
          <w:i/>
          <w:spacing w:val="-2"/>
          <w:sz w:val="24"/>
          <w:szCs w:val="24"/>
        </w:rPr>
        <w:lastRenderedPageBreak/>
        <w:t>de pessoal e R2 - TSE: Criação ou alteração de estrutura organizacional sem observância da força de trabalho necessária ao cumprimento da estratégia organizacional.</w:t>
      </w:r>
      <w:r w:rsidRPr="008A7DE0">
        <w:rPr>
          <w:i/>
          <w:spacing w:val="-2"/>
          <w:sz w:val="20"/>
          <w:szCs w:val="20"/>
        </w:rPr>
        <w:t xml:space="preserve"> </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sz w:val="24"/>
          <w:szCs w:val="24"/>
        </w:rPr>
      </w:pPr>
      <w:r w:rsidRPr="00F608EB">
        <w:rPr>
          <w:rFonts w:ascii="Times New Roman" w:hAnsi="Times New Roman" w:cs="Times New Roman"/>
          <w:i/>
          <w:sz w:val="24"/>
          <w:szCs w:val="24"/>
        </w:rPr>
        <w:t>Situação encontrada</w:t>
      </w:r>
      <w:r w:rsidRPr="00F608EB">
        <w:rPr>
          <w:rFonts w:ascii="Times New Roman" w:hAnsi="Times New Roman" w:cs="Times New Roman"/>
          <w:sz w:val="24"/>
          <w:szCs w:val="24"/>
        </w:rPr>
        <w:t>:</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B6065F">
        <w:rPr>
          <w:rFonts w:ascii="Times New Roman" w:hAnsi="Times New Roman" w:cs="Times New Roman"/>
          <w:sz w:val="24"/>
          <w:szCs w:val="24"/>
        </w:rPr>
        <w:t xml:space="preserve">Verificou-se deficiente </w:t>
      </w:r>
      <w:proofErr w:type="gramStart"/>
      <w:r w:rsidRPr="00B6065F">
        <w:rPr>
          <w:rFonts w:ascii="Times New Roman" w:hAnsi="Times New Roman" w:cs="Times New Roman"/>
          <w:sz w:val="24"/>
          <w:szCs w:val="24"/>
        </w:rPr>
        <w:t>implementação</w:t>
      </w:r>
      <w:proofErr w:type="gramEnd"/>
      <w:r w:rsidRPr="00B6065F">
        <w:rPr>
          <w:rFonts w:ascii="Times New Roman" w:hAnsi="Times New Roman" w:cs="Times New Roman"/>
          <w:sz w:val="24"/>
          <w:szCs w:val="24"/>
        </w:rPr>
        <w:t xml:space="preserve"> do gerenciamento do dimensionamento da força de trabalho (GDFT), com vistas a assegurar, observados resultados quantitativos e qualitativos apurados, bem como recomendações consignadas nos relatórios de trabalhos de DFT realizados, adoção de medidas voltadas à mitigação ou equalização de déficits de pessoal, quando existente, ou, ainda, intervenções necessárias ao aumento da produtividade, eficácia e efetividade organizacional (reestruturação administrativa, racionalização de processos, implementação de novas tecnologias, capacitação etc.)</w:t>
      </w:r>
      <w:r w:rsidRPr="00F608EB">
        <w:rPr>
          <w:rFonts w:ascii="Times New Roman" w:hAnsi="Times New Roman" w:cs="Times New Roman"/>
          <w:sz w:val="24"/>
          <w:szCs w:val="24"/>
        </w:rPr>
        <w:t>.</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B6065F">
        <w:rPr>
          <w:rFonts w:ascii="Times New Roman" w:hAnsi="Times New Roman" w:cs="Times New Roman"/>
          <w:bCs/>
          <w:sz w:val="24"/>
          <w:szCs w:val="24"/>
        </w:rPr>
        <w:t xml:space="preserve">Não obstante registro, pela SGP, de adoção de medidas pontuais voltadas à utilização de conclusões e recomendações do DFT, a exemplo de recente reestruturação da SGP, aumento de quadro de servidores da SOF e estabelecimento de rotina visando assegurar manifestação </w:t>
      </w:r>
      <w:proofErr w:type="gramStart"/>
      <w:r w:rsidRPr="00B6065F">
        <w:rPr>
          <w:rFonts w:ascii="Times New Roman" w:hAnsi="Times New Roman" w:cs="Times New Roman"/>
          <w:bCs/>
          <w:sz w:val="24"/>
          <w:szCs w:val="24"/>
        </w:rPr>
        <w:t>da SEDES</w:t>
      </w:r>
      <w:proofErr w:type="gramEnd"/>
      <w:r w:rsidRPr="00B6065F">
        <w:rPr>
          <w:rFonts w:ascii="Times New Roman" w:hAnsi="Times New Roman" w:cs="Times New Roman"/>
          <w:bCs/>
          <w:sz w:val="24"/>
          <w:szCs w:val="24"/>
        </w:rPr>
        <w:t>, com base em conclusões de DFT apurado, em movimentação interna de servidores, não se evidenciou estruturação ou sistematização de medidas voltadas à gestão da força de trabalho organizacional com base nas informações gerenciais resultantes dos trabalhos desenvolvidos</w:t>
      </w:r>
      <w:r w:rsidRPr="00F608EB">
        <w:rPr>
          <w:rFonts w:ascii="Times New Roman" w:hAnsi="Times New Roman" w:cs="Times New Roman"/>
          <w:sz w:val="24"/>
          <w:szCs w:val="24"/>
        </w:rPr>
        <w:t xml:space="preserve">.  </w:t>
      </w:r>
    </w:p>
    <w:p w:rsidR="00473149" w:rsidRDefault="00473149" w:rsidP="00473149">
      <w:pPr>
        <w:numPr>
          <w:ilvl w:val="4"/>
          <w:numId w:val="1"/>
        </w:numPr>
        <w:spacing w:after="0" w:line="240" w:lineRule="auto"/>
        <w:jc w:val="both"/>
        <w:rPr>
          <w:rFonts w:ascii="Times New Roman" w:hAnsi="Times New Roman" w:cs="Times New Roman"/>
          <w:bCs/>
          <w:sz w:val="24"/>
          <w:szCs w:val="24"/>
        </w:rPr>
      </w:pPr>
      <w:r w:rsidRPr="00B6065F">
        <w:rPr>
          <w:rFonts w:ascii="Times New Roman" w:hAnsi="Times New Roman" w:cs="Times New Roman"/>
          <w:bCs/>
          <w:sz w:val="24"/>
          <w:szCs w:val="24"/>
        </w:rPr>
        <w:t>Adicionalmente, registre-se que a ponderação de oportunidades de melhoria consubstanciadas em recomendações de incremento de capacitação de servidores lotados em unidades dimensionadas também não foi reportada, de forma objetiva, como parâmetro norteador do planejamento de ações de capacitação do Órgão, quando da descrição, pela SGP, de metodologia que orientou a elaboração do Plano Anual de Capacitação referente ao exercício 2018 (PAC 2018). Do mesmo modo, não se evidenciou ponderação da sobredita recomendação quando da formulação do PAC-TIC, observado processo formalizado pela Instrução Normativa da Presidência nº 2, de 19 de junho de 2018.</w:t>
      </w:r>
    </w:p>
    <w:p w:rsidR="00473149" w:rsidRPr="00187535" w:rsidRDefault="00473149" w:rsidP="00473149">
      <w:pPr>
        <w:numPr>
          <w:ilvl w:val="4"/>
          <w:numId w:val="1"/>
        </w:numPr>
        <w:spacing w:after="0" w:line="240" w:lineRule="auto"/>
        <w:jc w:val="both"/>
        <w:rPr>
          <w:rFonts w:ascii="Times New Roman" w:hAnsi="Times New Roman" w:cs="Times New Roman"/>
          <w:bCs/>
          <w:spacing w:val="-2"/>
          <w:sz w:val="24"/>
          <w:szCs w:val="24"/>
        </w:rPr>
      </w:pPr>
      <w:r w:rsidRPr="00187535">
        <w:rPr>
          <w:rFonts w:ascii="Times New Roman" w:hAnsi="Times New Roman" w:cs="Times New Roman"/>
          <w:bCs/>
          <w:spacing w:val="-2"/>
          <w:sz w:val="24"/>
          <w:szCs w:val="24"/>
        </w:rPr>
        <w:t xml:space="preserve">Registre-se que o relatório resultante dos trabalhos de DFT conclui, não apenas pelo perfil quantitativo e qualitativo ideal para asseguração de entregas de cada unidade dimensionada, repercutindo, em regra, em ajuste de quadro de pessoal, mas formula, ainda, recomendações relevantes no que tange ao ajuste da demanda, a exemplo de racionalização ou informatização de processos de trabalho, capacitação de pessoal e estruturação e/ou </w:t>
      </w:r>
      <w:proofErr w:type="spellStart"/>
      <w:r w:rsidRPr="00187535">
        <w:rPr>
          <w:rFonts w:ascii="Times New Roman" w:hAnsi="Times New Roman" w:cs="Times New Roman"/>
          <w:bCs/>
          <w:spacing w:val="-2"/>
          <w:sz w:val="24"/>
          <w:szCs w:val="24"/>
        </w:rPr>
        <w:t>manualização</w:t>
      </w:r>
      <w:proofErr w:type="spellEnd"/>
      <w:r w:rsidRPr="00187535">
        <w:rPr>
          <w:rFonts w:ascii="Times New Roman" w:hAnsi="Times New Roman" w:cs="Times New Roman"/>
          <w:bCs/>
          <w:spacing w:val="-2"/>
          <w:sz w:val="24"/>
          <w:szCs w:val="24"/>
        </w:rPr>
        <w:t xml:space="preserve"> de rotinas e procedimentos</w:t>
      </w:r>
      <w:r w:rsidRPr="00187535">
        <w:rPr>
          <w:spacing w:val="-2"/>
          <w:sz w:val="20"/>
          <w:szCs w:val="20"/>
        </w:rPr>
        <w:t>.</w:t>
      </w:r>
    </w:p>
    <w:p w:rsidR="00473149" w:rsidRDefault="00473149" w:rsidP="00473149">
      <w:pPr>
        <w:numPr>
          <w:ilvl w:val="4"/>
          <w:numId w:val="1"/>
        </w:numPr>
        <w:spacing w:after="0" w:line="240" w:lineRule="auto"/>
        <w:jc w:val="both"/>
        <w:rPr>
          <w:rFonts w:ascii="Times New Roman" w:hAnsi="Times New Roman" w:cs="Times New Roman"/>
          <w:bCs/>
          <w:sz w:val="24"/>
          <w:szCs w:val="24"/>
        </w:rPr>
      </w:pPr>
      <w:r>
        <w:rPr>
          <w:sz w:val="20"/>
          <w:szCs w:val="20"/>
        </w:rPr>
        <w:t xml:space="preserve"> </w:t>
      </w:r>
      <w:r w:rsidRPr="00B6065F">
        <w:rPr>
          <w:rFonts w:ascii="Times New Roman" w:hAnsi="Times New Roman" w:cs="Times New Roman"/>
          <w:bCs/>
          <w:sz w:val="24"/>
          <w:szCs w:val="24"/>
        </w:rPr>
        <w:t>Acrescente-se que o detalhamento do DFT apurado aponta, ainda, para situações de desvio merecedoras de atenção da SGP e da Alta Gestão do Tribunal, a exemplo de: gestor que atua na execução de rotinas da unidade; atividades não executadas por déficit de pessoal; e servidor que não desenvolve atividades na unidade de lotação</w:t>
      </w:r>
      <w:r>
        <w:rPr>
          <w:rFonts w:ascii="Times New Roman" w:hAnsi="Times New Roman" w:cs="Times New Roman"/>
          <w:bCs/>
          <w:sz w:val="24"/>
          <w:szCs w:val="24"/>
        </w:rPr>
        <w:t>.</w:t>
      </w:r>
    </w:p>
    <w:p w:rsidR="00473149" w:rsidRPr="00187535" w:rsidRDefault="00473149" w:rsidP="00473149">
      <w:pPr>
        <w:numPr>
          <w:ilvl w:val="4"/>
          <w:numId w:val="1"/>
        </w:numPr>
        <w:spacing w:after="0" w:line="240" w:lineRule="auto"/>
        <w:jc w:val="both"/>
        <w:rPr>
          <w:rFonts w:ascii="Times New Roman" w:hAnsi="Times New Roman" w:cs="Times New Roman"/>
          <w:spacing w:val="-4"/>
          <w:sz w:val="24"/>
          <w:szCs w:val="24"/>
        </w:rPr>
      </w:pPr>
      <w:r w:rsidRPr="00187535">
        <w:rPr>
          <w:rFonts w:ascii="Times New Roman" w:hAnsi="Times New Roman" w:cs="Times New Roman"/>
          <w:spacing w:val="-4"/>
          <w:sz w:val="24"/>
          <w:szCs w:val="24"/>
        </w:rPr>
        <w:t>Esclareça-se que, em pesquisa realizada junto às unidades dimensionadas no 1º e 2º ciclos, constatou-se que 31,25% não foram comunicadas acerca dos resultados da aplicação do DFT, dificultando, inclusive, a adoção de medidas tendentes ao seu gerenciamento, também pelos gestores estratégicos, táticos e operacionais envolvidos, comprometendo, por consequência, a efetiva utilização dos resultados apurados.</w:t>
      </w:r>
    </w:p>
    <w:p w:rsidR="00473149" w:rsidRPr="00B6065F" w:rsidRDefault="00473149" w:rsidP="00473149">
      <w:pPr>
        <w:numPr>
          <w:ilvl w:val="4"/>
          <w:numId w:val="1"/>
        </w:numPr>
        <w:spacing w:after="0" w:line="240" w:lineRule="auto"/>
        <w:jc w:val="both"/>
        <w:rPr>
          <w:rFonts w:ascii="Times New Roman" w:hAnsi="Times New Roman" w:cs="Times New Roman"/>
          <w:sz w:val="24"/>
          <w:szCs w:val="24"/>
        </w:rPr>
      </w:pPr>
      <w:r w:rsidRPr="00B6065F">
        <w:rPr>
          <w:rFonts w:ascii="Times New Roman" w:hAnsi="Times New Roman" w:cs="Times New Roman"/>
          <w:sz w:val="24"/>
          <w:szCs w:val="24"/>
        </w:rPr>
        <w:t xml:space="preserve">Sobre a comunicação de resultados, registre-se constatação de que não constitui prática adotada pela SGP a apresentação do relatório dos trabalhos do DFT, às unidades dimensionadas, em arquivo digital, por meio de processo PAD, de modo a facilitar a divulgação e compartilhamento de informações nos diversos extratos da unidade dimensionada. Consoante informação prestada pela SGP, </w:t>
      </w:r>
      <w:proofErr w:type="gramStart"/>
      <w:r w:rsidRPr="00B6065F">
        <w:rPr>
          <w:rFonts w:ascii="Times New Roman" w:hAnsi="Times New Roman" w:cs="Times New Roman"/>
          <w:sz w:val="24"/>
          <w:szCs w:val="24"/>
        </w:rPr>
        <w:t>a</w:t>
      </w:r>
      <w:proofErr w:type="gramEnd"/>
      <w:r w:rsidRPr="00B6065F">
        <w:rPr>
          <w:rFonts w:ascii="Times New Roman" w:hAnsi="Times New Roman" w:cs="Times New Roman"/>
          <w:sz w:val="24"/>
          <w:szCs w:val="24"/>
        </w:rPr>
        <w:t xml:space="preserve"> </w:t>
      </w:r>
      <w:r w:rsidRPr="00B6065F">
        <w:rPr>
          <w:rFonts w:ascii="Times New Roman" w:hAnsi="Times New Roman" w:cs="Times New Roman"/>
          <w:sz w:val="24"/>
          <w:szCs w:val="24"/>
        </w:rPr>
        <w:lastRenderedPageBreak/>
        <w:t>apresentação de resultados preliminares processa-se em oficina específica e o correspondente relatório é entregue em suporte papel, ao gestor máximo da unidade dimensionada.</w:t>
      </w:r>
    </w:p>
    <w:p w:rsidR="00473149" w:rsidRPr="002808EC" w:rsidRDefault="00473149" w:rsidP="00473149">
      <w:pPr>
        <w:numPr>
          <w:ilvl w:val="4"/>
          <w:numId w:val="1"/>
        </w:numPr>
        <w:spacing w:after="0" w:line="240" w:lineRule="auto"/>
        <w:jc w:val="both"/>
        <w:rPr>
          <w:rFonts w:ascii="Times New Roman" w:hAnsi="Times New Roman" w:cs="Times New Roman"/>
          <w:spacing w:val="-4"/>
          <w:sz w:val="24"/>
          <w:szCs w:val="24"/>
        </w:rPr>
      </w:pPr>
      <w:r w:rsidRPr="002808EC">
        <w:rPr>
          <w:rFonts w:ascii="Times New Roman" w:hAnsi="Times New Roman" w:cs="Times New Roman"/>
          <w:spacing w:val="-4"/>
          <w:sz w:val="24"/>
          <w:szCs w:val="24"/>
        </w:rPr>
        <w:t xml:space="preserve">Esclareça-se que, para apuração da situação encontrada, não foram considerados resultados e respectivas recomendações consignadas no Relatório Conclusivo e de Recomendações referentes ao DFT realizado na SGA e SOF, expedido em 16/5/2018, considerando a necessidade de concessão de prazo hábil às unidades competentes do Tribunal para planejamento e </w:t>
      </w:r>
      <w:proofErr w:type="gramStart"/>
      <w:r w:rsidRPr="002808EC">
        <w:rPr>
          <w:rFonts w:ascii="Times New Roman" w:hAnsi="Times New Roman" w:cs="Times New Roman"/>
          <w:spacing w:val="-4"/>
          <w:sz w:val="24"/>
          <w:szCs w:val="24"/>
        </w:rPr>
        <w:t>implementação</w:t>
      </w:r>
      <w:proofErr w:type="gramEnd"/>
      <w:r w:rsidRPr="002808EC">
        <w:rPr>
          <w:rFonts w:ascii="Times New Roman" w:hAnsi="Times New Roman" w:cs="Times New Roman"/>
          <w:spacing w:val="-4"/>
          <w:sz w:val="24"/>
          <w:szCs w:val="24"/>
        </w:rPr>
        <w:t xml:space="preserve"> de medidas associadas.</w:t>
      </w:r>
    </w:p>
    <w:p w:rsidR="00473149" w:rsidRPr="00B6065F" w:rsidRDefault="00473149" w:rsidP="00473149">
      <w:pPr>
        <w:numPr>
          <w:ilvl w:val="3"/>
          <w:numId w:val="1"/>
        </w:numPr>
        <w:spacing w:after="0" w:line="240" w:lineRule="auto"/>
        <w:ind w:left="1077" w:hanging="1077"/>
        <w:jc w:val="both"/>
        <w:rPr>
          <w:rFonts w:ascii="Times New Roman" w:hAnsi="Times New Roman" w:cs="Times New Roman"/>
          <w:bCs/>
          <w:sz w:val="24"/>
          <w:szCs w:val="24"/>
        </w:rPr>
      </w:pPr>
      <w:r w:rsidRPr="00B6065F">
        <w:rPr>
          <w:rFonts w:ascii="Times New Roman" w:hAnsi="Times New Roman" w:cs="Times New Roman"/>
          <w:i/>
          <w:sz w:val="24"/>
          <w:szCs w:val="24"/>
        </w:rPr>
        <w:t>Critério(s):</w:t>
      </w:r>
      <w:r w:rsidRPr="00B6065F">
        <w:rPr>
          <w:rFonts w:ascii="Times New Roman" w:hAnsi="Times New Roman" w:cs="Times New Roman"/>
          <w:bCs/>
          <w:sz w:val="24"/>
          <w:szCs w:val="24"/>
        </w:rPr>
        <w:t xml:space="preserve"> </w:t>
      </w:r>
      <w:r w:rsidRPr="00B6065F">
        <w:rPr>
          <w:rFonts w:ascii="Times New Roman" w:hAnsi="Times New Roman" w:cs="Times New Roman"/>
          <w:bCs/>
          <w:sz w:val="24"/>
          <w:szCs w:val="24"/>
        </w:rPr>
        <w:tab/>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B6065F">
        <w:rPr>
          <w:rFonts w:ascii="Times New Roman" w:hAnsi="Times New Roman" w:cs="Times New Roman"/>
          <w:sz w:val="24"/>
          <w:szCs w:val="24"/>
        </w:rPr>
        <w:t xml:space="preserve">Resolução CNJ nº 240/2016, </w:t>
      </w:r>
      <w:proofErr w:type="spellStart"/>
      <w:r w:rsidRPr="00B6065F">
        <w:rPr>
          <w:rFonts w:ascii="Times New Roman" w:hAnsi="Times New Roman" w:cs="Times New Roman"/>
          <w:sz w:val="24"/>
          <w:szCs w:val="24"/>
        </w:rPr>
        <w:t>arts</w:t>
      </w:r>
      <w:proofErr w:type="spellEnd"/>
      <w:r w:rsidRPr="00B6065F">
        <w:rPr>
          <w:rFonts w:ascii="Times New Roman" w:hAnsi="Times New Roman" w:cs="Times New Roman"/>
          <w:sz w:val="24"/>
          <w:szCs w:val="24"/>
        </w:rPr>
        <w:t xml:space="preserve">. </w:t>
      </w:r>
      <w:proofErr w:type="gramStart"/>
      <w:r w:rsidRPr="00B6065F">
        <w:rPr>
          <w:rFonts w:ascii="Times New Roman" w:hAnsi="Times New Roman" w:cs="Times New Roman"/>
          <w:sz w:val="24"/>
          <w:szCs w:val="24"/>
        </w:rPr>
        <w:t>3º, V</w:t>
      </w:r>
      <w:proofErr w:type="gramEnd"/>
      <w:r w:rsidRPr="00B6065F">
        <w:rPr>
          <w:rFonts w:ascii="Times New Roman" w:hAnsi="Times New Roman" w:cs="Times New Roman"/>
          <w:sz w:val="24"/>
          <w:szCs w:val="24"/>
        </w:rPr>
        <w:t xml:space="preserve"> e VI, 4º, IX, e 5º, III; Resolução Administrativa TRE-BA nº 12/2017 (Política de Gestão de Pessoas do TRE-BA), </w:t>
      </w:r>
      <w:proofErr w:type="spellStart"/>
      <w:r w:rsidRPr="00B6065F">
        <w:rPr>
          <w:rFonts w:ascii="Times New Roman" w:hAnsi="Times New Roman" w:cs="Times New Roman"/>
          <w:sz w:val="24"/>
          <w:szCs w:val="24"/>
        </w:rPr>
        <w:t>arts</w:t>
      </w:r>
      <w:proofErr w:type="spellEnd"/>
      <w:r w:rsidRPr="00B6065F">
        <w:rPr>
          <w:rFonts w:ascii="Times New Roman" w:hAnsi="Times New Roman" w:cs="Times New Roman"/>
          <w:sz w:val="24"/>
          <w:szCs w:val="24"/>
        </w:rPr>
        <w:t xml:space="preserve">. 2º, II, 4º, V, e 5º, III e IV; Resolução Administrativa do TRE-BA nº 12/2018 (Regulamento Interno da Secretaria do Tribunal), </w:t>
      </w:r>
      <w:proofErr w:type="spellStart"/>
      <w:r w:rsidRPr="00B6065F">
        <w:rPr>
          <w:rFonts w:ascii="Times New Roman" w:hAnsi="Times New Roman" w:cs="Times New Roman"/>
          <w:sz w:val="24"/>
          <w:szCs w:val="24"/>
        </w:rPr>
        <w:t>arts</w:t>
      </w:r>
      <w:proofErr w:type="spellEnd"/>
      <w:r w:rsidRPr="00B6065F">
        <w:rPr>
          <w:rFonts w:ascii="Times New Roman" w:hAnsi="Times New Roman" w:cs="Times New Roman"/>
          <w:sz w:val="24"/>
          <w:szCs w:val="24"/>
        </w:rPr>
        <w:t xml:space="preserve">. 55, 65, II e X e 67, VII; Resolução Administrativa TRE-BA nº 18/2018 (Política de Gestão de Pessoas de TIC), </w:t>
      </w:r>
      <w:proofErr w:type="spellStart"/>
      <w:r w:rsidRPr="00B6065F">
        <w:rPr>
          <w:rFonts w:ascii="Times New Roman" w:hAnsi="Times New Roman" w:cs="Times New Roman"/>
          <w:sz w:val="24"/>
          <w:szCs w:val="24"/>
        </w:rPr>
        <w:t>arts</w:t>
      </w:r>
      <w:proofErr w:type="spellEnd"/>
      <w:r w:rsidRPr="00B6065F">
        <w:rPr>
          <w:rFonts w:ascii="Times New Roman" w:hAnsi="Times New Roman" w:cs="Times New Roman"/>
          <w:sz w:val="24"/>
          <w:szCs w:val="24"/>
        </w:rPr>
        <w:t>. 2º, V, 3º, I, e 4º; e Acórdão TCU nº 1172/2015, subitens 9.1.9 e 9.1.10</w:t>
      </w:r>
      <w:r w:rsidRPr="00F608EB">
        <w:rPr>
          <w:rFonts w:ascii="Times New Roman" w:hAnsi="Times New Roman" w:cs="Times New Roman"/>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Causa(s):</w:t>
      </w:r>
    </w:p>
    <w:p w:rsidR="00473149" w:rsidRPr="00F608EB" w:rsidRDefault="00473149" w:rsidP="00473149">
      <w:pPr>
        <w:numPr>
          <w:ilvl w:val="4"/>
          <w:numId w:val="1"/>
        </w:numPr>
        <w:spacing w:after="0" w:line="240" w:lineRule="auto"/>
        <w:jc w:val="both"/>
        <w:rPr>
          <w:rFonts w:ascii="Times New Roman" w:hAnsi="Times New Roman" w:cs="Times New Roman"/>
          <w:i/>
          <w:spacing w:val="-4"/>
          <w:sz w:val="24"/>
          <w:szCs w:val="24"/>
        </w:rPr>
      </w:pPr>
      <w:r w:rsidRPr="00B6065F">
        <w:rPr>
          <w:rFonts w:ascii="Times New Roman" w:hAnsi="Times New Roman" w:cs="Times New Roman"/>
          <w:spacing w:val="-4"/>
          <w:sz w:val="24"/>
          <w:szCs w:val="24"/>
        </w:rPr>
        <w:t xml:space="preserve">Incipiente cultura organizacional em orientação para resultados; incipiente cultura organizacional em planejamento da força de trabalho em alinhamento com </w:t>
      </w:r>
      <w:proofErr w:type="gramStart"/>
      <w:r w:rsidRPr="00B6065F">
        <w:rPr>
          <w:rFonts w:ascii="Times New Roman" w:hAnsi="Times New Roman" w:cs="Times New Roman"/>
          <w:spacing w:val="-4"/>
          <w:sz w:val="24"/>
          <w:szCs w:val="24"/>
        </w:rPr>
        <w:t>macro diretrizes organizacionais (estratégia, cadeia de valor, atividades finalísticas etc.)</w:t>
      </w:r>
      <w:proofErr w:type="gramEnd"/>
      <w:r w:rsidRPr="00B6065F">
        <w:rPr>
          <w:rFonts w:ascii="Times New Roman" w:hAnsi="Times New Roman" w:cs="Times New Roman"/>
          <w:spacing w:val="-4"/>
          <w:sz w:val="24"/>
          <w:szCs w:val="24"/>
        </w:rPr>
        <w:t xml:space="preserve"> e ponderadas informações gerenciais; incipiente cultura organizacional em gerenciamento de riscos, notadamente no que tange à continuidade do negócio; recente formalização de política de gestão de pessoas, contemplando diretrizes relacionadas à gestão da força de trabalho, no âmbito organizacional</w:t>
      </w:r>
      <w:r w:rsidRPr="009E51AD">
        <w:rPr>
          <w:sz w:val="20"/>
          <w:szCs w:val="20"/>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Efeito(s) (real ou potencial):</w:t>
      </w:r>
    </w:p>
    <w:p w:rsidR="00473149" w:rsidRPr="00F608EB" w:rsidRDefault="00473149" w:rsidP="00473149">
      <w:pPr>
        <w:numPr>
          <w:ilvl w:val="4"/>
          <w:numId w:val="1"/>
        </w:numPr>
        <w:spacing w:after="0" w:line="240" w:lineRule="auto"/>
        <w:jc w:val="both"/>
        <w:rPr>
          <w:rFonts w:ascii="Times New Roman" w:hAnsi="Times New Roman" w:cs="Times New Roman"/>
          <w:i/>
          <w:spacing w:val="-4"/>
          <w:sz w:val="24"/>
          <w:szCs w:val="24"/>
        </w:rPr>
      </w:pPr>
      <w:r w:rsidRPr="00B6065F">
        <w:rPr>
          <w:rFonts w:ascii="Times New Roman" w:hAnsi="Times New Roman" w:cs="Times New Roman"/>
          <w:spacing w:val="-4"/>
          <w:sz w:val="24"/>
          <w:szCs w:val="24"/>
        </w:rPr>
        <w:t xml:space="preserve">Comprometimento da concretização da missão e alcance da </w:t>
      </w:r>
      <w:proofErr w:type="gramStart"/>
      <w:r w:rsidRPr="00B6065F">
        <w:rPr>
          <w:rFonts w:ascii="Times New Roman" w:hAnsi="Times New Roman" w:cs="Times New Roman"/>
          <w:spacing w:val="-4"/>
          <w:sz w:val="24"/>
          <w:szCs w:val="24"/>
        </w:rPr>
        <w:t>visão de futuro organizacionais</w:t>
      </w:r>
      <w:proofErr w:type="gramEnd"/>
      <w:r w:rsidRPr="00B6065F">
        <w:rPr>
          <w:rFonts w:ascii="Times New Roman" w:hAnsi="Times New Roman" w:cs="Times New Roman"/>
          <w:spacing w:val="-4"/>
          <w:sz w:val="24"/>
          <w:szCs w:val="24"/>
        </w:rPr>
        <w:t>, observado ciclo de vigência definido; comprometimento da celeridade e qualidade de entregas, notadamente de Unidades que desenvolvem atividades estratégicas ou finalísticas; e comprometimento da capacidade da instituição em gerar resultados e benefícios para a sociedade</w:t>
      </w:r>
      <w:r w:rsidRPr="00F608EB">
        <w:rPr>
          <w:rFonts w:ascii="Times New Roman" w:hAnsi="Times New Roman" w:cs="Times New Roman"/>
          <w:spacing w:val="-4"/>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Evidência(s):</w:t>
      </w:r>
    </w:p>
    <w:p w:rsidR="00473149" w:rsidRPr="00B6065F" w:rsidRDefault="00473149" w:rsidP="00473149">
      <w:pPr>
        <w:numPr>
          <w:ilvl w:val="4"/>
          <w:numId w:val="1"/>
        </w:numPr>
        <w:spacing w:after="0" w:line="240" w:lineRule="auto"/>
        <w:jc w:val="both"/>
        <w:rPr>
          <w:rFonts w:ascii="Times New Roman" w:hAnsi="Times New Roman" w:cs="Times New Roman"/>
          <w:sz w:val="24"/>
          <w:szCs w:val="24"/>
        </w:rPr>
      </w:pPr>
      <w:r w:rsidRPr="00B6065F">
        <w:rPr>
          <w:rFonts w:ascii="Times New Roman" w:hAnsi="Times New Roman" w:cs="Times New Roman"/>
          <w:sz w:val="24"/>
          <w:szCs w:val="24"/>
        </w:rPr>
        <w:t xml:space="preserve">Respostas da SGP às </w:t>
      </w:r>
      <w:proofErr w:type="spellStart"/>
      <w:r w:rsidRPr="00B6065F">
        <w:rPr>
          <w:rFonts w:ascii="Times New Roman" w:hAnsi="Times New Roman" w:cs="Times New Roman"/>
          <w:sz w:val="24"/>
          <w:szCs w:val="24"/>
        </w:rPr>
        <w:t>RDIs</w:t>
      </w:r>
      <w:proofErr w:type="spellEnd"/>
      <w:r w:rsidRPr="00B6065F">
        <w:rPr>
          <w:rFonts w:ascii="Times New Roman" w:hAnsi="Times New Roman" w:cs="Times New Roman"/>
          <w:sz w:val="24"/>
          <w:szCs w:val="24"/>
        </w:rPr>
        <w:t xml:space="preserve"> nº 15/2018 (PAD nº 4180/2018, Doc. nº 110.584/2018) e 34/2018 </w:t>
      </w:r>
      <w:proofErr w:type="gramStart"/>
      <w:r w:rsidRPr="00B6065F">
        <w:rPr>
          <w:rFonts w:ascii="Times New Roman" w:hAnsi="Times New Roman" w:cs="Times New Roman"/>
          <w:sz w:val="24"/>
          <w:szCs w:val="24"/>
        </w:rPr>
        <w:t>(PAD nº 8252/2018, Doc.</w:t>
      </w:r>
      <w:proofErr w:type="gramEnd"/>
      <w:r w:rsidRPr="00B6065F">
        <w:rPr>
          <w:rFonts w:ascii="Times New Roman" w:hAnsi="Times New Roman" w:cs="Times New Roman"/>
          <w:sz w:val="24"/>
          <w:szCs w:val="24"/>
        </w:rPr>
        <w:t xml:space="preserve"> nº 115.504/2018; e manifestação da SEDES/COEDE/SGP em processo de movimentação interna de servidor (PAD nº 8692/2018, Doc. nº 109.375/2018).</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bookmarkStart w:id="51" w:name="_Toc511288060"/>
      <w:r w:rsidRPr="00F608EB">
        <w:rPr>
          <w:rFonts w:ascii="Times New Roman" w:hAnsi="Times New Roman" w:cs="Times New Roman"/>
          <w:i/>
          <w:sz w:val="24"/>
          <w:szCs w:val="24"/>
        </w:rPr>
        <w:t>Esclarecimentos dos responsáveis:</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C32120">
        <w:rPr>
          <w:rFonts w:ascii="Times New Roman" w:hAnsi="Times New Roman" w:cs="Times New Roman"/>
          <w:sz w:val="24"/>
          <w:szCs w:val="24"/>
        </w:rPr>
        <w:t xml:space="preserve">Em resposta à RDI nº 39/2018 (PAD nº 10.441/2018, </w:t>
      </w:r>
      <w:r w:rsidRPr="00B74682">
        <w:rPr>
          <w:rFonts w:ascii="Times New Roman" w:hAnsi="Times New Roman" w:cs="Times New Roman"/>
          <w:sz w:val="24"/>
          <w:szCs w:val="24"/>
        </w:rPr>
        <w:t>Doc. nº 138.402/2018</w:t>
      </w:r>
      <w:r w:rsidRPr="00C32120">
        <w:rPr>
          <w:rFonts w:ascii="Times New Roman" w:hAnsi="Times New Roman" w:cs="Times New Roman"/>
          <w:sz w:val="24"/>
          <w:szCs w:val="24"/>
        </w:rPr>
        <w:t>), a SGP informou</w:t>
      </w:r>
      <w:r>
        <w:rPr>
          <w:rFonts w:ascii="Times New Roman" w:hAnsi="Times New Roman" w:cs="Times New Roman"/>
          <w:sz w:val="24"/>
          <w:szCs w:val="24"/>
        </w:rPr>
        <w:t xml:space="preserve"> que a elaboração do plano de gestão do dimensionamento da força de trabalho é exequível para entrega em 30 de janeiro de 2019.</w:t>
      </w:r>
    </w:p>
    <w:p w:rsidR="00473149" w:rsidRPr="008B584C" w:rsidRDefault="00473149" w:rsidP="00473149">
      <w:pPr>
        <w:numPr>
          <w:ilvl w:val="4"/>
          <w:numId w:val="1"/>
        </w:numPr>
        <w:spacing w:after="0" w:line="240" w:lineRule="auto"/>
        <w:jc w:val="both"/>
        <w:rPr>
          <w:rFonts w:ascii="Times New Roman" w:hAnsi="Times New Roman" w:cs="Times New Roman"/>
          <w:sz w:val="24"/>
          <w:szCs w:val="24"/>
        </w:rPr>
      </w:pPr>
      <w:r w:rsidRPr="008B584C">
        <w:rPr>
          <w:rFonts w:ascii="Times New Roman" w:hAnsi="Times New Roman" w:cs="Times New Roman"/>
          <w:spacing w:val="-2"/>
          <w:sz w:val="24"/>
          <w:szCs w:val="24"/>
        </w:rPr>
        <w:t>Em resposta à RDI Circular nº 13/2018 (PAD nº 11.047/2018, Doc. nº 145.284/2018)</w:t>
      </w:r>
      <w:r w:rsidR="008B584C" w:rsidRPr="008B584C">
        <w:rPr>
          <w:rFonts w:ascii="Times New Roman" w:hAnsi="Times New Roman" w:cs="Times New Roman"/>
          <w:spacing w:val="-2"/>
          <w:sz w:val="24"/>
          <w:szCs w:val="24"/>
        </w:rPr>
        <w:t>,</w:t>
      </w:r>
      <w:r w:rsidRPr="008B584C">
        <w:rPr>
          <w:rFonts w:ascii="Times New Roman" w:hAnsi="Times New Roman" w:cs="Times New Roman"/>
          <w:spacing w:val="-2"/>
          <w:sz w:val="24"/>
          <w:szCs w:val="24"/>
        </w:rPr>
        <w:t xml:space="preserve"> a SGP ratificou informações anteriormente prestadas </w:t>
      </w:r>
      <w:r w:rsidR="008B584C" w:rsidRPr="008B584C">
        <w:rPr>
          <w:rFonts w:ascii="Times New Roman" w:hAnsi="Times New Roman" w:cs="Times New Roman"/>
          <w:spacing w:val="-2"/>
          <w:sz w:val="24"/>
          <w:szCs w:val="24"/>
        </w:rPr>
        <w:t xml:space="preserve">no </w:t>
      </w:r>
      <w:r w:rsidRPr="008B584C">
        <w:rPr>
          <w:rFonts w:ascii="Times New Roman" w:hAnsi="Times New Roman" w:cs="Times New Roman"/>
          <w:spacing w:val="-2"/>
          <w:sz w:val="24"/>
          <w:szCs w:val="24"/>
        </w:rPr>
        <w:t>PAD nº 10</w:t>
      </w:r>
      <w:r w:rsidR="008B584C" w:rsidRPr="008B584C">
        <w:rPr>
          <w:rFonts w:ascii="Times New Roman" w:hAnsi="Times New Roman" w:cs="Times New Roman"/>
          <w:spacing w:val="-2"/>
          <w:sz w:val="24"/>
          <w:szCs w:val="24"/>
        </w:rPr>
        <w:t xml:space="preserve">.441/2018, Doc. </w:t>
      </w:r>
      <w:proofErr w:type="gramStart"/>
      <w:r w:rsidR="008B584C" w:rsidRPr="008B584C">
        <w:rPr>
          <w:rFonts w:ascii="Times New Roman" w:hAnsi="Times New Roman" w:cs="Times New Roman"/>
          <w:spacing w:val="-2"/>
          <w:sz w:val="24"/>
          <w:szCs w:val="24"/>
        </w:rPr>
        <w:t>nº</w:t>
      </w:r>
      <w:proofErr w:type="gramEnd"/>
      <w:r w:rsidR="008B584C" w:rsidRPr="008B584C">
        <w:rPr>
          <w:rFonts w:ascii="Times New Roman" w:hAnsi="Times New Roman" w:cs="Times New Roman"/>
          <w:spacing w:val="-2"/>
          <w:sz w:val="24"/>
          <w:szCs w:val="24"/>
        </w:rPr>
        <w:t xml:space="preserve"> 138.402/2018</w:t>
      </w:r>
      <w:r w:rsidRPr="008B584C">
        <w:rPr>
          <w:rFonts w:ascii="Times New Roman" w:hAnsi="Times New Roman" w:cs="Times New Roman"/>
          <w:spacing w:val="-2"/>
          <w:sz w:val="24"/>
          <w:szCs w:val="24"/>
        </w:rPr>
        <w:t>.</w:t>
      </w:r>
    </w:p>
    <w:p w:rsidR="00473149" w:rsidRPr="00992215"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992215">
        <w:rPr>
          <w:rFonts w:ascii="Times New Roman" w:hAnsi="Times New Roman" w:cs="Times New Roman"/>
          <w:i/>
          <w:sz w:val="24"/>
          <w:szCs w:val="24"/>
        </w:rPr>
        <w:t>Conclusão da equipe de auditoria:</w:t>
      </w:r>
    </w:p>
    <w:p w:rsidR="00473149" w:rsidRPr="00C32120" w:rsidRDefault="00473149" w:rsidP="00473149">
      <w:pPr>
        <w:numPr>
          <w:ilvl w:val="4"/>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Tendo em vista sinalização de necessidade de ampliação de prazo para atendimento ao quanto recomendado, opina-se pela subsistência da fragilidade ora evidenciada, alterando-se o marco final para cumprimento anteriormente proposto, consoante acordo firmado com a Unidade. </w:t>
      </w:r>
    </w:p>
    <w:p w:rsidR="00473149"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0D0CAF">
        <w:rPr>
          <w:rFonts w:ascii="Times New Roman" w:hAnsi="Times New Roman" w:cs="Times New Roman"/>
          <w:i/>
          <w:sz w:val="24"/>
          <w:szCs w:val="24"/>
        </w:rPr>
        <w:t>Proposta de encaminhamento:</w:t>
      </w:r>
    </w:p>
    <w:p w:rsidR="00473149" w:rsidRPr="000D0CAF" w:rsidRDefault="00473149" w:rsidP="00473149">
      <w:pPr>
        <w:numPr>
          <w:ilvl w:val="4"/>
          <w:numId w:val="1"/>
        </w:numPr>
        <w:spacing w:after="0" w:line="240" w:lineRule="auto"/>
        <w:jc w:val="both"/>
        <w:rPr>
          <w:rFonts w:ascii="Times New Roman" w:hAnsi="Times New Roman" w:cs="Times New Roman"/>
          <w:sz w:val="24"/>
          <w:szCs w:val="24"/>
        </w:rPr>
      </w:pPr>
      <w:r w:rsidRPr="000D0CAF">
        <w:rPr>
          <w:rFonts w:ascii="Times New Roman" w:hAnsi="Times New Roman" w:cs="Times New Roman"/>
          <w:sz w:val="24"/>
          <w:szCs w:val="24"/>
        </w:rPr>
        <w:t xml:space="preserve">Recomendar à SGP que, observado o prazo de </w:t>
      </w:r>
      <w:r>
        <w:rPr>
          <w:rFonts w:ascii="Times New Roman" w:hAnsi="Times New Roman" w:cs="Times New Roman"/>
          <w:sz w:val="24"/>
          <w:szCs w:val="24"/>
        </w:rPr>
        <w:t>120</w:t>
      </w:r>
      <w:r w:rsidRPr="000D0CAF">
        <w:rPr>
          <w:rFonts w:ascii="Times New Roman" w:hAnsi="Times New Roman" w:cs="Times New Roman"/>
          <w:sz w:val="24"/>
          <w:szCs w:val="24"/>
        </w:rPr>
        <w:t xml:space="preserve"> dias, formalize plano de gestão do dimensionamento da força de trabalho, de modo a viabilizar o gerenciamento </w:t>
      </w:r>
      <w:r w:rsidRPr="000D0CAF">
        <w:rPr>
          <w:rFonts w:ascii="Times New Roman" w:hAnsi="Times New Roman" w:cs="Times New Roman"/>
          <w:sz w:val="24"/>
          <w:szCs w:val="24"/>
        </w:rPr>
        <w:lastRenderedPageBreak/>
        <w:t xml:space="preserve">dos resultados e recomendações do DFT e a </w:t>
      </w:r>
      <w:proofErr w:type="gramStart"/>
      <w:r w:rsidRPr="000D0CAF">
        <w:rPr>
          <w:rFonts w:ascii="Times New Roman" w:hAnsi="Times New Roman" w:cs="Times New Roman"/>
          <w:sz w:val="24"/>
          <w:szCs w:val="24"/>
        </w:rPr>
        <w:t>implementação</w:t>
      </w:r>
      <w:proofErr w:type="gramEnd"/>
      <w:r w:rsidRPr="000D0CAF">
        <w:rPr>
          <w:rFonts w:ascii="Times New Roman" w:hAnsi="Times New Roman" w:cs="Times New Roman"/>
          <w:sz w:val="24"/>
          <w:szCs w:val="24"/>
        </w:rPr>
        <w:t xml:space="preserve"> de ações e intervenções necessárias ao aumento da eficiência, eficácia e efetividade organizacional, por meio de sua utilização como insumo para:</w:t>
      </w:r>
    </w:p>
    <w:p w:rsidR="00473149" w:rsidRPr="00E10467" w:rsidRDefault="00473149" w:rsidP="00473149">
      <w:pPr>
        <w:pStyle w:val="PargrafodaLista"/>
        <w:numPr>
          <w:ilvl w:val="0"/>
          <w:numId w:val="10"/>
        </w:numPr>
        <w:spacing w:before="0" w:after="0"/>
        <w:ind w:left="1134" w:firstLine="0"/>
        <w:rPr>
          <w:rFonts w:eastAsiaTheme="minorHAnsi"/>
          <w:b w:val="0"/>
          <w:sz w:val="24"/>
          <w:szCs w:val="24"/>
          <w:lang w:eastAsia="en-US"/>
        </w:rPr>
      </w:pPr>
      <w:bookmarkStart w:id="52" w:name="_Toc520362064"/>
      <w:bookmarkStart w:id="53" w:name="_Toc520405208"/>
      <w:proofErr w:type="gramStart"/>
      <w:r w:rsidRPr="00E10467">
        <w:rPr>
          <w:rFonts w:eastAsiaTheme="minorHAnsi"/>
          <w:b w:val="0"/>
          <w:sz w:val="24"/>
          <w:szCs w:val="24"/>
          <w:lang w:eastAsia="en-US"/>
        </w:rPr>
        <w:t>definição</w:t>
      </w:r>
      <w:proofErr w:type="gramEnd"/>
      <w:r w:rsidRPr="00E10467">
        <w:rPr>
          <w:rFonts w:eastAsiaTheme="minorHAnsi"/>
          <w:b w:val="0"/>
          <w:sz w:val="24"/>
          <w:szCs w:val="24"/>
          <w:lang w:eastAsia="en-US"/>
        </w:rPr>
        <w:t xml:space="preserve"> de estratégias visando reduzir ou eliminar lacunas identificadas, notadamente por meio de ajuste do quadro de pessoal ou da demanda;</w:t>
      </w:r>
      <w:bookmarkEnd w:id="52"/>
      <w:bookmarkEnd w:id="53"/>
      <w:r w:rsidRPr="00E10467">
        <w:rPr>
          <w:rFonts w:eastAsiaTheme="minorHAnsi"/>
          <w:b w:val="0"/>
          <w:sz w:val="24"/>
          <w:szCs w:val="24"/>
          <w:lang w:eastAsia="en-US"/>
        </w:rPr>
        <w:t xml:space="preserve"> </w:t>
      </w:r>
    </w:p>
    <w:p w:rsidR="00473149" w:rsidRPr="00E10467" w:rsidRDefault="00473149" w:rsidP="00473149">
      <w:pPr>
        <w:pStyle w:val="PargrafodaLista"/>
        <w:numPr>
          <w:ilvl w:val="0"/>
          <w:numId w:val="10"/>
        </w:numPr>
        <w:ind w:left="1134" w:firstLine="0"/>
        <w:rPr>
          <w:rFonts w:eastAsiaTheme="minorHAnsi"/>
          <w:b w:val="0"/>
          <w:sz w:val="24"/>
          <w:szCs w:val="24"/>
          <w:lang w:eastAsia="en-US"/>
        </w:rPr>
      </w:pPr>
      <w:bookmarkStart w:id="54" w:name="_Toc520362065"/>
      <w:bookmarkStart w:id="55" w:name="_Toc520405209"/>
      <w:proofErr w:type="gramStart"/>
      <w:r w:rsidRPr="00E10467">
        <w:rPr>
          <w:rFonts w:eastAsiaTheme="minorHAnsi"/>
          <w:b w:val="0"/>
          <w:sz w:val="24"/>
          <w:szCs w:val="24"/>
          <w:lang w:eastAsia="en-US"/>
        </w:rPr>
        <w:t>planejamento</w:t>
      </w:r>
      <w:proofErr w:type="gramEnd"/>
      <w:r w:rsidRPr="00E10467">
        <w:rPr>
          <w:rFonts w:eastAsiaTheme="minorHAnsi"/>
          <w:b w:val="0"/>
          <w:sz w:val="24"/>
          <w:szCs w:val="24"/>
          <w:lang w:eastAsia="en-US"/>
        </w:rPr>
        <w:t xml:space="preserve"> de concurso público;</w:t>
      </w:r>
      <w:bookmarkEnd w:id="54"/>
      <w:bookmarkEnd w:id="55"/>
      <w:r w:rsidRPr="00E10467">
        <w:rPr>
          <w:rFonts w:eastAsiaTheme="minorHAnsi"/>
          <w:b w:val="0"/>
          <w:sz w:val="24"/>
          <w:szCs w:val="24"/>
          <w:lang w:eastAsia="en-US"/>
        </w:rPr>
        <w:t xml:space="preserve"> </w:t>
      </w:r>
    </w:p>
    <w:p w:rsidR="00473149" w:rsidRPr="00E10467" w:rsidRDefault="00473149" w:rsidP="00473149">
      <w:pPr>
        <w:pStyle w:val="PargrafodaLista"/>
        <w:numPr>
          <w:ilvl w:val="0"/>
          <w:numId w:val="10"/>
        </w:numPr>
        <w:ind w:left="1134" w:firstLine="0"/>
        <w:rPr>
          <w:rFonts w:eastAsiaTheme="minorHAnsi"/>
          <w:b w:val="0"/>
          <w:sz w:val="24"/>
          <w:szCs w:val="24"/>
          <w:lang w:eastAsia="en-US"/>
        </w:rPr>
      </w:pPr>
      <w:bookmarkStart w:id="56" w:name="_Toc520362066"/>
      <w:bookmarkStart w:id="57" w:name="_Toc520405210"/>
      <w:proofErr w:type="gramStart"/>
      <w:r w:rsidRPr="00E10467">
        <w:rPr>
          <w:rFonts w:eastAsiaTheme="minorHAnsi"/>
          <w:b w:val="0"/>
          <w:sz w:val="24"/>
          <w:szCs w:val="24"/>
          <w:lang w:eastAsia="en-US"/>
        </w:rPr>
        <w:t>alocação</w:t>
      </w:r>
      <w:proofErr w:type="gramEnd"/>
      <w:r w:rsidRPr="00E10467">
        <w:rPr>
          <w:rFonts w:eastAsiaTheme="minorHAnsi"/>
          <w:b w:val="0"/>
          <w:sz w:val="24"/>
          <w:szCs w:val="24"/>
          <w:lang w:eastAsia="en-US"/>
        </w:rPr>
        <w:t xml:space="preserve"> inicial;</w:t>
      </w:r>
      <w:bookmarkEnd w:id="56"/>
      <w:bookmarkEnd w:id="57"/>
      <w:r w:rsidRPr="00E10467">
        <w:rPr>
          <w:rFonts w:eastAsiaTheme="minorHAnsi"/>
          <w:b w:val="0"/>
          <w:sz w:val="24"/>
          <w:szCs w:val="24"/>
          <w:lang w:eastAsia="en-US"/>
        </w:rPr>
        <w:t xml:space="preserve"> </w:t>
      </w:r>
    </w:p>
    <w:p w:rsidR="00473149" w:rsidRPr="00E10467" w:rsidRDefault="00473149" w:rsidP="00473149">
      <w:pPr>
        <w:pStyle w:val="PargrafodaLista"/>
        <w:numPr>
          <w:ilvl w:val="0"/>
          <w:numId w:val="10"/>
        </w:numPr>
        <w:ind w:left="1134" w:firstLine="0"/>
        <w:rPr>
          <w:rFonts w:eastAsiaTheme="minorHAnsi"/>
          <w:b w:val="0"/>
          <w:sz w:val="24"/>
          <w:szCs w:val="24"/>
          <w:lang w:eastAsia="en-US"/>
        </w:rPr>
      </w:pPr>
      <w:bookmarkStart w:id="58" w:name="_Toc520362067"/>
      <w:bookmarkStart w:id="59" w:name="_Toc520405211"/>
      <w:proofErr w:type="gramStart"/>
      <w:r w:rsidRPr="00E10467">
        <w:rPr>
          <w:rFonts w:eastAsiaTheme="minorHAnsi"/>
          <w:b w:val="0"/>
          <w:sz w:val="24"/>
          <w:szCs w:val="24"/>
          <w:lang w:eastAsia="en-US"/>
        </w:rPr>
        <w:t>movimentação</w:t>
      </w:r>
      <w:proofErr w:type="gramEnd"/>
      <w:r w:rsidRPr="00E10467">
        <w:rPr>
          <w:rFonts w:eastAsiaTheme="minorHAnsi"/>
          <w:b w:val="0"/>
          <w:sz w:val="24"/>
          <w:szCs w:val="24"/>
          <w:lang w:eastAsia="en-US"/>
        </w:rPr>
        <w:t xml:space="preserve"> de pessoal;</w:t>
      </w:r>
      <w:bookmarkEnd w:id="58"/>
      <w:bookmarkEnd w:id="59"/>
    </w:p>
    <w:p w:rsidR="00473149" w:rsidRPr="00E10467" w:rsidRDefault="00473149" w:rsidP="00473149">
      <w:pPr>
        <w:pStyle w:val="PargrafodaLista"/>
        <w:numPr>
          <w:ilvl w:val="0"/>
          <w:numId w:val="10"/>
        </w:numPr>
        <w:ind w:left="1134" w:firstLine="0"/>
        <w:rPr>
          <w:rFonts w:eastAsiaTheme="minorHAnsi"/>
          <w:b w:val="0"/>
          <w:sz w:val="24"/>
          <w:szCs w:val="24"/>
          <w:lang w:eastAsia="en-US"/>
        </w:rPr>
      </w:pPr>
      <w:bookmarkStart w:id="60" w:name="_Toc520362068"/>
      <w:bookmarkStart w:id="61" w:name="_Toc520405212"/>
      <w:proofErr w:type="gramStart"/>
      <w:r w:rsidRPr="00E10467">
        <w:rPr>
          <w:rFonts w:eastAsiaTheme="minorHAnsi"/>
          <w:b w:val="0"/>
          <w:sz w:val="24"/>
          <w:szCs w:val="24"/>
          <w:lang w:eastAsia="en-US"/>
        </w:rPr>
        <w:t>reestruturação</w:t>
      </w:r>
      <w:proofErr w:type="gramEnd"/>
      <w:r w:rsidRPr="00E10467">
        <w:rPr>
          <w:rFonts w:eastAsiaTheme="minorHAnsi"/>
          <w:b w:val="0"/>
          <w:sz w:val="24"/>
          <w:szCs w:val="24"/>
          <w:lang w:eastAsia="en-US"/>
        </w:rPr>
        <w:t xml:space="preserve"> administrativa; e</w:t>
      </w:r>
      <w:bookmarkEnd w:id="60"/>
      <w:bookmarkEnd w:id="61"/>
    </w:p>
    <w:p w:rsidR="00473149" w:rsidRDefault="00473149" w:rsidP="00473149">
      <w:pPr>
        <w:pStyle w:val="PargrafodaLista"/>
        <w:numPr>
          <w:ilvl w:val="0"/>
          <w:numId w:val="10"/>
        </w:numPr>
        <w:ind w:left="1134" w:firstLine="0"/>
        <w:rPr>
          <w:rFonts w:eastAsiaTheme="minorHAnsi"/>
          <w:b w:val="0"/>
          <w:sz w:val="24"/>
          <w:szCs w:val="24"/>
          <w:lang w:eastAsia="en-US"/>
        </w:rPr>
      </w:pPr>
      <w:bookmarkStart w:id="62" w:name="_Toc520362069"/>
      <w:bookmarkStart w:id="63" w:name="_Toc520405213"/>
      <w:proofErr w:type="gramStart"/>
      <w:r w:rsidRPr="00E10467">
        <w:rPr>
          <w:rFonts w:eastAsiaTheme="minorHAnsi"/>
          <w:b w:val="0"/>
          <w:sz w:val="24"/>
          <w:szCs w:val="24"/>
          <w:lang w:eastAsia="en-US"/>
        </w:rPr>
        <w:t>rezoneamento</w:t>
      </w:r>
      <w:proofErr w:type="gramEnd"/>
      <w:r w:rsidRPr="00E10467">
        <w:rPr>
          <w:rFonts w:eastAsiaTheme="minorHAnsi"/>
          <w:b w:val="0"/>
          <w:sz w:val="24"/>
          <w:szCs w:val="24"/>
          <w:lang w:eastAsia="en-US"/>
        </w:rPr>
        <w:t>.</w:t>
      </w:r>
      <w:bookmarkEnd w:id="62"/>
      <w:bookmarkEnd w:id="63"/>
    </w:p>
    <w:p w:rsidR="00473149" w:rsidRPr="00E10467" w:rsidRDefault="00473149" w:rsidP="00473149">
      <w:pPr>
        <w:numPr>
          <w:ilvl w:val="4"/>
          <w:numId w:val="1"/>
        </w:numPr>
        <w:spacing w:after="0" w:line="240" w:lineRule="auto"/>
        <w:jc w:val="both"/>
        <w:rPr>
          <w:rFonts w:ascii="Times New Roman" w:hAnsi="Times New Roman" w:cs="Times New Roman"/>
          <w:sz w:val="24"/>
          <w:szCs w:val="24"/>
        </w:rPr>
      </w:pPr>
      <w:r w:rsidRPr="00E10467">
        <w:rPr>
          <w:rFonts w:ascii="Times New Roman" w:hAnsi="Times New Roman" w:cs="Times New Roman"/>
          <w:sz w:val="24"/>
          <w:szCs w:val="24"/>
        </w:rPr>
        <w:t>Recomendar à SGP que, observado o prazo de 30</w:t>
      </w:r>
      <w:r>
        <w:rPr>
          <w:rFonts w:ascii="Times New Roman" w:hAnsi="Times New Roman" w:cs="Times New Roman"/>
          <w:sz w:val="24"/>
          <w:szCs w:val="24"/>
        </w:rPr>
        <w:t xml:space="preserve"> </w:t>
      </w:r>
      <w:r w:rsidRPr="00E10467">
        <w:rPr>
          <w:rFonts w:ascii="Times New Roman" w:hAnsi="Times New Roman" w:cs="Times New Roman"/>
          <w:sz w:val="24"/>
          <w:szCs w:val="24"/>
        </w:rPr>
        <w:t>dias, institua rotina de comunicação formal, às unidades dimensionadas, quanto aos resultados apurados em dimensionamento da força de trabalho, de modo a viabilizar a efetiva utilização das informações consignadas por todos os gestores das áreas envolvidas.</w:t>
      </w:r>
    </w:p>
    <w:p w:rsidR="00473149" w:rsidRDefault="00473149" w:rsidP="00473149">
      <w:pPr>
        <w:pStyle w:val="PargrafodaLista"/>
        <w:numPr>
          <w:ilvl w:val="2"/>
          <w:numId w:val="1"/>
        </w:numPr>
        <w:spacing w:before="120"/>
        <w:jc w:val="both"/>
        <w:rPr>
          <w:b w:val="0"/>
          <w:sz w:val="24"/>
          <w:szCs w:val="24"/>
          <w:u w:val="single"/>
        </w:rPr>
      </w:pPr>
      <w:bookmarkStart w:id="64" w:name="_Toc520362070"/>
      <w:bookmarkStart w:id="65" w:name="_Toc520405214"/>
      <w:bookmarkEnd w:id="51"/>
      <w:r w:rsidRPr="00E87857">
        <w:rPr>
          <w:rFonts w:eastAsiaTheme="minorHAnsi"/>
          <w:b w:val="0"/>
          <w:sz w:val="24"/>
          <w:szCs w:val="24"/>
          <w:u w:val="single"/>
          <w:lang w:eastAsia="en-US"/>
        </w:rPr>
        <w:t>DFT inconsistente</w:t>
      </w:r>
      <w:r w:rsidRPr="00F608EB">
        <w:rPr>
          <w:b w:val="0"/>
          <w:sz w:val="24"/>
          <w:szCs w:val="24"/>
          <w:u w:val="single"/>
        </w:rPr>
        <w:t>.</w:t>
      </w:r>
      <w:bookmarkEnd w:id="64"/>
      <w:bookmarkEnd w:id="65"/>
    </w:p>
    <w:p w:rsidR="00473149" w:rsidRPr="008A7DE0" w:rsidRDefault="00473149" w:rsidP="00473149">
      <w:pPr>
        <w:spacing w:before="120" w:after="120" w:line="240" w:lineRule="auto"/>
        <w:jc w:val="both"/>
        <w:rPr>
          <w:rFonts w:ascii="Times New Roman" w:hAnsi="Times New Roman" w:cs="Times New Roman"/>
          <w:i/>
          <w:sz w:val="24"/>
          <w:szCs w:val="24"/>
          <w:u w:val="single"/>
        </w:rPr>
      </w:pPr>
      <w:r w:rsidRPr="008A7DE0">
        <w:rPr>
          <w:rFonts w:ascii="Times New Roman" w:hAnsi="Times New Roman" w:cs="Times New Roman"/>
          <w:i/>
          <w:spacing w:val="-2"/>
          <w:sz w:val="24"/>
          <w:szCs w:val="24"/>
        </w:rPr>
        <w:t xml:space="preserve">Risco(s) associado(s): </w:t>
      </w:r>
      <w:r w:rsidRPr="008A7DE0">
        <w:rPr>
          <w:rFonts w:ascii="Times New Roman" w:hAnsi="Times New Roman" w:cs="Times New Roman"/>
          <w:i/>
          <w:sz w:val="24"/>
          <w:szCs w:val="24"/>
        </w:rPr>
        <w:t>R-4 – TRE-BA: MAP inconsistente; R6 – TRE/BA: DFT inadequado; e R7 – TRE-BA: Relatório do DFT inconsistente.</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Situação encontrada:</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E87857">
        <w:rPr>
          <w:rFonts w:ascii="Times New Roman" w:hAnsi="Times New Roman" w:cs="Times New Roman"/>
          <w:sz w:val="24"/>
          <w:szCs w:val="24"/>
        </w:rPr>
        <w:t>Na metodologia adotada para o DFT, a contabilização do quadro de servidores por unidade desconsidera o chefe da Seção</w:t>
      </w:r>
      <w:r w:rsidRPr="00F608EB">
        <w:rPr>
          <w:rFonts w:ascii="Times New Roman" w:hAnsi="Times New Roman" w:cs="Times New Roman"/>
          <w:sz w:val="24"/>
          <w:szCs w:val="24"/>
        </w:rPr>
        <w:t xml:space="preserve">. </w:t>
      </w:r>
    </w:p>
    <w:p w:rsidR="00473149" w:rsidRPr="00E87857" w:rsidRDefault="00473149" w:rsidP="00473149">
      <w:pPr>
        <w:numPr>
          <w:ilvl w:val="4"/>
          <w:numId w:val="1"/>
        </w:numPr>
        <w:spacing w:after="0" w:line="240" w:lineRule="auto"/>
        <w:jc w:val="both"/>
        <w:rPr>
          <w:rFonts w:ascii="Times New Roman" w:hAnsi="Times New Roman" w:cs="Times New Roman"/>
          <w:sz w:val="24"/>
          <w:szCs w:val="24"/>
        </w:rPr>
      </w:pPr>
      <w:r w:rsidRPr="00E87857">
        <w:rPr>
          <w:rFonts w:ascii="Times New Roman" w:hAnsi="Times New Roman" w:cs="Times New Roman"/>
          <w:sz w:val="24"/>
          <w:szCs w:val="24"/>
        </w:rPr>
        <w:t xml:space="preserve">Da análise do Relatório do DFT realizado na SGP e COPEG com dados extraídos do SGRH, foram evidenciadas as seguintes situações: SEROJ, havia a indicação de quadro de pessoal com </w:t>
      </w:r>
      <w:proofErr w:type="gramStart"/>
      <w:r w:rsidRPr="00E87857">
        <w:rPr>
          <w:rFonts w:ascii="Times New Roman" w:hAnsi="Times New Roman" w:cs="Times New Roman"/>
          <w:sz w:val="24"/>
          <w:szCs w:val="24"/>
        </w:rPr>
        <w:t>1</w:t>
      </w:r>
      <w:proofErr w:type="gramEnd"/>
      <w:r w:rsidRPr="00E87857">
        <w:rPr>
          <w:rFonts w:ascii="Times New Roman" w:hAnsi="Times New Roman" w:cs="Times New Roman"/>
          <w:sz w:val="24"/>
          <w:szCs w:val="24"/>
        </w:rPr>
        <w:t xml:space="preserve"> Analista ADM e 3 Técnicos, contudo, foram identificados, no SGRH, 1 Analista ADM e 4 Técnicos; SEMAMP, havia a indicação de quadro de pessoal com 1 Analista ADM, 1 Analista JUD e 1 Técnico, contudo, foram identificados, no SGRH, 1 Analista ADM, 1 Analista JUD (chefe de Seção) e 2 Técnicos;  SEDIR, havia a indicação de quadro de pessoal com 2 Analistas JUD e 2 Técnicos, contudo, foram identificados, no SGRH, 2 Analistas JUD e 3 Técnicos; SEGEPRO, havia a indicação de quadro de pessoal com 1 Analista JUD e 1 Técnico, contudo, foram identificados, no SGRH, 1 Analista ADM (chefe de Seção) e 1 Técnico; SEPLANE, havia a indicação de quadro de pessoal com  1 Analista ADM e 1 Técnico, contudo, foram identificados, no SGRH, 1 Analista ADM (Chefe de Seção)  e 1 Técnico; SEPROQ, quadro de pessoal sem servidores, contudo,   foram identificados, no SGRH,  2 Técnicos; SESTAT,   havia a indicação de quadro de pessoal com 1 Analista JUD e 1 Técnico,  contudo, foi identificado, no SGRH, apenas 1 Analista ADM (chefe de Seção).  No Relatório do DFT da SGP e COPEG, não se evidenciou informações adicionais que esclareçam as divergências encontradas entre o Relatório ora analisado e os dados de pessoal do SGRH.</w:t>
      </w:r>
    </w:p>
    <w:p w:rsidR="00473149" w:rsidRPr="00E87857" w:rsidRDefault="00473149" w:rsidP="00473149">
      <w:pPr>
        <w:numPr>
          <w:ilvl w:val="4"/>
          <w:numId w:val="1"/>
        </w:numPr>
        <w:spacing w:after="0" w:line="240" w:lineRule="auto"/>
        <w:jc w:val="both"/>
        <w:rPr>
          <w:rFonts w:ascii="Times New Roman" w:hAnsi="Times New Roman" w:cs="Times New Roman"/>
          <w:sz w:val="24"/>
          <w:szCs w:val="24"/>
        </w:rPr>
      </w:pPr>
      <w:r w:rsidRPr="00E87857">
        <w:rPr>
          <w:rFonts w:ascii="Times New Roman" w:hAnsi="Times New Roman" w:cs="Times New Roman"/>
          <w:sz w:val="24"/>
          <w:szCs w:val="24"/>
        </w:rPr>
        <w:t xml:space="preserve">Adicionalmente, registre-se que, no período de 3/7 a 6/7/2018, foi realizada uma pesquisa com as unidades que já participaram do DFT (COPEG, SGP, SGA e SOF) e do resultado apurado evidenciou-se que 21,88% das unidades não participaram da reunião de sensibilização e explanação do DFT; 15,63% relataram não ter recebido orientação quanto ao preenchimento do MAP e 21,88% declararam entendimento acerca das informações requeridas “em pequena parte” ou moderadamente. </w:t>
      </w:r>
    </w:p>
    <w:p w:rsidR="00473149" w:rsidRPr="00E87857" w:rsidRDefault="00473149" w:rsidP="00473149">
      <w:pPr>
        <w:numPr>
          <w:ilvl w:val="4"/>
          <w:numId w:val="1"/>
        </w:numPr>
        <w:spacing w:after="0" w:line="240" w:lineRule="auto"/>
        <w:jc w:val="both"/>
        <w:rPr>
          <w:rFonts w:ascii="Times New Roman" w:hAnsi="Times New Roman" w:cs="Times New Roman"/>
          <w:sz w:val="24"/>
          <w:szCs w:val="24"/>
        </w:rPr>
      </w:pPr>
      <w:r w:rsidRPr="00E87857">
        <w:rPr>
          <w:rFonts w:ascii="Times New Roman" w:hAnsi="Times New Roman" w:cs="Times New Roman"/>
          <w:sz w:val="24"/>
          <w:szCs w:val="24"/>
        </w:rPr>
        <w:lastRenderedPageBreak/>
        <w:t>Esclareça-se que, na elaboração dos MAPS e do DFT, atividades realizadas em planilha Excel, embora sejam utilizadas diversas fórmulas para o auxílio dos cálculos, não se evidenciou o travamento/bloqueio das células que contenham informações essenciais ao trabalho executado.</w:t>
      </w:r>
    </w:p>
    <w:p w:rsidR="00473149" w:rsidRPr="00E87857" w:rsidRDefault="00473149" w:rsidP="00473149">
      <w:pPr>
        <w:numPr>
          <w:ilvl w:val="4"/>
          <w:numId w:val="1"/>
        </w:numPr>
        <w:spacing w:after="0" w:line="240" w:lineRule="auto"/>
        <w:jc w:val="both"/>
        <w:rPr>
          <w:rFonts w:ascii="Times New Roman" w:hAnsi="Times New Roman" w:cs="Times New Roman"/>
          <w:sz w:val="24"/>
          <w:szCs w:val="24"/>
        </w:rPr>
      </w:pPr>
      <w:r w:rsidRPr="00E87857">
        <w:rPr>
          <w:rFonts w:ascii="Times New Roman" w:hAnsi="Times New Roman" w:cs="Times New Roman"/>
          <w:sz w:val="24"/>
          <w:szCs w:val="24"/>
        </w:rPr>
        <w:t xml:space="preserve">Na revisão das informações dos </w:t>
      </w:r>
      <w:proofErr w:type="spellStart"/>
      <w:r w:rsidRPr="00E87857">
        <w:rPr>
          <w:rFonts w:ascii="Times New Roman" w:hAnsi="Times New Roman" w:cs="Times New Roman"/>
          <w:sz w:val="24"/>
          <w:szCs w:val="24"/>
        </w:rPr>
        <w:t>MAPs</w:t>
      </w:r>
      <w:proofErr w:type="spellEnd"/>
      <w:r w:rsidRPr="00E87857">
        <w:rPr>
          <w:rFonts w:ascii="Times New Roman" w:hAnsi="Times New Roman" w:cs="Times New Roman"/>
          <w:sz w:val="24"/>
          <w:szCs w:val="24"/>
        </w:rPr>
        <w:t xml:space="preserve"> e na elaboração de Relatório do DFT não se evidenciou roteiro ou lista de verificação documentada ou institucionalizada, não obstante a utilização de material da Leme Consultoria acerca do DFT.</w:t>
      </w:r>
    </w:p>
    <w:p w:rsidR="00473149" w:rsidRPr="002808EC" w:rsidRDefault="00473149" w:rsidP="00473149">
      <w:pPr>
        <w:numPr>
          <w:ilvl w:val="4"/>
          <w:numId w:val="1"/>
        </w:numPr>
        <w:spacing w:after="0" w:line="240" w:lineRule="auto"/>
        <w:jc w:val="both"/>
        <w:rPr>
          <w:rFonts w:ascii="Times New Roman" w:hAnsi="Times New Roman" w:cs="Times New Roman"/>
          <w:sz w:val="24"/>
          <w:szCs w:val="24"/>
        </w:rPr>
      </w:pPr>
      <w:r w:rsidRPr="002808EC">
        <w:rPr>
          <w:rFonts w:ascii="Times New Roman" w:hAnsi="Times New Roman" w:cs="Times New Roman"/>
          <w:sz w:val="24"/>
          <w:szCs w:val="24"/>
        </w:rPr>
        <w:t>Esclareça-se que as informações consignadas no MAP instrumentalizam o cálculo do DFT.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sz w:val="24"/>
          <w:szCs w:val="24"/>
        </w:rPr>
      </w:pPr>
      <w:r w:rsidRPr="00F608EB">
        <w:rPr>
          <w:rFonts w:ascii="Times New Roman" w:hAnsi="Times New Roman" w:cs="Times New Roman"/>
          <w:i/>
          <w:sz w:val="24"/>
          <w:szCs w:val="24"/>
        </w:rPr>
        <w:t>Critério(s)</w:t>
      </w:r>
      <w:r w:rsidRPr="00E10467">
        <w:rPr>
          <w:rFonts w:ascii="Times New Roman" w:hAnsi="Times New Roman" w:cs="Times New Roman"/>
          <w:i/>
          <w:sz w:val="24"/>
          <w:szCs w:val="24"/>
        </w:rPr>
        <w:t>:</w:t>
      </w:r>
      <w:r w:rsidRPr="00F608EB">
        <w:rPr>
          <w:rFonts w:ascii="Times New Roman" w:hAnsi="Times New Roman" w:cs="Times New Roman"/>
          <w:sz w:val="24"/>
          <w:szCs w:val="24"/>
        </w:rPr>
        <w:t xml:space="preserve"> </w:t>
      </w:r>
      <w:r w:rsidRPr="00F608EB">
        <w:rPr>
          <w:rFonts w:ascii="Times New Roman" w:hAnsi="Times New Roman" w:cs="Times New Roman"/>
          <w:sz w:val="24"/>
          <w:szCs w:val="24"/>
        </w:rPr>
        <w:tab/>
      </w:r>
    </w:p>
    <w:p w:rsidR="00473149" w:rsidRPr="00E87857" w:rsidRDefault="00473149" w:rsidP="00473149">
      <w:pPr>
        <w:numPr>
          <w:ilvl w:val="4"/>
          <w:numId w:val="1"/>
        </w:numPr>
        <w:spacing w:after="0" w:line="240" w:lineRule="auto"/>
        <w:jc w:val="both"/>
        <w:rPr>
          <w:rFonts w:ascii="Times New Roman" w:hAnsi="Times New Roman" w:cs="Times New Roman"/>
          <w:bCs/>
          <w:sz w:val="24"/>
          <w:szCs w:val="24"/>
        </w:rPr>
      </w:pPr>
      <w:r w:rsidRPr="00E87857">
        <w:rPr>
          <w:rFonts w:ascii="Times New Roman" w:hAnsi="Times New Roman" w:cs="Times New Roman"/>
          <w:bCs/>
          <w:sz w:val="24"/>
          <w:szCs w:val="24"/>
        </w:rPr>
        <w:t xml:space="preserve">Resolução Administrativa do TRE-BA nº 16/2018, art. 5º, VII; Referencial Básico de Governança, TCU, Versão 2 – 2014, Práticas </w:t>
      </w:r>
      <w:proofErr w:type="gramStart"/>
      <w:r w:rsidRPr="00E87857">
        <w:rPr>
          <w:rFonts w:ascii="Times New Roman" w:hAnsi="Times New Roman" w:cs="Times New Roman"/>
          <w:bCs/>
          <w:sz w:val="24"/>
          <w:szCs w:val="24"/>
        </w:rPr>
        <w:t>L3.</w:t>
      </w:r>
      <w:proofErr w:type="gramEnd"/>
      <w:r w:rsidRPr="00E87857">
        <w:rPr>
          <w:rFonts w:ascii="Times New Roman" w:hAnsi="Times New Roman" w:cs="Times New Roman"/>
          <w:bCs/>
          <w:sz w:val="24"/>
          <w:szCs w:val="24"/>
        </w:rPr>
        <w:t>4 e C1.1. Resolução CNJ nº 240/2016, art</w:t>
      </w:r>
      <w:r>
        <w:rPr>
          <w:rFonts w:ascii="Times New Roman" w:hAnsi="Times New Roman" w:cs="Times New Roman"/>
          <w:bCs/>
          <w:sz w:val="24"/>
          <w:szCs w:val="24"/>
        </w:rPr>
        <w:t>.</w:t>
      </w:r>
      <w:r w:rsidRPr="00E87857">
        <w:rPr>
          <w:rFonts w:ascii="Times New Roman" w:hAnsi="Times New Roman" w:cs="Times New Roman"/>
          <w:bCs/>
          <w:sz w:val="24"/>
          <w:szCs w:val="24"/>
        </w:rPr>
        <w:t xml:space="preserve"> 4º, IX e art. 5, III e IV.</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Causa(s):</w:t>
      </w:r>
    </w:p>
    <w:p w:rsidR="00473149" w:rsidRPr="00F608EB" w:rsidRDefault="00473149" w:rsidP="00473149">
      <w:pPr>
        <w:numPr>
          <w:ilvl w:val="4"/>
          <w:numId w:val="1"/>
        </w:numPr>
        <w:spacing w:after="0" w:line="240" w:lineRule="auto"/>
        <w:jc w:val="both"/>
        <w:rPr>
          <w:rFonts w:ascii="Times New Roman" w:hAnsi="Times New Roman" w:cs="Times New Roman"/>
          <w:i/>
          <w:sz w:val="24"/>
          <w:szCs w:val="24"/>
        </w:rPr>
      </w:pPr>
      <w:r w:rsidRPr="00E87857">
        <w:rPr>
          <w:rFonts w:ascii="Times New Roman" w:hAnsi="Times New Roman" w:cs="Times New Roman"/>
          <w:bCs/>
          <w:sz w:val="24"/>
          <w:szCs w:val="24"/>
        </w:rPr>
        <w:t xml:space="preserve">Insuficiência de sistematização, padronização ou </w:t>
      </w:r>
      <w:proofErr w:type="spellStart"/>
      <w:r w:rsidRPr="00E87857">
        <w:rPr>
          <w:rFonts w:ascii="Times New Roman" w:hAnsi="Times New Roman" w:cs="Times New Roman"/>
          <w:bCs/>
          <w:sz w:val="24"/>
          <w:szCs w:val="24"/>
        </w:rPr>
        <w:t>manualização</w:t>
      </w:r>
      <w:proofErr w:type="spellEnd"/>
      <w:r w:rsidRPr="00E87857">
        <w:rPr>
          <w:rFonts w:ascii="Times New Roman" w:hAnsi="Times New Roman" w:cs="Times New Roman"/>
          <w:bCs/>
          <w:sz w:val="24"/>
          <w:szCs w:val="24"/>
        </w:rPr>
        <w:t xml:space="preserve"> de procedimentos e modelos pertinentes; insuficiência de controles internos associados à execução da atividade; insuficiência de ferramenta informatizada de suporte à atividade</w:t>
      </w:r>
      <w:r w:rsidRPr="00F608EB">
        <w:rPr>
          <w:rFonts w:ascii="Times New Roman" w:hAnsi="Times New Roman" w:cs="Times New Roman"/>
          <w:bCs/>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Efeito(s) (real ou potencial):</w:t>
      </w:r>
    </w:p>
    <w:p w:rsidR="00473149" w:rsidRPr="00F608EB" w:rsidRDefault="00473149" w:rsidP="00473149">
      <w:pPr>
        <w:numPr>
          <w:ilvl w:val="4"/>
          <w:numId w:val="1"/>
        </w:numPr>
        <w:spacing w:after="0" w:line="240" w:lineRule="auto"/>
        <w:jc w:val="both"/>
        <w:rPr>
          <w:rFonts w:ascii="Times New Roman" w:hAnsi="Times New Roman" w:cs="Times New Roman"/>
          <w:spacing w:val="-2"/>
          <w:sz w:val="24"/>
          <w:szCs w:val="24"/>
        </w:rPr>
      </w:pPr>
      <w:r w:rsidRPr="00E87857">
        <w:rPr>
          <w:rFonts w:ascii="Times New Roman" w:hAnsi="Times New Roman" w:cs="Times New Roman"/>
          <w:sz w:val="24"/>
          <w:szCs w:val="24"/>
        </w:rPr>
        <w:t>Deficiência na alocação de servidores; desalinhamento da gestão da força de trabalho com a estratégia organizacional; dificuldades na gestão do conhecimento organizacional; comprometimento da qualidade e celeridade das entregas afetas à unidade dimensionada e, por conseguinte, dos objetivos estratégicos do Tribunal; desmotivação do quadro de servidores; sobrecarga de atividades; aumento de horas em banco dos servidores; incremento de custos com horas extras de servidores; comprometimento da capacidade da instituição em gerar resultados e benefícios para a sociedade; e comprometimento da capacidade do Órgão de definir estratégias para a gestão da força de trabalho</w:t>
      </w:r>
      <w:r w:rsidRPr="00F608EB">
        <w:rPr>
          <w:rFonts w:ascii="Times New Roman" w:hAnsi="Times New Roman" w:cs="Times New Roman"/>
          <w:spacing w:val="-2"/>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Evidência(s):</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E87857">
        <w:rPr>
          <w:rFonts w:ascii="Times New Roman" w:hAnsi="Times New Roman" w:cs="Times New Roman"/>
          <w:sz w:val="24"/>
          <w:szCs w:val="24"/>
        </w:rPr>
        <w:t xml:space="preserve">Resposta da SGP à RDI nº 34/2018, PAD nº 8.252/2018 (Doc. nº 110.620/2018); material da LEME Consultoria para apresentação do DFT às unidades a serem dimensionadas; Relatório Conclusivo e de Recomendações – DFT (SGP e COPEG). </w:t>
      </w:r>
      <w:proofErr w:type="spellStart"/>
      <w:r w:rsidRPr="00E87857">
        <w:rPr>
          <w:rFonts w:ascii="Times New Roman" w:hAnsi="Times New Roman" w:cs="Times New Roman"/>
          <w:sz w:val="24"/>
          <w:szCs w:val="24"/>
        </w:rPr>
        <w:t>MAPs</w:t>
      </w:r>
      <w:proofErr w:type="spellEnd"/>
      <w:r w:rsidRPr="00E87857">
        <w:rPr>
          <w:rFonts w:ascii="Times New Roman" w:hAnsi="Times New Roman" w:cs="Times New Roman"/>
          <w:sz w:val="24"/>
          <w:szCs w:val="24"/>
        </w:rPr>
        <w:t xml:space="preserve"> e DFT da COPEG, SGP, SGA e SOF em planilha Excel</w:t>
      </w:r>
      <w:r w:rsidRPr="00F6664F">
        <w:rPr>
          <w:sz w:val="20"/>
          <w:szCs w:val="20"/>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bookmarkStart w:id="66" w:name="_Toc511288061"/>
      <w:r w:rsidRPr="00F608EB">
        <w:rPr>
          <w:rFonts w:ascii="Times New Roman" w:hAnsi="Times New Roman" w:cs="Times New Roman"/>
          <w:i/>
          <w:sz w:val="24"/>
          <w:szCs w:val="24"/>
        </w:rPr>
        <w:t>Esclarecimentos dos responsáveis:</w:t>
      </w:r>
    </w:p>
    <w:p w:rsidR="00473149" w:rsidRPr="00C420A2" w:rsidRDefault="00473149" w:rsidP="00473149">
      <w:pPr>
        <w:numPr>
          <w:ilvl w:val="4"/>
          <w:numId w:val="1"/>
        </w:numPr>
        <w:spacing w:after="0" w:line="240" w:lineRule="auto"/>
        <w:jc w:val="both"/>
        <w:rPr>
          <w:rFonts w:ascii="Times New Roman" w:hAnsi="Times New Roman" w:cs="Times New Roman"/>
          <w:spacing w:val="-4"/>
          <w:sz w:val="24"/>
          <w:szCs w:val="24"/>
        </w:rPr>
      </w:pPr>
      <w:r w:rsidRPr="00C420A2">
        <w:rPr>
          <w:rFonts w:ascii="Times New Roman" w:hAnsi="Times New Roman" w:cs="Times New Roman"/>
          <w:spacing w:val="-4"/>
          <w:sz w:val="24"/>
          <w:szCs w:val="24"/>
        </w:rPr>
        <w:t xml:space="preserve">Em resposta à RDI nº 39/2018 (PAD nº 10.441/2018, Doc. nº </w:t>
      </w:r>
      <w:r w:rsidRPr="008B584C">
        <w:rPr>
          <w:rFonts w:ascii="Times New Roman" w:hAnsi="Times New Roman" w:cs="Times New Roman"/>
          <w:spacing w:val="-4"/>
          <w:sz w:val="24"/>
          <w:szCs w:val="24"/>
        </w:rPr>
        <w:t>138.402</w:t>
      </w:r>
      <w:r w:rsidRPr="00C420A2">
        <w:rPr>
          <w:rFonts w:ascii="Times New Roman" w:hAnsi="Times New Roman" w:cs="Times New Roman"/>
          <w:spacing w:val="-4"/>
          <w:sz w:val="24"/>
          <w:szCs w:val="24"/>
        </w:rPr>
        <w:t xml:space="preserve">/2018), a SGP informou que o dimensionamento da força de trabalho é um processo novo no TRE-BA, como na maioria das instituições públicas, e que, na Justiça Eleitoral, o Tribunal é um dos pioneiros na implantação dessa ferramenta de gestão. Acrescentou que a implantação tem sido feita de forma escalonada por diversas razões. </w:t>
      </w:r>
    </w:p>
    <w:p w:rsidR="00473149" w:rsidRDefault="00473149" w:rsidP="00473149">
      <w:pPr>
        <w:numPr>
          <w:ilvl w:val="4"/>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Ressaltou e</w:t>
      </w:r>
      <w:r w:rsidRPr="00C420A2">
        <w:rPr>
          <w:rFonts w:ascii="Times New Roman" w:hAnsi="Times New Roman" w:cs="Times New Roman"/>
          <w:sz w:val="24"/>
          <w:szCs w:val="24"/>
        </w:rPr>
        <w:t>ntende</w:t>
      </w:r>
      <w:r>
        <w:rPr>
          <w:rFonts w:ascii="Times New Roman" w:hAnsi="Times New Roman" w:cs="Times New Roman"/>
          <w:sz w:val="24"/>
          <w:szCs w:val="24"/>
        </w:rPr>
        <w:t>r</w:t>
      </w:r>
      <w:r w:rsidRPr="00C420A2">
        <w:rPr>
          <w:rFonts w:ascii="Times New Roman" w:hAnsi="Times New Roman" w:cs="Times New Roman"/>
          <w:sz w:val="24"/>
          <w:szCs w:val="24"/>
        </w:rPr>
        <w:t xml:space="preserve"> ser necessário e natural do processo de implantação, o aperfeiçoamento do método e dos controles, a elaboração e revisão dos papéis de trabalho e do fluxo e, ainda, a </w:t>
      </w:r>
      <w:proofErr w:type="gramStart"/>
      <w:r w:rsidRPr="00C420A2">
        <w:rPr>
          <w:rFonts w:ascii="Times New Roman" w:hAnsi="Times New Roman" w:cs="Times New Roman"/>
          <w:sz w:val="24"/>
          <w:szCs w:val="24"/>
        </w:rPr>
        <w:t>implementação</w:t>
      </w:r>
      <w:proofErr w:type="gramEnd"/>
      <w:r w:rsidRPr="00C420A2">
        <w:rPr>
          <w:rFonts w:ascii="Times New Roman" w:hAnsi="Times New Roman" w:cs="Times New Roman"/>
          <w:sz w:val="24"/>
          <w:szCs w:val="24"/>
        </w:rPr>
        <w:t xml:space="preserve"> de mecanismos de monitoramento do DFT apurado. </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C420A2">
        <w:rPr>
          <w:rFonts w:ascii="Times New Roman" w:hAnsi="Times New Roman" w:cs="Times New Roman"/>
          <w:sz w:val="24"/>
          <w:szCs w:val="24"/>
        </w:rPr>
        <w:t>Pontuou que a SEDES est</w:t>
      </w:r>
      <w:r>
        <w:rPr>
          <w:rFonts w:ascii="Times New Roman" w:hAnsi="Times New Roman" w:cs="Times New Roman"/>
          <w:sz w:val="24"/>
          <w:szCs w:val="24"/>
        </w:rPr>
        <w:t>á</w:t>
      </w:r>
      <w:r w:rsidRPr="00C420A2">
        <w:rPr>
          <w:rFonts w:ascii="Times New Roman" w:hAnsi="Times New Roman" w:cs="Times New Roman"/>
          <w:sz w:val="24"/>
          <w:szCs w:val="24"/>
        </w:rPr>
        <w:t xml:space="preserve"> elaborando manual do DFT, com detalhamento dos procedimentos relativos ao estudo da força de trabalho no TRE-BA, a fim de registrar e compartilhar com futuros servidores da unidade, o conhecimento sobre essa ferramenta de gestão. </w:t>
      </w:r>
    </w:p>
    <w:p w:rsidR="00473149" w:rsidRPr="00454681" w:rsidRDefault="00473149" w:rsidP="00473149">
      <w:pPr>
        <w:numPr>
          <w:ilvl w:val="4"/>
          <w:numId w:val="1"/>
        </w:numPr>
        <w:spacing w:after="0" w:line="240" w:lineRule="auto"/>
        <w:jc w:val="both"/>
        <w:rPr>
          <w:rFonts w:ascii="Times New Roman" w:hAnsi="Times New Roman" w:cs="Times New Roman"/>
          <w:spacing w:val="-4"/>
          <w:sz w:val="24"/>
          <w:szCs w:val="24"/>
        </w:rPr>
      </w:pPr>
      <w:r w:rsidRPr="00C420A2">
        <w:rPr>
          <w:rFonts w:ascii="Times New Roman" w:hAnsi="Times New Roman" w:cs="Times New Roman"/>
          <w:spacing w:val="-4"/>
          <w:sz w:val="24"/>
          <w:szCs w:val="24"/>
        </w:rPr>
        <w:t xml:space="preserve">Esclareceu, ainda, que, além da elaboração do manual, as rotinas estão sendo repensadas e estão sendo estabelecidos controles do processo de trabalho como </w:t>
      </w:r>
      <w:proofErr w:type="spellStart"/>
      <w:r w:rsidRPr="00C420A2">
        <w:rPr>
          <w:rFonts w:ascii="Times New Roman" w:hAnsi="Times New Roman" w:cs="Times New Roman"/>
          <w:i/>
          <w:spacing w:val="-4"/>
          <w:sz w:val="24"/>
          <w:szCs w:val="24"/>
        </w:rPr>
        <w:t>check</w:t>
      </w:r>
      <w:proofErr w:type="spellEnd"/>
      <w:r w:rsidRPr="00C420A2">
        <w:rPr>
          <w:rFonts w:ascii="Times New Roman" w:hAnsi="Times New Roman" w:cs="Times New Roman"/>
          <w:i/>
          <w:spacing w:val="-4"/>
          <w:sz w:val="24"/>
          <w:szCs w:val="24"/>
        </w:rPr>
        <w:t xml:space="preserve"> </w:t>
      </w:r>
      <w:proofErr w:type="spellStart"/>
      <w:r w:rsidRPr="00C420A2">
        <w:rPr>
          <w:rFonts w:ascii="Times New Roman" w:hAnsi="Times New Roman" w:cs="Times New Roman"/>
          <w:i/>
          <w:spacing w:val="-4"/>
          <w:sz w:val="24"/>
          <w:szCs w:val="24"/>
        </w:rPr>
        <w:lastRenderedPageBreak/>
        <w:t>list</w:t>
      </w:r>
      <w:proofErr w:type="spellEnd"/>
      <w:r w:rsidRPr="00C420A2">
        <w:rPr>
          <w:rFonts w:ascii="Times New Roman" w:hAnsi="Times New Roman" w:cs="Times New Roman"/>
          <w:spacing w:val="-4"/>
          <w:sz w:val="24"/>
          <w:szCs w:val="24"/>
        </w:rPr>
        <w:t>, formulários e fluxograma.  Informou, ainda, que a SEDES tem desenvolvido estudos visando detectar falhas e desvios e aprimorar seus processos de trabalho.</w:t>
      </w:r>
      <w:r w:rsidRPr="00C420A2">
        <w:rPr>
          <w:spacing w:val="-4"/>
        </w:rPr>
        <w:t xml:space="preserve"> </w:t>
      </w:r>
    </w:p>
    <w:p w:rsidR="00473149" w:rsidRPr="008B584C" w:rsidRDefault="00473149" w:rsidP="00473149">
      <w:pPr>
        <w:numPr>
          <w:ilvl w:val="4"/>
          <w:numId w:val="1"/>
        </w:numPr>
        <w:spacing w:after="0" w:line="240" w:lineRule="auto"/>
        <w:jc w:val="both"/>
        <w:rPr>
          <w:rFonts w:ascii="Times New Roman" w:hAnsi="Times New Roman" w:cs="Times New Roman"/>
          <w:spacing w:val="-4"/>
          <w:sz w:val="24"/>
          <w:szCs w:val="24"/>
        </w:rPr>
      </w:pPr>
      <w:r w:rsidRPr="008B584C">
        <w:rPr>
          <w:rFonts w:ascii="Times New Roman" w:hAnsi="Times New Roman" w:cs="Times New Roman"/>
          <w:spacing w:val="-2"/>
          <w:sz w:val="24"/>
          <w:szCs w:val="24"/>
        </w:rPr>
        <w:t>Em resposta à RDI Circular nº 13/2018 (PAD nº 11.047/2018, Doc. nº 145.284/2018) a SGP ratificou informações anteriormente prestadas (PAD nº 10.441/2018, Doc. nº 138.402/2018).</w:t>
      </w:r>
    </w:p>
    <w:p w:rsidR="00473149" w:rsidRPr="008B584C" w:rsidRDefault="008B584C" w:rsidP="00473149">
      <w:pPr>
        <w:numPr>
          <w:ilvl w:val="4"/>
          <w:numId w:val="1"/>
        </w:numPr>
        <w:spacing w:after="0" w:line="240" w:lineRule="auto"/>
        <w:jc w:val="both"/>
        <w:rPr>
          <w:rFonts w:ascii="Times New Roman" w:hAnsi="Times New Roman" w:cs="Times New Roman"/>
          <w:spacing w:val="-4"/>
          <w:sz w:val="24"/>
          <w:szCs w:val="24"/>
        </w:rPr>
      </w:pPr>
      <w:r w:rsidRPr="008B584C">
        <w:rPr>
          <w:rFonts w:ascii="Times New Roman" w:hAnsi="Times New Roman" w:cs="Times New Roman"/>
          <w:spacing w:val="-2"/>
          <w:sz w:val="24"/>
          <w:szCs w:val="24"/>
        </w:rPr>
        <w:t>Também e</w:t>
      </w:r>
      <w:r w:rsidR="00473149" w:rsidRPr="008B584C">
        <w:rPr>
          <w:rFonts w:ascii="Times New Roman" w:hAnsi="Times New Roman" w:cs="Times New Roman"/>
          <w:spacing w:val="-2"/>
          <w:sz w:val="24"/>
          <w:szCs w:val="24"/>
        </w:rPr>
        <w:t xml:space="preserve">m resposta à </w:t>
      </w:r>
      <w:r w:rsidRPr="008B584C">
        <w:rPr>
          <w:rFonts w:ascii="Times New Roman" w:hAnsi="Times New Roman" w:cs="Times New Roman"/>
          <w:spacing w:val="-2"/>
          <w:sz w:val="24"/>
          <w:szCs w:val="24"/>
        </w:rPr>
        <w:t>sobredita RDI Circular</w:t>
      </w:r>
      <w:r w:rsidR="00473149" w:rsidRPr="008B584C">
        <w:rPr>
          <w:rFonts w:ascii="Times New Roman" w:hAnsi="Times New Roman" w:cs="Times New Roman"/>
          <w:spacing w:val="-2"/>
          <w:sz w:val="24"/>
          <w:szCs w:val="24"/>
        </w:rPr>
        <w:t xml:space="preserve"> (Doc. nº 146.328/2018)</w:t>
      </w:r>
      <w:r w:rsidRPr="008B584C">
        <w:rPr>
          <w:rFonts w:ascii="Times New Roman" w:hAnsi="Times New Roman" w:cs="Times New Roman"/>
          <w:spacing w:val="-2"/>
          <w:sz w:val="24"/>
          <w:szCs w:val="24"/>
        </w:rPr>
        <w:t>,</w:t>
      </w:r>
      <w:r w:rsidR="00473149" w:rsidRPr="008B584C">
        <w:rPr>
          <w:rFonts w:ascii="Times New Roman" w:hAnsi="Times New Roman" w:cs="Times New Roman"/>
          <w:spacing w:val="-2"/>
          <w:sz w:val="24"/>
          <w:szCs w:val="24"/>
        </w:rPr>
        <w:t xml:space="preserve"> a COPEG registrou que já est</w:t>
      </w:r>
      <w:r w:rsidRPr="008B584C">
        <w:rPr>
          <w:rFonts w:ascii="Times New Roman" w:hAnsi="Times New Roman" w:cs="Times New Roman"/>
          <w:spacing w:val="-2"/>
          <w:sz w:val="24"/>
          <w:szCs w:val="24"/>
        </w:rPr>
        <w:t>avam</w:t>
      </w:r>
      <w:r w:rsidR="00473149" w:rsidRPr="008B584C">
        <w:rPr>
          <w:rFonts w:ascii="Times New Roman" w:hAnsi="Times New Roman" w:cs="Times New Roman"/>
          <w:spacing w:val="-2"/>
          <w:sz w:val="24"/>
          <w:szCs w:val="24"/>
        </w:rPr>
        <w:t xml:space="preserve"> sendo adotadas as providências pertinentes para adequar a necessidade de lotação ao quantitativo mínimo de servidores nas suas unidades, visando assegurar a efetividade de suas atribuições.  Informou, ainda, </w:t>
      </w:r>
      <w:r w:rsidRPr="008B584C">
        <w:rPr>
          <w:rFonts w:ascii="Times New Roman" w:hAnsi="Times New Roman" w:cs="Times New Roman"/>
          <w:spacing w:val="-2"/>
          <w:sz w:val="24"/>
          <w:szCs w:val="24"/>
        </w:rPr>
        <w:t>que</w:t>
      </w:r>
      <w:r w:rsidR="00473149" w:rsidRPr="008B584C">
        <w:rPr>
          <w:rFonts w:ascii="Times New Roman" w:hAnsi="Times New Roman" w:cs="Times New Roman"/>
          <w:spacing w:val="-2"/>
          <w:sz w:val="24"/>
          <w:szCs w:val="24"/>
        </w:rPr>
        <w:t xml:space="preserve"> ape</w:t>
      </w:r>
      <w:r w:rsidRPr="008B584C">
        <w:rPr>
          <w:rFonts w:ascii="Times New Roman" w:hAnsi="Times New Roman" w:cs="Times New Roman"/>
          <w:spacing w:val="-2"/>
          <w:sz w:val="24"/>
          <w:szCs w:val="24"/>
        </w:rPr>
        <w:t>nas duas seções ainda não atendiam</w:t>
      </w:r>
      <w:r w:rsidR="00473149" w:rsidRPr="008B584C">
        <w:rPr>
          <w:rFonts w:ascii="Times New Roman" w:hAnsi="Times New Roman" w:cs="Times New Roman"/>
          <w:spacing w:val="-2"/>
          <w:sz w:val="24"/>
          <w:szCs w:val="24"/>
        </w:rPr>
        <w:t xml:space="preserve"> ao mínimo previsto no DFT: SEPROQ (com </w:t>
      </w:r>
      <w:proofErr w:type="gramStart"/>
      <w:r w:rsidR="00473149" w:rsidRPr="008B584C">
        <w:rPr>
          <w:rFonts w:ascii="Times New Roman" w:hAnsi="Times New Roman" w:cs="Times New Roman"/>
          <w:spacing w:val="-2"/>
          <w:sz w:val="24"/>
          <w:szCs w:val="24"/>
        </w:rPr>
        <w:t>2</w:t>
      </w:r>
      <w:proofErr w:type="gramEnd"/>
      <w:r w:rsidR="00473149" w:rsidRPr="008B584C">
        <w:rPr>
          <w:rFonts w:ascii="Times New Roman" w:hAnsi="Times New Roman" w:cs="Times New Roman"/>
          <w:spacing w:val="-2"/>
          <w:sz w:val="24"/>
          <w:szCs w:val="24"/>
        </w:rPr>
        <w:t xml:space="preserve"> servidores) e SEGEPRO (apenas com o titular).</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Conclusão da equipe de auditoria:</w:t>
      </w:r>
    </w:p>
    <w:p w:rsidR="00473149" w:rsidRPr="00C420A2" w:rsidRDefault="00473149" w:rsidP="00473149">
      <w:pPr>
        <w:numPr>
          <w:ilvl w:val="4"/>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Em que pese ponderações registradas pela SGP acerca da elaboração do manual, mudança de rotinas, instituição de controles e dos estudos que tem sido desenvolvidos </w:t>
      </w:r>
      <w:proofErr w:type="gramStart"/>
      <w:r>
        <w:rPr>
          <w:rFonts w:ascii="Times New Roman" w:hAnsi="Times New Roman" w:cs="Times New Roman"/>
          <w:sz w:val="24"/>
          <w:szCs w:val="24"/>
        </w:rPr>
        <w:t>pela SEDES</w:t>
      </w:r>
      <w:proofErr w:type="gramEnd"/>
      <w:r>
        <w:rPr>
          <w:rFonts w:ascii="Times New Roman" w:hAnsi="Times New Roman" w:cs="Times New Roman"/>
          <w:sz w:val="24"/>
          <w:szCs w:val="24"/>
        </w:rPr>
        <w:t xml:space="preserve"> para detectar falhas, desvios e aprimorar o processo de trabalho DFT, conclui-se que, enquanto não documentada a metodologia utilizada na realização do DFT e elaborado o efetivo plano de tratamento de riscos, subsistirá a fragilidade anteriormente evidenciada e respectivos riscos associados.</w:t>
      </w:r>
    </w:p>
    <w:p w:rsidR="00473149" w:rsidRPr="00E10467"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E10467">
        <w:rPr>
          <w:rFonts w:ascii="Times New Roman" w:hAnsi="Times New Roman" w:cs="Times New Roman"/>
          <w:i/>
          <w:sz w:val="24"/>
          <w:szCs w:val="24"/>
        </w:rPr>
        <w:t>Proposta de encaminhamento:</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E10467">
        <w:rPr>
          <w:rFonts w:ascii="Times New Roman" w:hAnsi="Times New Roman" w:cs="Times New Roman"/>
          <w:sz w:val="24"/>
          <w:szCs w:val="24"/>
        </w:rPr>
        <w:t>Recomendar à SGP que observado o prazo de 120 dias, documente a metodologia utilizada na realização do dimensionamento da força de trabalho, de modo a padronizar procedimentos e modelos pertinentes e formalizar controles instituídos.</w:t>
      </w:r>
    </w:p>
    <w:p w:rsidR="00473149" w:rsidRDefault="00473149" w:rsidP="00473149">
      <w:pPr>
        <w:pStyle w:val="PargrafodaLista"/>
        <w:numPr>
          <w:ilvl w:val="2"/>
          <w:numId w:val="1"/>
        </w:numPr>
        <w:spacing w:before="120"/>
        <w:jc w:val="both"/>
        <w:rPr>
          <w:b w:val="0"/>
          <w:sz w:val="24"/>
          <w:szCs w:val="24"/>
          <w:u w:val="single"/>
        </w:rPr>
      </w:pPr>
      <w:bookmarkStart w:id="67" w:name="_Toc520362071"/>
      <w:bookmarkStart w:id="68" w:name="_Toc520405215"/>
      <w:bookmarkEnd w:id="66"/>
      <w:r w:rsidRPr="00CF0050">
        <w:rPr>
          <w:rFonts w:eastAsiaTheme="minorHAnsi"/>
          <w:b w:val="0"/>
          <w:sz w:val="24"/>
          <w:szCs w:val="24"/>
          <w:u w:val="single"/>
          <w:lang w:eastAsia="en-US"/>
        </w:rPr>
        <w:t>Movimentação de servidores em desconformidade com critérios convencionados ou normativamente estabelecidos</w:t>
      </w:r>
      <w:r w:rsidRPr="00F608EB">
        <w:rPr>
          <w:b w:val="0"/>
          <w:sz w:val="24"/>
          <w:szCs w:val="24"/>
          <w:u w:val="single"/>
        </w:rPr>
        <w:t>.</w:t>
      </w:r>
      <w:bookmarkEnd w:id="67"/>
      <w:bookmarkEnd w:id="68"/>
    </w:p>
    <w:p w:rsidR="00473149" w:rsidRPr="008A7DE0" w:rsidRDefault="00473149" w:rsidP="00473149">
      <w:pPr>
        <w:spacing w:before="120" w:after="120" w:line="240" w:lineRule="auto"/>
        <w:jc w:val="both"/>
        <w:rPr>
          <w:i/>
          <w:lang w:eastAsia="pt-BR"/>
        </w:rPr>
      </w:pPr>
      <w:r w:rsidRPr="008A7DE0">
        <w:rPr>
          <w:rFonts w:ascii="Times New Roman" w:hAnsi="Times New Roman" w:cs="Times New Roman"/>
          <w:i/>
          <w:spacing w:val="-2"/>
          <w:sz w:val="24"/>
          <w:szCs w:val="24"/>
        </w:rPr>
        <w:t xml:space="preserve">Risco(s) associado(s): </w:t>
      </w:r>
      <w:r w:rsidRPr="008A7DE0">
        <w:rPr>
          <w:rFonts w:ascii="Times New Roman" w:hAnsi="Times New Roman" w:cs="Times New Roman"/>
          <w:i/>
          <w:sz w:val="24"/>
          <w:szCs w:val="24"/>
        </w:rPr>
        <w:t>R8 – TRE-BA: Não sensibilização dos gestores para utilização dos resultados do DFT; e R1 - TSE: Alocação e movimentação inadequada (</w:t>
      </w:r>
      <w:proofErr w:type="gramStart"/>
      <w:r w:rsidRPr="008A7DE0">
        <w:rPr>
          <w:rFonts w:ascii="Times New Roman" w:hAnsi="Times New Roman" w:cs="Times New Roman"/>
          <w:i/>
          <w:sz w:val="24"/>
          <w:szCs w:val="24"/>
        </w:rPr>
        <w:t>quantitativa/qualitativa</w:t>
      </w:r>
      <w:proofErr w:type="gramEnd"/>
      <w:r w:rsidRPr="008A7DE0">
        <w:rPr>
          <w:rFonts w:ascii="Times New Roman" w:hAnsi="Times New Roman" w:cs="Times New Roman"/>
          <w:i/>
          <w:sz w:val="24"/>
          <w:szCs w:val="24"/>
        </w:rPr>
        <w:t>) de pessoal.</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Situação encontrada:</w:t>
      </w:r>
    </w:p>
    <w:p w:rsidR="00473149" w:rsidRPr="00CF0050" w:rsidRDefault="00473149" w:rsidP="00473149">
      <w:pPr>
        <w:numPr>
          <w:ilvl w:val="4"/>
          <w:numId w:val="1"/>
        </w:numPr>
        <w:spacing w:after="0" w:line="240" w:lineRule="auto"/>
        <w:jc w:val="both"/>
        <w:rPr>
          <w:rFonts w:ascii="Times New Roman" w:hAnsi="Times New Roman" w:cs="Times New Roman"/>
          <w:sz w:val="24"/>
          <w:szCs w:val="24"/>
        </w:rPr>
      </w:pPr>
      <w:r w:rsidRPr="00C0553B">
        <w:rPr>
          <w:rFonts w:ascii="Times New Roman" w:hAnsi="Times New Roman" w:cs="Times New Roman"/>
          <w:sz w:val="24"/>
          <w:szCs w:val="24"/>
        </w:rPr>
        <w:t xml:space="preserve">Verificou-se que o TRE-BA não possui Tabela de Lotação de Cargos (TLC) por unidade formalizada. </w:t>
      </w:r>
    </w:p>
    <w:p w:rsidR="00473149" w:rsidRPr="00CF0050" w:rsidRDefault="00473149" w:rsidP="00473149">
      <w:pPr>
        <w:numPr>
          <w:ilvl w:val="4"/>
          <w:numId w:val="1"/>
        </w:numPr>
        <w:spacing w:after="0" w:line="240" w:lineRule="auto"/>
        <w:jc w:val="both"/>
        <w:rPr>
          <w:rFonts w:ascii="Times New Roman" w:hAnsi="Times New Roman" w:cs="Times New Roman"/>
          <w:sz w:val="24"/>
          <w:szCs w:val="24"/>
        </w:rPr>
      </w:pPr>
      <w:r w:rsidRPr="00C0553B">
        <w:rPr>
          <w:rFonts w:ascii="Times New Roman" w:hAnsi="Times New Roman" w:cs="Times New Roman"/>
          <w:sz w:val="24"/>
          <w:szCs w:val="24"/>
        </w:rPr>
        <w:t>Contudo</w:t>
      </w:r>
      <w:r>
        <w:rPr>
          <w:rFonts w:ascii="Times New Roman" w:hAnsi="Times New Roman" w:cs="Times New Roman"/>
          <w:sz w:val="24"/>
          <w:szCs w:val="24"/>
        </w:rPr>
        <w:t>,</w:t>
      </w:r>
      <w:r w:rsidRPr="00C0553B">
        <w:rPr>
          <w:rFonts w:ascii="Times New Roman" w:hAnsi="Times New Roman" w:cs="Times New Roman"/>
          <w:sz w:val="24"/>
          <w:szCs w:val="24"/>
        </w:rPr>
        <w:t xml:space="preserve"> constatou-se que a SGP utiliza como referencial para lotação da força de trabalho nas unidades administrativas e judiciárias do Tribunal o quantitativo mínimo de três servidores para Seções e Zonas Eleitorais da Capital e dois para Gabinetes de Juízes e Zonas Eleitorais do Interior do Estado. </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C0553B">
        <w:rPr>
          <w:rFonts w:ascii="Times New Roman" w:hAnsi="Times New Roman" w:cs="Times New Roman"/>
          <w:sz w:val="24"/>
          <w:szCs w:val="24"/>
        </w:rPr>
        <w:t xml:space="preserve">Acrescente-se que, no que tange à lotação e movimentação, nas zonas eleitorais, a Resolução Administrativa do TRE-BA nº 3/2004 estabelece que </w:t>
      </w:r>
      <w:proofErr w:type="gramStart"/>
      <w:r w:rsidRPr="00C0553B">
        <w:rPr>
          <w:rFonts w:ascii="Times New Roman" w:hAnsi="Times New Roman" w:cs="Times New Roman"/>
          <w:sz w:val="24"/>
          <w:szCs w:val="24"/>
        </w:rPr>
        <w:t>deverá</w:t>
      </w:r>
      <w:proofErr w:type="gramEnd"/>
      <w:r w:rsidRPr="00C0553B">
        <w:rPr>
          <w:rFonts w:ascii="Times New Roman" w:hAnsi="Times New Roman" w:cs="Times New Roman"/>
          <w:sz w:val="24"/>
          <w:szCs w:val="24"/>
        </w:rPr>
        <w:t xml:space="preserve"> ser observado o número mínimo de </w:t>
      </w:r>
      <w:r w:rsidR="00250761">
        <w:rPr>
          <w:rFonts w:ascii="Times New Roman" w:hAnsi="Times New Roman" w:cs="Times New Roman"/>
          <w:sz w:val="24"/>
          <w:szCs w:val="24"/>
        </w:rPr>
        <w:t>lotação de dois servidores (um T</w:t>
      </w:r>
      <w:r w:rsidRPr="00C0553B">
        <w:rPr>
          <w:rFonts w:ascii="Times New Roman" w:hAnsi="Times New Roman" w:cs="Times New Roman"/>
          <w:sz w:val="24"/>
          <w:szCs w:val="24"/>
        </w:rPr>
        <w:t xml:space="preserve">écnico </w:t>
      </w:r>
      <w:r w:rsidR="00250761">
        <w:rPr>
          <w:rFonts w:ascii="Times New Roman" w:hAnsi="Times New Roman" w:cs="Times New Roman"/>
          <w:sz w:val="24"/>
          <w:szCs w:val="24"/>
        </w:rPr>
        <w:t>Judiciário Área Administrativa e um Analista Judiciário Área Judiciária ou A</w:t>
      </w:r>
      <w:r w:rsidRPr="00C0553B">
        <w:rPr>
          <w:rFonts w:ascii="Times New Roman" w:hAnsi="Times New Roman" w:cs="Times New Roman"/>
          <w:sz w:val="24"/>
          <w:szCs w:val="24"/>
        </w:rPr>
        <w:t>dministrativa) por Zona Eleitoral</w:t>
      </w:r>
      <w:r w:rsidRPr="00F608EB">
        <w:rPr>
          <w:rFonts w:ascii="Times New Roman" w:hAnsi="Times New Roman" w:cs="Times New Roman"/>
          <w:sz w:val="24"/>
          <w:szCs w:val="24"/>
        </w:rPr>
        <w:t xml:space="preserve">. </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C0553B">
        <w:rPr>
          <w:rFonts w:ascii="Times New Roman" w:hAnsi="Times New Roman" w:cs="Times New Roman"/>
          <w:sz w:val="24"/>
          <w:szCs w:val="24"/>
        </w:rPr>
        <w:t>Verificou-se, ainda, que a SGP realiza a lotação de servidores nas Secretarias, cabendo aos respectivos gestores proceder à distribuição interna dos mesmos nas Seções vinculadas. Em se tratando de Zonas eleitorais, Assessorias e Gabinetes de juízes, a lotação se processa diretamente na unidade judiciária ou administrativa.</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C0553B">
        <w:rPr>
          <w:rFonts w:ascii="Times New Roman" w:hAnsi="Times New Roman" w:cs="Times New Roman"/>
          <w:sz w:val="24"/>
          <w:szCs w:val="24"/>
        </w:rPr>
        <w:t>Não se evidenciou, no critério de lotação adotado pela SGP, a ponderação das especificidades de cada unidade, adotando-se apenas o critério quantitativo, não sendo considerados os aspectos qualitativos e as especificidades de cada unidade administrativa ou judiciária, à exceção do perfil de cargos definido pela Resolução Administrativa TRE-BA nº 3/2004 para as zonas eleitorais</w:t>
      </w:r>
      <w:r w:rsidRPr="00F608EB">
        <w:rPr>
          <w:rFonts w:ascii="Times New Roman" w:hAnsi="Times New Roman" w:cs="Times New Roman"/>
          <w:sz w:val="24"/>
          <w:szCs w:val="24"/>
        </w:rPr>
        <w:t>.</w:t>
      </w:r>
    </w:p>
    <w:p w:rsidR="00473149" w:rsidRPr="00C0553B" w:rsidRDefault="00473149" w:rsidP="00473149">
      <w:pPr>
        <w:numPr>
          <w:ilvl w:val="4"/>
          <w:numId w:val="1"/>
        </w:numPr>
        <w:spacing w:after="0" w:line="240" w:lineRule="auto"/>
        <w:jc w:val="both"/>
        <w:rPr>
          <w:rFonts w:ascii="Times New Roman" w:hAnsi="Times New Roman" w:cs="Times New Roman"/>
          <w:sz w:val="24"/>
          <w:szCs w:val="24"/>
        </w:rPr>
      </w:pPr>
      <w:r w:rsidRPr="00C0553B">
        <w:rPr>
          <w:rFonts w:ascii="Times New Roman" w:hAnsi="Times New Roman" w:cs="Times New Roman"/>
          <w:sz w:val="24"/>
          <w:szCs w:val="24"/>
        </w:rPr>
        <w:lastRenderedPageBreak/>
        <w:t>Registre-se que a Resolução CNJ nº 211/2015 estabeleceu um quantitativo mínimo de servidores da área de TI de acordo com o número de usuários dos serviços de TIC. Ressalte-se que o referido referencial mínimo foi recepcionado pela Política de Gestão de Pessoas de TIC organizacional, consoante teor do §2º, do art. 4º, da Resolução Administrativa TRE-BA nº 18, de 20 de junho de 2018.</w:t>
      </w:r>
    </w:p>
    <w:p w:rsidR="00473149" w:rsidRPr="00C0553B" w:rsidRDefault="00473149" w:rsidP="00473149">
      <w:pPr>
        <w:numPr>
          <w:ilvl w:val="4"/>
          <w:numId w:val="1"/>
        </w:numPr>
        <w:spacing w:after="0" w:line="240" w:lineRule="auto"/>
        <w:jc w:val="both"/>
        <w:rPr>
          <w:rFonts w:ascii="Times New Roman" w:hAnsi="Times New Roman" w:cs="Times New Roman"/>
          <w:sz w:val="24"/>
          <w:szCs w:val="24"/>
        </w:rPr>
      </w:pPr>
      <w:r w:rsidRPr="00C0553B">
        <w:rPr>
          <w:rFonts w:ascii="Times New Roman" w:hAnsi="Times New Roman" w:cs="Times New Roman"/>
          <w:sz w:val="24"/>
          <w:szCs w:val="24"/>
        </w:rPr>
        <w:t xml:space="preserve">Esclareça-se que, no TRE-BA, este quantitativo mínimo ficou definido em </w:t>
      </w:r>
      <w:r w:rsidRPr="00CE339D">
        <w:rPr>
          <w:rFonts w:ascii="Times New Roman" w:hAnsi="Times New Roman" w:cs="Times New Roman"/>
          <w:color w:val="0070C0"/>
          <w:sz w:val="24"/>
          <w:szCs w:val="24"/>
        </w:rPr>
        <w:t>52</w:t>
      </w:r>
      <w:r>
        <w:rPr>
          <w:rFonts w:ascii="Times New Roman" w:hAnsi="Times New Roman" w:cs="Times New Roman"/>
          <w:sz w:val="24"/>
          <w:szCs w:val="24"/>
        </w:rPr>
        <w:t xml:space="preserve"> </w:t>
      </w:r>
      <w:r w:rsidRPr="00C0553B">
        <w:rPr>
          <w:rFonts w:ascii="Times New Roman" w:hAnsi="Times New Roman" w:cs="Times New Roman"/>
          <w:sz w:val="24"/>
          <w:szCs w:val="24"/>
        </w:rPr>
        <w:t xml:space="preserve">servidores, contudo, em 25/6/2018, a STI possuía apenas </w:t>
      </w:r>
      <w:r w:rsidRPr="00586640">
        <w:rPr>
          <w:rFonts w:ascii="Times New Roman" w:hAnsi="Times New Roman" w:cs="Times New Roman"/>
          <w:color w:val="0070C0"/>
          <w:sz w:val="24"/>
          <w:szCs w:val="24"/>
        </w:rPr>
        <w:t>2</w:t>
      </w:r>
      <w:r w:rsidR="00586640" w:rsidRPr="00586640">
        <w:rPr>
          <w:rFonts w:ascii="Times New Roman" w:hAnsi="Times New Roman" w:cs="Times New Roman"/>
          <w:color w:val="0070C0"/>
          <w:sz w:val="24"/>
          <w:szCs w:val="24"/>
        </w:rPr>
        <w:t>3</w:t>
      </w:r>
      <w:r w:rsidRPr="00C0553B">
        <w:rPr>
          <w:rFonts w:ascii="Times New Roman" w:hAnsi="Times New Roman" w:cs="Times New Roman"/>
          <w:sz w:val="24"/>
          <w:szCs w:val="24"/>
        </w:rPr>
        <w:t xml:space="preserve"> servidores com habilitação específica para trabalhar em TI.</w:t>
      </w:r>
    </w:p>
    <w:p w:rsidR="00473149" w:rsidRPr="00C0553B" w:rsidRDefault="00473149" w:rsidP="00473149">
      <w:pPr>
        <w:numPr>
          <w:ilvl w:val="4"/>
          <w:numId w:val="1"/>
        </w:numPr>
        <w:spacing w:after="0" w:line="240" w:lineRule="auto"/>
        <w:jc w:val="both"/>
        <w:rPr>
          <w:rFonts w:ascii="Times New Roman" w:hAnsi="Times New Roman" w:cs="Times New Roman"/>
          <w:sz w:val="24"/>
          <w:szCs w:val="24"/>
        </w:rPr>
      </w:pPr>
      <w:r w:rsidRPr="00C0553B">
        <w:rPr>
          <w:rFonts w:ascii="Times New Roman" w:hAnsi="Times New Roman" w:cs="Times New Roman"/>
          <w:sz w:val="24"/>
          <w:szCs w:val="24"/>
        </w:rPr>
        <w:t>Registre-se que o Tribunal possui um projeto estratégico de Dimensionamento da Força de Trabalho tendo sido dimensionada a força de trabalho da SGP e da COPEG, em 2016/2017, e SOF e SGA, em 2017/2018.</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C0553B">
        <w:rPr>
          <w:rFonts w:ascii="Times New Roman" w:hAnsi="Times New Roman" w:cs="Times New Roman"/>
          <w:sz w:val="24"/>
          <w:szCs w:val="24"/>
        </w:rPr>
        <w:t xml:space="preserve">Da análise das informações extraídas do SGRH e do Portal do Servidor na Intranet Institucional, em 25/6/2018, evidenciou-se a existência de unidades da Secretaria com apenas </w:t>
      </w:r>
      <w:proofErr w:type="gramStart"/>
      <w:r w:rsidRPr="00C0553B">
        <w:rPr>
          <w:rFonts w:ascii="Times New Roman" w:hAnsi="Times New Roman" w:cs="Times New Roman"/>
          <w:sz w:val="24"/>
          <w:szCs w:val="24"/>
        </w:rPr>
        <w:t>2</w:t>
      </w:r>
      <w:proofErr w:type="gramEnd"/>
      <w:r w:rsidRPr="00C0553B">
        <w:rPr>
          <w:rFonts w:ascii="Times New Roman" w:hAnsi="Times New Roman" w:cs="Times New Roman"/>
          <w:sz w:val="24"/>
          <w:szCs w:val="24"/>
        </w:rPr>
        <w:t xml:space="preserve"> servidores (ASDEC, SEAPRO2, GAB-SGA, GAB-SGS, SELOG, SEPLAME, SEPROG, SECAU, SEEPPA) e outras com apenas 1 servidor (SEGEPRO e SESTE).</w:t>
      </w:r>
    </w:p>
    <w:p w:rsidR="00473149" w:rsidRPr="00C0553B" w:rsidRDefault="00473149" w:rsidP="00473149">
      <w:pPr>
        <w:numPr>
          <w:ilvl w:val="4"/>
          <w:numId w:val="1"/>
        </w:numPr>
        <w:tabs>
          <w:tab w:val="left" w:pos="851"/>
        </w:tabs>
        <w:spacing w:after="0" w:line="240" w:lineRule="auto"/>
        <w:ind w:left="1134" w:hanging="1134"/>
        <w:jc w:val="both"/>
        <w:rPr>
          <w:rFonts w:ascii="Times New Roman" w:hAnsi="Times New Roman" w:cs="Times New Roman"/>
          <w:sz w:val="24"/>
          <w:szCs w:val="24"/>
        </w:rPr>
      </w:pPr>
      <w:r w:rsidRPr="00C0553B">
        <w:rPr>
          <w:rFonts w:ascii="Times New Roman" w:hAnsi="Times New Roman" w:cs="Times New Roman"/>
          <w:sz w:val="24"/>
          <w:szCs w:val="24"/>
        </w:rPr>
        <w:t xml:space="preserve">Identificou-se, ainda, que, dentro de uma mesma Coordenadoria, existem Seções com </w:t>
      </w:r>
      <w:proofErr w:type="gramStart"/>
      <w:r w:rsidRPr="00C0553B">
        <w:rPr>
          <w:rFonts w:ascii="Times New Roman" w:hAnsi="Times New Roman" w:cs="Times New Roman"/>
          <w:sz w:val="24"/>
          <w:szCs w:val="24"/>
        </w:rPr>
        <w:t>2</w:t>
      </w:r>
      <w:proofErr w:type="gramEnd"/>
      <w:r w:rsidRPr="00C0553B">
        <w:rPr>
          <w:rFonts w:ascii="Times New Roman" w:hAnsi="Times New Roman" w:cs="Times New Roman"/>
          <w:sz w:val="24"/>
          <w:szCs w:val="24"/>
        </w:rPr>
        <w:t xml:space="preserve"> servidores (SELOG e SEPLAME) e outras com 6 (SEORIS), o mesmo acontecendo com a SEAPRO 2 (2 servidores) e a SEPUJ (7 servidores). Foram identificadas, ainda, Seções com 21 servidores (SEDAS), 13 (SEGIN), 12 (SEBLIM) e outras com apenas </w:t>
      </w:r>
      <w:proofErr w:type="gramStart"/>
      <w:r w:rsidRPr="00C0553B">
        <w:rPr>
          <w:rFonts w:ascii="Times New Roman" w:hAnsi="Times New Roman" w:cs="Times New Roman"/>
          <w:sz w:val="24"/>
          <w:szCs w:val="24"/>
        </w:rPr>
        <w:t>1</w:t>
      </w:r>
      <w:proofErr w:type="gramEnd"/>
      <w:r w:rsidRPr="00C0553B">
        <w:rPr>
          <w:rFonts w:ascii="Times New Roman" w:hAnsi="Times New Roman" w:cs="Times New Roman"/>
          <w:sz w:val="24"/>
          <w:szCs w:val="24"/>
        </w:rPr>
        <w:t xml:space="preserve"> servidor (SESTE e SEGEPRO).</w:t>
      </w:r>
    </w:p>
    <w:p w:rsidR="00473149" w:rsidRPr="00C0553B" w:rsidRDefault="00473149" w:rsidP="00473149">
      <w:pPr>
        <w:numPr>
          <w:ilvl w:val="4"/>
          <w:numId w:val="1"/>
        </w:numPr>
        <w:spacing w:after="0" w:line="240" w:lineRule="auto"/>
        <w:ind w:left="1134" w:hanging="1134"/>
        <w:jc w:val="both"/>
        <w:rPr>
          <w:rFonts w:ascii="Times New Roman" w:hAnsi="Times New Roman" w:cs="Times New Roman"/>
          <w:sz w:val="24"/>
          <w:szCs w:val="24"/>
        </w:rPr>
      </w:pPr>
      <w:r w:rsidRPr="00C0553B">
        <w:rPr>
          <w:rFonts w:ascii="Times New Roman" w:hAnsi="Times New Roman" w:cs="Times New Roman"/>
          <w:sz w:val="24"/>
          <w:szCs w:val="24"/>
        </w:rPr>
        <w:t xml:space="preserve">Da análise da amostra selecionada para os Cartórios das Zonas Eleitorais do interior (19), identificou-se que a 63º Zona Eleitoral possui somente </w:t>
      </w:r>
      <w:proofErr w:type="gramStart"/>
      <w:r w:rsidRPr="00C0553B">
        <w:rPr>
          <w:rFonts w:ascii="Times New Roman" w:hAnsi="Times New Roman" w:cs="Times New Roman"/>
          <w:sz w:val="24"/>
          <w:szCs w:val="24"/>
        </w:rPr>
        <w:t>1</w:t>
      </w:r>
      <w:proofErr w:type="gramEnd"/>
      <w:r w:rsidRPr="00C0553B">
        <w:rPr>
          <w:rFonts w:ascii="Times New Roman" w:hAnsi="Times New Roman" w:cs="Times New Roman"/>
          <w:sz w:val="24"/>
          <w:szCs w:val="24"/>
        </w:rPr>
        <w:t xml:space="preserve"> Técnico e a 119º Zona apenas 1 Analista. Registre-se que a 63ª ZE possui claro de lotação.</w:t>
      </w:r>
    </w:p>
    <w:p w:rsidR="00473149" w:rsidRPr="00C0553B" w:rsidRDefault="00473149" w:rsidP="00473149">
      <w:pPr>
        <w:numPr>
          <w:ilvl w:val="4"/>
          <w:numId w:val="1"/>
        </w:numPr>
        <w:spacing w:after="0" w:line="240" w:lineRule="auto"/>
        <w:ind w:left="1134" w:hanging="1134"/>
        <w:jc w:val="both"/>
        <w:rPr>
          <w:rFonts w:ascii="Times New Roman" w:hAnsi="Times New Roman" w:cs="Times New Roman"/>
          <w:sz w:val="24"/>
          <w:szCs w:val="24"/>
        </w:rPr>
      </w:pPr>
      <w:r w:rsidRPr="00C0553B">
        <w:rPr>
          <w:rFonts w:ascii="Times New Roman" w:hAnsi="Times New Roman" w:cs="Times New Roman"/>
          <w:sz w:val="24"/>
          <w:szCs w:val="24"/>
        </w:rPr>
        <w:t xml:space="preserve">Da análise das unidades que tiveram a força de trabalho dimensionada em 2017 (SGP e COPEG), evidenciou-se movimentação de servidores de forma destoante do DFT realizado: na SEREF, a lotação ideal apurada pelo DFT (desconsiderando-se o chefe da Seção) foi de </w:t>
      </w:r>
      <w:proofErr w:type="gramStart"/>
      <w:r w:rsidRPr="00C0553B">
        <w:rPr>
          <w:rFonts w:ascii="Times New Roman" w:hAnsi="Times New Roman" w:cs="Times New Roman"/>
          <w:sz w:val="24"/>
          <w:szCs w:val="24"/>
        </w:rPr>
        <w:t>3</w:t>
      </w:r>
      <w:proofErr w:type="gramEnd"/>
      <w:r w:rsidRPr="00C0553B">
        <w:rPr>
          <w:rFonts w:ascii="Times New Roman" w:hAnsi="Times New Roman" w:cs="Times New Roman"/>
          <w:sz w:val="24"/>
          <w:szCs w:val="24"/>
        </w:rPr>
        <w:t xml:space="preserve"> Analistas Judiciários área Administrativa e 4 Técnicos Judiciários, contudo identificou-se a lotação de 1 Técnico em 10/1/2018 e outro em 15/3/2018 em unidade que já possuía os 4 técnicos reputados necessários pelo DFT (totalizando 6) e 1 Analista Área Administrativa e 1 Área Judiciária, ficando a Unidade com 1 servidor a mais do que o apurado pelo DFT e 2 Técnicos a mais; na SEAPEN, a força de trabalho apurada ideal pelo DFT foi de 1 Analista Área Administrativa, contudo verificou-se lotação de  1 Técnico, em 1/9/2017, mesmo a unidade já possuindo 1 Técnico em seu quadro de pessoal; na SEPROQ, a força de trabalho identificada ideal pelo DFT foi de 1 Técnico e 1 Analista Área Administrativa, contudo foi lotado 1 Técnico, em 1/12/2017, mesmo a unidade já possuindo 1 Técnico em seu quadro de pessoal. A mesma situação ocorreu na SESTAT, com lotação de Técnico, na unidade, em 18/4/2018, mesmo já tendo sido lotado </w:t>
      </w:r>
      <w:proofErr w:type="gramStart"/>
      <w:r w:rsidRPr="00C0553B">
        <w:rPr>
          <w:rFonts w:ascii="Times New Roman" w:hAnsi="Times New Roman" w:cs="Times New Roman"/>
          <w:sz w:val="24"/>
          <w:szCs w:val="24"/>
        </w:rPr>
        <w:t>1</w:t>
      </w:r>
      <w:proofErr w:type="gramEnd"/>
      <w:r w:rsidRPr="00C0553B">
        <w:rPr>
          <w:rFonts w:ascii="Times New Roman" w:hAnsi="Times New Roman" w:cs="Times New Roman"/>
          <w:sz w:val="24"/>
          <w:szCs w:val="24"/>
        </w:rPr>
        <w:t xml:space="preserve"> Técnico em 16/1/2018, ao invés de 1 Analista ADM reputado necessário pelo DFT realizado (quadro ideal para  SESTAT pelo DFT, 1 Analista ADM e 1 Técnico).</w:t>
      </w:r>
    </w:p>
    <w:p w:rsidR="00473149" w:rsidRPr="00C0553B" w:rsidRDefault="00473149" w:rsidP="00473149">
      <w:pPr>
        <w:numPr>
          <w:ilvl w:val="4"/>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0553B">
        <w:rPr>
          <w:rFonts w:ascii="Times New Roman" w:hAnsi="Times New Roman" w:cs="Times New Roman"/>
          <w:sz w:val="24"/>
          <w:szCs w:val="24"/>
        </w:rPr>
        <w:t>Esclareça-se que, nas situações anteriormente analisadas, foram desconsiderados os chefes de Seção.</w:t>
      </w:r>
    </w:p>
    <w:p w:rsidR="00473149" w:rsidRPr="00C0553B" w:rsidRDefault="00473149" w:rsidP="00473149">
      <w:pPr>
        <w:numPr>
          <w:ilvl w:val="4"/>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0553B">
        <w:rPr>
          <w:rFonts w:ascii="Times New Roman" w:hAnsi="Times New Roman" w:cs="Times New Roman"/>
          <w:sz w:val="24"/>
          <w:szCs w:val="24"/>
        </w:rPr>
        <w:t xml:space="preserve">Evidenciou-se, também, que o DFT realizado identifica o quadro de lotação ideal de algumas unidades como sendo o de </w:t>
      </w:r>
      <w:proofErr w:type="gramStart"/>
      <w:r w:rsidRPr="00C0553B">
        <w:rPr>
          <w:rFonts w:ascii="Times New Roman" w:hAnsi="Times New Roman" w:cs="Times New Roman"/>
          <w:sz w:val="24"/>
          <w:szCs w:val="24"/>
        </w:rPr>
        <w:t>1</w:t>
      </w:r>
      <w:proofErr w:type="gramEnd"/>
      <w:r w:rsidRPr="00C0553B">
        <w:rPr>
          <w:rFonts w:ascii="Times New Roman" w:hAnsi="Times New Roman" w:cs="Times New Roman"/>
          <w:sz w:val="24"/>
          <w:szCs w:val="24"/>
        </w:rPr>
        <w:t xml:space="preserve"> servidor (desconsiderado o chefe da Seção), caso da SEAPEN e SEBEN, contudo, as referidas unidades, antes da reestruturação, processada em 6/5/2018, possuíam 3 servidores em seu quadro de pessoal, não seguindo o DFT realizado. </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lastRenderedPageBreak/>
        <w:t>Critério(s):</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C0553B">
        <w:rPr>
          <w:rFonts w:ascii="Times New Roman" w:hAnsi="Times New Roman" w:cs="Times New Roman"/>
          <w:sz w:val="24"/>
          <w:szCs w:val="24"/>
        </w:rPr>
        <w:t xml:space="preserve">Resolução CNJ nº 240/2016, </w:t>
      </w:r>
      <w:proofErr w:type="spellStart"/>
      <w:r w:rsidRPr="00C0553B">
        <w:rPr>
          <w:rFonts w:ascii="Times New Roman" w:hAnsi="Times New Roman" w:cs="Times New Roman"/>
          <w:sz w:val="24"/>
          <w:szCs w:val="24"/>
        </w:rPr>
        <w:t>art</w:t>
      </w:r>
      <w:proofErr w:type="spellEnd"/>
      <w:r w:rsidRPr="00C0553B">
        <w:rPr>
          <w:rFonts w:ascii="Times New Roman" w:hAnsi="Times New Roman" w:cs="Times New Roman"/>
          <w:sz w:val="24"/>
          <w:szCs w:val="24"/>
        </w:rPr>
        <w:t xml:space="preserve"> 4º, IX e art. 5, III e IV; Resolução CNJ nº 211/2015, art. 13, § 1º; Resolução Administrativa TRE-BA nº 3/2004, art. 6º; Resolução Administrativa TRE-BA nº 12/2017 (Política de Gestão de Pessoas do TRE-BA), </w:t>
      </w:r>
      <w:proofErr w:type="spellStart"/>
      <w:r w:rsidRPr="00C0553B">
        <w:rPr>
          <w:rFonts w:ascii="Times New Roman" w:hAnsi="Times New Roman" w:cs="Times New Roman"/>
          <w:sz w:val="24"/>
          <w:szCs w:val="24"/>
        </w:rPr>
        <w:t>arts</w:t>
      </w:r>
      <w:proofErr w:type="spellEnd"/>
      <w:r w:rsidRPr="00C0553B">
        <w:rPr>
          <w:rFonts w:ascii="Times New Roman" w:hAnsi="Times New Roman" w:cs="Times New Roman"/>
          <w:sz w:val="24"/>
          <w:szCs w:val="24"/>
        </w:rPr>
        <w:t xml:space="preserve">. 5º, III e IV, e 6º, III; Resolução Administrativa TRE-BA nº 12/2018 (Regulamento Interno da Secretaria do Tribunal), </w:t>
      </w:r>
      <w:proofErr w:type="spellStart"/>
      <w:r w:rsidRPr="00C0553B">
        <w:rPr>
          <w:rFonts w:ascii="Times New Roman" w:hAnsi="Times New Roman" w:cs="Times New Roman"/>
          <w:sz w:val="24"/>
          <w:szCs w:val="24"/>
        </w:rPr>
        <w:t>arts</w:t>
      </w:r>
      <w:proofErr w:type="spellEnd"/>
      <w:r w:rsidRPr="00C0553B">
        <w:rPr>
          <w:rFonts w:ascii="Times New Roman" w:hAnsi="Times New Roman" w:cs="Times New Roman"/>
          <w:sz w:val="24"/>
          <w:szCs w:val="24"/>
        </w:rPr>
        <w:t xml:space="preserve">. 55, 65, II e X, 67, </w:t>
      </w:r>
      <w:proofErr w:type="gramStart"/>
      <w:r w:rsidRPr="00C0553B">
        <w:rPr>
          <w:rFonts w:ascii="Times New Roman" w:hAnsi="Times New Roman" w:cs="Times New Roman"/>
          <w:sz w:val="24"/>
          <w:szCs w:val="24"/>
        </w:rPr>
        <w:t>VI</w:t>
      </w:r>
      <w:proofErr w:type="gramEnd"/>
      <w:r w:rsidRPr="00C0553B">
        <w:rPr>
          <w:rFonts w:ascii="Times New Roman" w:hAnsi="Times New Roman" w:cs="Times New Roman"/>
          <w:sz w:val="24"/>
          <w:szCs w:val="24"/>
        </w:rPr>
        <w:t xml:space="preserve"> e VII, 68, II, e 128, VI e VII; Resolução Administrativa TRE-BA nº 18/2018, art. 4º, §2º; e Acórdão TCU Plenário nº 1.172/2015, subitens 9.1.8 e 9.1.10</w:t>
      </w:r>
      <w:r w:rsidRPr="00F608EB">
        <w:rPr>
          <w:rFonts w:ascii="Times New Roman" w:hAnsi="Times New Roman" w:cs="Times New Roman"/>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Causa(s):</w:t>
      </w:r>
    </w:p>
    <w:p w:rsidR="00473149" w:rsidRPr="00F608EB" w:rsidRDefault="00473149" w:rsidP="00473149">
      <w:pPr>
        <w:numPr>
          <w:ilvl w:val="4"/>
          <w:numId w:val="1"/>
        </w:numPr>
        <w:spacing w:after="0" w:line="240" w:lineRule="auto"/>
        <w:jc w:val="both"/>
        <w:rPr>
          <w:rFonts w:ascii="Times New Roman" w:hAnsi="Times New Roman" w:cs="Times New Roman"/>
          <w:bCs/>
          <w:sz w:val="24"/>
          <w:szCs w:val="24"/>
        </w:rPr>
      </w:pPr>
      <w:r w:rsidRPr="00C0553B">
        <w:rPr>
          <w:rFonts w:ascii="Times New Roman" w:hAnsi="Times New Roman" w:cs="Times New Roman"/>
          <w:sz w:val="24"/>
          <w:szCs w:val="24"/>
        </w:rPr>
        <w:t>Incipiente cultura organizacional em planejamento da força de trabalho; recente formalização de política de gestão de pessoas organizacional; incipiente cultura organizacional em orientação para resultados; ausência de norma interna com critérios e procedimentos para lotação inicial e movimentação de servidores; ausência de Tabela de Lotação de Cargos; e insuficiência de quadro de pessoal</w:t>
      </w:r>
      <w:r w:rsidRPr="00F608EB">
        <w:rPr>
          <w:rFonts w:ascii="Times New Roman" w:hAnsi="Times New Roman" w:cs="Times New Roman"/>
          <w:bCs/>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Efeito(s) (real ou potencial):</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C0553B">
        <w:rPr>
          <w:rFonts w:ascii="Times New Roman" w:hAnsi="Times New Roman" w:cs="Times New Roman"/>
          <w:sz w:val="24"/>
          <w:szCs w:val="24"/>
        </w:rPr>
        <w:t>Deficiência na alocação da força de trabalho; inexecução de atividade por insuficiência de força de trabalho ou execução de atividade com qualidade inferior e/ou de forma intempestiva; comprometimento da capacidade da instituição em gerar resultados e benefícios para a sociedade; desalinhamento da gestão da força de trabalho com a estratégia organizacional; desmotivação do quadro de servidores; sobrecarga de atividades; aumento de horas em banco dos servidores; incremento de custos com horas extras de servidores; acréscimo de afastamento por motivo de saúde.</w:t>
      </w:r>
    </w:p>
    <w:p w:rsidR="00473149" w:rsidRPr="00C0553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C0553B">
        <w:rPr>
          <w:rFonts w:ascii="Times New Roman" w:hAnsi="Times New Roman" w:cs="Times New Roman"/>
          <w:i/>
          <w:sz w:val="24"/>
          <w:szCs w:val="24"/>
        </w:rPr>
        <w:t>Evidência(s):</w:t>
      </w:r>
    </w:p>
    <w:p w:rsidR="00473149" w:rsidRPr="005510FC" w:rsidRDefault="00473149" w:rsidP="00473149">
      <w:pPr>
        <w:numPr>
          <w:ilvl w:val="4"/>
          <w:numId w:val="1"/>
        </w:numPr>
        <w:spacing w:after="0" w:line="240" w:lineRule="auto"/>
        <w:jc w:val="both"/>
        <w:rPr>
          <w:rFonts w:ascii="Times New Roman" w:hAnsi="Times New Roman" w:cs="Times New Roman"/>
          <w:spacing w:val="-4"/>
          <w:sz w:val="24"/>
          <w:szCs w:val="24"/>
        </w:rPr>
      </w:pPr>
      <w:r w:rsidRPr="005510FC">
        <w:rPr>
          <w:rFonts w:ascii="Times New Roman" w:hAnsi="Times New Roman" w:cs="Times New Roman"/>
          <w:spacing w:val="-4"/>
          <w:sz w:val="24"/>
          <w:szCs w:val="24"/>
        </w:rPr>
        <w:t>Resposta da SGP à RDI nº 34/2018 (PAD nº 8.252/2018, Doc. nº 111.529/2018); Resposta da STI à RDI nº 24/2018, PAD nº 6.213/2018 (Doc. nº 87.184/2018); e-mail da STI acerca da força de trabalho mínima de TI; relatórios de lotação extraídos do SGRH – exercícios 2016 a 2018; Portal do Servidor na Intranet Institucional, funcionalidade consulta servidor/unidade; e Relatório Conclusivo e de Recomendações – DFT (SGP e COPEG).</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bookmarkStart w:id="69" w:name="_Toc511288062"/>
      <w:r w:rsidRPr="00F608EB">
        <w:rPr>
          <w:rFonts w:ascii="Times New Roman" w:hAnsi="Times New Roman" w:cs="Times New Roman"/>
          <w:i/>
          <w:sz w:val="24"/>
          <w:szCs w:val="24"/>
        </w:rPr>
        <w:t>Esclarecimentos dos responsáveis:</w:t>
      </w:r>
    </w:p>
    <w:p w:rsidR="00473149" w:rsidRDefault="00473149" w:rsidP="00473149">
      <w:pPr>
        <w:numPr>
          <w:ilvl w:val="4"/>
          <w:numId w:val="26"/>
        </w:numPr>
        <w:spacing w:after="0" w:line="240" w:lineRule="auto"/>
        <w:jc w:val="both"/>
        <w:rPr>
          <w:rFonts w:ascii="Times New Roman" w:hAnsi="Times New Roman" w:cs="Times New Roman"/>
          <w:sz w:val="24"/>
          <w:szCs w:val="24"/>
        </w:rPr>
      </w:pPr>
      <w:r w:rsidRPr="00C32120">
        <w:rPr>
          <w:rFonts w:ascii="Times New Roman" w:hAnsi="Times New Roman" w:cs="Times New Roman"/>
          <w:sz w:val="24"/>
          <w:szCs w:val="24"/>
        </w:rPr>
        <w:t xml:space="preserve">Em resposta à RDI nº 39/2018 (PAD nº 10.441/2018, Doc. nº </w:t>
      </w:r>
      <w:r w:rsidRPr="008B584C">
        <w:rPr>
          <w:rFonts w:ascii="Times New Roman" w:hAnsi="Times New Roman" w:cs="Times New Roman"/>
          <w:sz w:val="24"/>
          <w:szCs w:val="24"/>
        </w:rPr>
        <w:t>138.402/</w:t>
      </w:r>
      <w:r w:rsidRPr="00C32120">
        <w:rPr>
          <w:rFonts w:ascii="Times New Roman" w:hAnsi="Times New Roman" w:cs="Times New Roman"/>
          <w:sz w:val="24"/>
          <w:szCs w:val="24"/>
        </w:rPr>
        <w:t>2018), a SGP informou</w:t>
      </w:r>
      <w:r>
        <w:rPr>
          <w:rFonts w:ascii="Times New Roman" w:hAnsi="Times New Roman" w:cs="Times New Roman"/>
          <w:sz w:val="24"/>
          <w:szCs w:val="24"/>
        </w:rPr>
        <w:t xml:space="preserve"> que a elaboração de minuta de normativo do DFT é exequível para 27 de fevereiro de 2019. Acrescentou que se encontra registrado no planejamento da SGP entrega de minuta de norma interna que verse sobre critérios e procedimentos de lotação.</w:t>
      </w:r>
    </w:p>
    <w:p w:rsidR="00473149" w:rsidRPr="008B584C" w:rsidRDefault="00473149" w:rsidP="00473149">
      <w:pPr>
        <w:numPr>
          <w:ilvl w:val="4"/>
          <w:numId w:val="26"/>
        </w:numPr>
        <w:spacing w:after="0" w:line="240" w:lineRule="auto"/>
        <w:jc w:val="both"/>
        <w:rPr>
          <w:rFonts w:ascii="Times New Roman" w:hAnsi="Times New Roman" w:cs="Times New Roman"/>
          <w:spacing w:val="-2"/>
          <w:sz w:val="24"/>
          <w:szCs w:val="24"/>
        </w:rPr>
      </w:pPr>
      <w:r w:rsidRPr="008B584C">
        <w:rPr>
          <w:rFonts w:ascii="Times New Roman" w:hAnsi="Times New Roman" w:cs="Times New Roman"/>
          <w:spacing w:val="-2"/>
          <w:sz w:val="24"/>
          <w:szCs w:val="24"/>
        </w:rPr>
        <w:t xml:space="preserve">Em resposta à RDI Circular nº 13/2018 (PAD nº 11.047/2018, Doc. nº 142.622/2018) a ASSESP ratificou a necessidade de apresentação de minuta de normativo à </w:t>
      </w:r>
      <w:proofErr w:type="gramStart"/>
      <w:r w:rsidRPr="008B584C">
        <w:rPr>
          <w:rFonts w:ascii="Times New Roman" w:hAnsi="Times New Roman" w:cs="Times New Roman"/>
          <w:spacing w:val="-2"/>
          <w:sz w:val="24"/>
          <w:szCs w:val="24"/>
        </w:rPr>
        <w:t>Presidência destinad</w:t>
      </w:r>
      <w:r w:rsidR="008B584C" w:rsidRPr="008B584C">
        <w:rPr>
          <w:rFonts w:ascii="Times New Roman" w:hAnsi="Times New Roman" w:cs="Times New Roman"/>
          <w:spacing w:val="-2"/>
          <w:sz w:val="24"/>
          <w:szCs w:val="24"/>
        </w:rPr>
        <w:t>o</w:t>
      </w:r>
      <w:proofErr w:type="gramEnd"/>
      <w:r w:rsidRPr="008B584C">
        <w:rPr>
          <w:rFonts w:ascii="Times New Roman" w:hAnsi="Times New Roman" w:cs="Times New Roman"/>
          <w:spacing w:val="-2"/>
          <w:sz w:val="24"/>
          <w:szCs w:val="24"/>
        </w:rPr>
        <w:t xml:space="preserve"> a regulamentar a distribuição e equalização da força de trabalho neste Regional, estabelecendo os critérios para dimensionamento quantitativo e qualitativo da força de trabalho, tanto na Secretaria, como nos Cartórios das Zonas Eleitorais.</w:t>
      </w:r>
    </w:p>
    <w:p w:rsidR="00473149" w:rsidRPr="008B584C" w:rsidRDefault="008B584C" w:rsidP="00473149">
      <w:pPr>
        <w:numPr>
          <w:ilvl w:val="4"/>
          <w:numId w:val="26"/>
        </w:numPr>
        <w:spacing w:after="0" w:line="240" w:lineRule="auto"/>
        <w:jc w:val="both"/>
        <w:rPr>
          <w:rFonts w:ascii="Times New Roman" w:hAnsi="Times New Roman" w:cs="Times New Roman"/>
          <w:sz w:val="24"/>
          <w:szCs w:val="24"/>
        </w:rPr>
      </w:pPr>
      <w:r w:rsidRPr="008B584C">
        <w:rPr>
          <w:rFonts w:ascii="Times New Roman" w:hAnsi="Times New Roman" w:cs="Times New Roman"/>
          <w:spacing w:val="-2"/>
          <w:sz w:val="24"/>
          <w:szCs w:val="24"/>
        </w:rPr>
        <w:t>Também e</w:t>
      </w:r>
      <w:r w:rsidR="00473149" w:rsidRPr="008B584C">
        <w:rPr>
          <w:rFonts w:ascii="Times New Roman" w:hAnsi="Times New Roman" w:cs="Times New Roman"/>
          <w:spacing w:val="-2"/>
          <w:sz w:val="24"/>
          <w:szCs w:val="24"/>
        </w:rPr>
        <w:t xml:space="preserve">m resposta à </w:t>
      </w:r>
      <w:r w:rsidRPr="008B584C">
        <w:rPr>
          <w:rFonts w:ascii="Times New Roman" w:hAnsi="Times New Roman" w:cs="Times New Roman"/>
          <w:spacing w:val="-2"/>
          <w:sz w:val="24"/>
          <w:szCs w:val="24"/>
        </w:rPr>
        <w:t xml:space="preserve">sobredita </w:t>
      </w:r>
      <w:r w:rsidR="00473149" w:rsidRPr="008B584C">
        <w:rPr>
          <w:rFonts w:ascii="Times New Roman" w:hAnsi="Times New Roman" w:cs="Times New Roman"/>
          <w:spacing w:val="-2"/>
          <w:sz w:val="24"/>
          <w:szCs w:val="24"/>
        </w:rPr>
        <w:t>RDI Circular (Doc. nº 145.284/2018)</w:t>
      </w:r>
      <w:r w:rsidRPr="008B584C">
        <w:rPr>
          <w:rFonts w:ascii="Times New Roman" w:hAnsi="Times New Roman" w:cs="Times New Roman"/>
          <w:spacing w:val="-2"/>
          <w:sz w:val="24"/>
          <w:szCs w:val="24"/>
        </w:rPr>
        <w:t>,</w:t>
      </w:r>
      <w:r w:rsidR="00473149" w:rsidRPr="008B584C">
        <w:rPr>
          <w:rFonts w:ascii="Times New Roman" w:hAnsi="Times New Roman" w:cs="Times New Roman"/>
          <w:spacing w:val="-2"/>
          <w:sz w:val="24"/>
          <w:szCs w:val="24"/>
        </w:rPr>
        <w:t xml:space="preserve"> a SGP ratificou informações anteriormente prestadas </w:t>
      </w:r>
      <w:r w:rsidRPr="008B584C">
        <w:rPr>
          <w:rFonts w:ascii="Times New Roman" w:hAnsi="Times New Roman" w:cs="Times New Roman"/>
          <w:spacing w:val="-2"/>
          <w:sz w:val="24"/>
          <w:szCs w:val="24"/>
        </w:rPr>
        <w:t xml:space="preserve">no </w:t>
      </w:r>
      <w:r w:rsidR="00473149" w:rsidRPr="008B584C">
        <w:rPr>
          <w:rFonts w:ascii="Times New Roman" w:hAnsi="Times New Roman" w:cs="Times New Roman"/>
          <w:spacing w:val="-2"/>
          <w:sz w:val="24"/>
          <w:szCs w:val="24"/>
        </w:rPr>
        <w:t>PAD nº 10</w:t>
      </w:r>
      <w:r w:rsidRPr="008B584C">
        <w:rPr>
          <w:rFonts w:ascii="Times New Roman" w:hAnsi="Times New Roman" w:cs="Times New Roman"/>
          <w:spacing w:val="-2"/>
          <w:sz w:val="24"/>
          <w:szCs w:val="24"/>
        </w:rPr>
        <w:t xml:space="preserve">.441/2018, Doc. </w:t>
      </w:r>
      <w:proofErr w:type="gramStart"/>
      <w:r w:rsidRPr="008B584C">
        <w:rPr>
          <w:rFonts w:ascii="Times New Roman" w:hAnsi="Times New Roman" w:cs="Times New Roman"/>
          <w:spacing w:val="-2"/>
          <w:sz w:val="24"/>
          <w:szCs w:val="24"/>
        </w:rPr>
        <w:t>nº</w:t>
      </w:r>
      <w:proofErr w:type="gramEnd"/>
      <w:r w:rsidRPr="008B584C">
        <w:rPr>
          <w:rFonts w:ascii="Times New Roman" w:hAnsi="Times New Roman" w:cs="Times New Roman"/>
          <w:spacing w:val="-2"/>
          <w:sz w:val="24"/>
          <w:szCs w:val="24"/>
        </w:rPr>
        <w:t xml:space="preserve"> 138.402/2018</w:t>
      </w:r>
      <w:r w:rsidR="00473149" w:rsidRPr="008B584C">
        <w:rPr>
          <w:rFonts w:ascii="Times New Roman" w:hAnsi="Times New Roman" w:cs="Times New Roman"/>
          <w:spacing w:val="-2"/>
          <w:sz w:val="24"/>
          <w:szCs w:val="24"/>
        </w:rPr>
        <w:t>.</w:t>
      </w:r>
    </w:p>
    <w:p w:rsidR="00473149" w:rsidRPr="008B584C" w:rsidRDefault="008B584C" w:rsidP="00473149">
      <w:pPr>
        <w:numPr>
          <w:ilvl w:val="4"/>
          <w:numId w:val="26"/>
        </w:numPr>
        <w:spacing w:after="0" w:line="240" w:lineRule="auto"/>
        <w:jc w:val="both"/>
        <w:rPr>
          <w:rFonts w:ascii="Times New Roman" w:hAnsi="Times New Roman" w:cs="Times New Roman"/>
          <w:sz w:val="24"/>
          <w:szCs w:val="24"/>
        </w:rPr>
      </w:pPr>
      <w:r w:rsidRPr="008B584C">
        <w:rPr>
          <w:rFonts w:ascii="Times New Roman" w:hAnsi="Times New Roman" w:cs="Times New Roman"/>
          <w:spacing w:val="-2"/>
          <w:sz w:val="24"/>
          <w:szCs w:val="24"/>
        </w:rPr>
        <w:t>Ainda e</w:t>
      </w:r>
      <w:r w:rsidR="00473149" w:rsidRPr="008B584C">
        <w:rPr>
          <w:rFonts w:ascii="Times New Roman" w:hAnsi="Times New Roman" w:cs="Times New Roman"/>
          <w:spacing w:val="-2"/>
          <w:sz w:val="24"/>
          <w:szCs w:val="24"/>
        </w:rPr>
        <w:t xml:space="preserve">m resposta à </w:t>
      </w:r>
      <w:r w:rsidRPr="008B584C">
        <w:rPr>
          <w:rFonts w:ascii="Times New Roman" w:hAnsi="Times New Roman" w:cs="Times New Roman"/>
          <w:spacing w:val="-2"/>
          <w:sz w:val="24"/>
          <w:szCs w:val="24"/>
        </w:rPr>
        <w:t xml:space="preserve">referida </w:t>
      </w:r>
      <w:r w:rsidR="00473149" w:rsidRPr="008B584C">
        <w:rPr>
          <w:rFonts w:ascii="Times New Roman" w:hAnsi="Times New Roman" w:cs="Times New Roman"/>
          <w:spacing w:val="-2"/>
          <w:sz w:val="24"/>
          <w:szCs w:val="24"/>
        </w:rPr>
        <w:t>RDI Circular (Doc. nº 144.343/2018)</w:t>
      </w:r>
      <w:r w:rsidRPr="008B584C">
        <w:rPr>
          <w:rFonts w:ascii="Times New Roman" w:hAnsi="Times New Roman" w:cs="Times New Roman"/>
          <w:spacing w:val="-2"/>
          <w:sz w:val="24"/>
          <w:szCs w:val="24"/>
        </w:rPr>
        <w:t>,</w:t>
      </w:r>
      <w:r w:rsidR="00473149" w:rsidRPr="008B584C">
        <w:rPr>
          <w:rFonts w:ascii="Times New Roman" w:hAnsi="Times New Roman" w:cs="Times New Roman"/>
          <w:spacing w:val="-2"/>
          <w:sz w:val="24"/>
          <w:szCs w:val="24"/>
        </w:rPr>
        <w:t xml:space="preserve"> a STI informou que, diante da atualização das informações relativas ao quantitativo de usuários de TIC do Tribunal, o referencial mínimo de servidores do quadro permanente ficou definido em 52 servidores.</w:t>
      </w:r>
    </w:p>
    <w:p w:rsidR="00473149" w:rsidRPr="008B584C" w:rsidRDefault="008B584C" w:rsidP="00473149">
      <w:pPr>
        <w:numPr>
          <w:ilvl w:val="4"/>
          <w:numId w:val="1"/>
        </w:numPr>
        <w:spacing w:after="0" w:line="240" w:lineRule="auto"/>
        <w:jc w:val="both"/>
        <w:rPr>
          <w:rFonts w:ascii="Times New Roman" w:hAnsi="Times New Roman" w:cs="Times New Roman"/>
          <w:spacing w:val="-4"/>
          <w:sz w:val="24"/>
          <w:szCs w:val="24"/>
        </w:rPr>
      </w:pPr>
      <w:r w:rsidRPr="008B584C">
        <w:rPr>
          <w:rFonts w:ascii="Times New Roman" w:hAnsi="Times New Roman" w:cs="Times New Roman"/>
          <w:spacing w:val="-2"/>
          <w:sz w:val="24"/>
          <w:szCs w:val="24"/>
        </w:rPr>
        <w:lastRenderedPageBreak/>
        <w:t>Adicionalmente,</w:t>
      </w:r>
      <w:r w:rsidR="00473149" w:rsidRPr="008B584C">
        <w:rPr>
          <w:rFonts w:ascii="Times New Roman" w:hAnsi="Times New Roman" w:cs="Times New Roman"/>
          <w:spacing w:val="-2"/>
          <w:sz w:val="24"/>
          <w:szCs w:val="24"/>
        </w:rPr>
        <w:t xml:space="preserve"> a COPEG registrou</w:t>
      </w:r>
      <w:r w:rsidRPr="008B584C">
        <w:rPr>
          <w:rFonts w:ascii="Times New Roman" w:hAnsi="Times New Roman" w:cs="Times New Roman"/>
          <w:spacing w:val="-2"/>
          <w:sz w:val="24"/>
          <w:szCs w:val="24"/>
        </w:rPr>
        <w:t xml:space="preserve">, no Doc. </w:t>
      </w:r>
      <w:proofErr w:type="gramStart"/>
      <w:r w:rsidRPr="008B584C">
        <w:rPr>
          <w:rFonts w:ascii="Times New Roman" w:hAnsi="Times New Roman" w:cs="Times New Roman"/>
          <w:spacing w:val="-2"/>
          <w:sz w:val="24"/>
          <w:szCs w:val="24"/>
        </w:rPr>
        <w:t>nº</w:t>
      </w:r>
      <w:proofErr w:type="gramEnd"/>
      <w:r w:rsidRPr="008B584C">
        <w:rPr>
          <w:rFonts w:ascii="Times New Roman" w:hAnsi="Times New Roman" w:cs="Times New Roman"/>
          <w:spacing w:val="-2"/>
          <w:sz w:val="24"/>
          <w:szCs w:val="24"/>
        </w:rPr>
        <w:t xml:space="preserve"> 146.328/2018, </w:t>
      </w:r>
      <w:r w:rsidR="00473149" w:rsidRPr="008B584C">
        <w:rPr>
          <w:rFonts w:ascii="Times New Roman" w:hAnsi="Times New Roman" w:cs="Times New Roman"/>
          <w:spacing w:val="-2"/>
          <w:sz w:val="24"/>
          <w:szCs w:val="24"/>
        </w:rPr>
        <w:t xml:space="preserve"> que já est</w:t>
      </w:r>
      <w:r w:rsidRPr="008B584C">
        <w:rPr>
          <w:rFonts w:ascii="Times New Roman" w:hAnsi="Times New Roman" w:cs="Times New Roman"/>
          <w:spacing w:val="-2"/>
          <w:sz w:val="24"/>
          <w:szCs w:val="24"/>
        </w:rPr>
        <w:t>avam</w:t>
      </w:r>
      <w:r w:rsidR="00473149" w:rsidRPr="008B584C">
        <w:rPr>
          <w:rFonts w:ascii="Times New Roman" w:hAnsi="Times New Roman" w:cs="Times New Roman"/>
          <w:spacing w:val="-2"/>
          <w:sz w:val="24"/>
          <w:szCs w:val="24"/>
        </w:rPr>
        <w:t xml:space="preserve"> sendo adotadas as providências pertinentes para adequar a necessidade de lotação ao quantitativo mínimo de servidores nas suas unidades, visando assegurar a efetividade de suas atribuições.  Informou, ainda, que apenas duas seções ainda não atend</w:t>
      </w:r>
      <w:r w:rsidRPr="008B584C">
        <w:rPr>
          <w:rFonts w:ascii="Times New Roman" w:hAnsi="Times New Roman" w:cs="Times New Roman"/>
          <w:spacing w:val="-2"/>
          <w:sz w:val="24"/>
          <w:szCs w:val="24"/>
        </w:rPr>
        <w:t>iam</w:t>
      </w:r>
      <w:r w:rsidR="00473149" w:rsidRPr="008B584C">
        <w:rPr>
          <w:rFonts w:ascii="Times New Roman" w:hAnsi="Times New Roman" w:cs="Times New Roman"/>
          <w:spacing w:val="-2"/>
          <w:sz w:val="24"/>
          <w:szCs w:val="24"/>
        </w:rPr>
        <w:t xml:space="preserve"> ao mínimo previsto no DFT: SEPROQ (com </w:t>
      </w:r>
      <w:proofErr w:type="gramStart"/>
      <w:r w:rsidR="00473149" w:rsidRPr="008B584C">
        <w:rPr>
          <w:rFonts w:ascii="Times New Roman" w:hAnsi="Times New Roman" w:cs="Times New Roman"/>
          <w:spacing w:val="-2"/>
          <w:sz w:val="24"/>
          <w:szCs w:val="24"/>
        </w:rPr>
        <w:t>2</w:t>
      </w:r>
      <w:proofErr w:type="gramEnd"/>
      <w:r w:rsidR="00473149" w:rsidRPr="008B584C">
        <w:rPr>
          <w:rFonts w:ascii="Times New Roman" w:hAnsi="Times New Roman" w:cs="Times New Roman"/>
          <w:spacing w:val="-2"/>
          <w:sz w:val="24"/>
          <w:szCs w:val="24"/>
        </w:rPr>
        <w:t xml:space="preserve"> servidores) e SEGEPRO (apenas com o titular).</w:t>
      </w:r>
    </w:p>
    <w:p w:rsidR="00473149" w:rsidRPr="00F97C55"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97C55">
        <w:rPr>
          <w:rFonts w:ascii="Times New Roman" w:hAnsi="Times New Roman" w:cs="Times New Roman"/>
          <w:i/>
          <w:sz w:val="24"/>
          <w:szCs w:val="24"/>
        </w:rPr>
        <w:t>Conclusão da equipe de auditoria:</w:t>
      </w:r>
    </w:p>
    <w:p w:rsidR="00473149" w:rsidRPr="00F97C55" w:rsidRDefault="00473149" w:rsidP="00473149">
      <w:pPr>
        <w:numPr>
          <w:ilvl w:val="4"/>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Tendo em vista sinalização de necessidade de ampliação de prazo para atendimento ao quanto recomendado, opina-se pela subsistência da fragilidade ora evidenciada, alterando-se o marco final para cumprimento anteriormente proposto, consoante acordo firmado com a Unidade</w:t>
      </w:r>
      <w:r w:rsidRPr="006D7F4D">
        <w:rPr>
          <w:rFonts w:ascii="Times New Roman" w:hAnsi="Times New Roman" w:cs="Times New Roman"/>
          <w:sz w:val="24"/>
          <w:szCs w:val="24"/>
        </w:rPr>
        <w:t>.</w:t>
      </w:r>
    </w:p>
    <w:p w:rsidR="00473149"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E10467">
        <w:rPr>
          <w:rFonts w:ascii="Times New Roman" w:hAnsi="Times New Roman" w:cs="Times New Roman"/>
          <w:i/>
          <w:sz w:val="24"/>
          <w:szCs w:val="24"/>
        </w:rPr>
        <w:t>Proposta de encaminhamento:</w:t>
      </w:r>
    </w:p>
    <w:p w:rsidR="00473149" w:rsidRPr="00E10467" w:rsidRDefault="00473149" w:rsidP="00473149">
      <w:pPr>
        <w:numPr>
          <w:ilvl w:val="4"/>
          <w:numId w:val="1"/>
        </w:numPr>
        <w:spacing w:after="0" w:line="240" w:lineRule="auto"/>
        <w:jc w:val="both"/>
        <w:rPr>
          <w:rFonts w:ascii="Times New Roman" w:hAnsi="Times New Roman" w:cs="Times New Roman"/>
          <w:sz w:val="24"/>
          <w:szCs w:val="24"/>
        </w:rPr>
      </w:pPr>
      <w:r w:rsidRPr="00E10467">
        <w:rPr>
          <w:rFonts w:ascii="Times New Roman" w:hAnsi="Times New Roman" w:cs="Times New Roman"/>
          <w:sz w:val="24"/>
          <w:szCs w:val="24"/>
        </w:rPr>
        <w:t xml:space="preserve">Recomendar à SGP que, observado o prazo de </w:t>
      </w:r>
      <w:r>
        <w:rPr>
          <w:rFonts w:ascii="Times New Roman" w:hAnsi="Times New Roman" w:cs="Times New Roman"/>
          <w:sz w:val="24"/>
          <w:szCs w:val="24"/>
        </w:rPr>
        <w:t>12</w:t>
      </w:r>
      <w:r w:rsidRPr="00E10467">
        <w:rPr>
          <w:rFonts w:ascii="Times New Roman" w:hAnsi="Times New Roman" w:cs="Times New Roman"/>
          <w:sz w:val="24"/>
          <w:szCs w:val="24"/>
        </w:rPr>
        <w:t>0 dias, submeta à apreciação da Presidência minuta de normativo destinado a regulamentar a distribuição e equalização da força de trabalho, no âmbito da Secretaria do Tribunal e Cartórios das Zonas Eleitorais, contemplando, inclusive, critérios referenciais ideais atinentes ao perfil quantitativo e qualitativo</w:t>
      </w:r>
      <w:r>
        <w:rPr>
          <w:rFonts w:ascii="Times New Roman" w:hAnsi="Times New Roman" w:cs="Times New Roman"/>
          <w:sz w:val="24"/>
          <w:szCs w:val="24"/>
        </w:rPr>
        <w:t xml:space="preserve"> </w:t>
      </w:r>
      <w:r w:rsidRPr="00E10467">
        <w:rPr>
          <w:rFonts w:ascii="Times New Roman" w:hAnsi="Times New Roman" w:cs="Times New Roman"/>
          <w:sz w:val="24"/>
          <w:szCs w:val="24"/>
        </w:rPr>
        <w:t>da força de trabalho, observados:</w:t>
      </w:r>
    </w:p>
    <w:p w:rsidR="00473149" w:rsidRPr="00FC01AF" w:rsidRDefault="00473149" w:rsidP="00473149">
      <w:pPr>
        <w:pStyle w:val="PargrafodaLista"/>
        <w:numPr>
          <w:ilvl w:val="0"/>
          <w:numId w:val="11"/>
        </w:numPr>
        <w:spacing w:before="0" w:after="0"/>
        <w:ind w:left="1134" w:firstLine="0"/>
        <w:jc w:val="both"/>
        <w:rPr>
          <w:rFonts w:eastAsiaTheme="minorHAnsi"/>
          <w:b w:val="0"/>
          <w:sz w:val="24"/>
          <w:szCs w:val="24"/>
          <w:lang w:eastAsia="en-US"/>
        </w:rPr>
      </w:pPr>
      <w:bookmarkStart w:id="70" w:name="_Toc520362072"/>
      <w:bookmarkStart w:id="71" w:name="_Toc520405216"/>
      <w:proofErr w:type="gramStart"/>
      <w:r w:rsidRPr="00FC01AF">
        <w:rPr>
          <w:rFonts w:eastAsiaTheme="minorHAnsi"/>
          <w:b w:val="0"/>
          <w:sz w:val="24"/>
          <w:szCs w:val="24"/>
          <w:lang w:eastAsia="en-US"/>
        </w:rPr>
        <w:t>referenciais</w:t>
      </w:r>
      <w:proofErr w:type="gramEnd"/>
      <w:r w:rsidRPr="00FC01AF">
        <w:rPr>
          <w:rFonts w:eastAsiaTheme="minorHAnsi"/>
          <w:b w:val="0"/>
          <w:sz w:val="24"/>
          <w:szCs w:val="24"/>
          <w:lang w:eastAsia="en-US"/>
        </w:rPr>
        <w:t xml:space="preserve"> de força de trabalho normatizados;</w:t>
      </w:r>
      <w:bookmarkEnd w:id="70"/>
      <w:bookmarkEnd w:id="71"/>
    </w:p>
    <w:p w:rsidR="00473149" w:rsidRPr="00FC01AF" w:rsidRDefault="00473149" w:rsidP="00473149">
      <w:pPr>
        <w:pStyle w:val="PargrafodaLista"/>
        <w:numPr>
          <w:ilvl w:val="0"/>
          <w:numId w:val="11"/>
        </w:numPr>
        <w:spacing w:after="0"/>
        <w:ind w:left="1134" w:firstLine="0"/>
        <w:jc w:val="both"/>
        <w:rPr>
          <w:rFonts w:eastAsiaTheme="minorHAnsi"/>
          <w:b w:val="0"/>
          <w:sz w:val="24"/>
          <w:szCs w:val="24"/>
          <w:lang w:eastAsia="en-US"/>
        </w:rPr>
      </w:pPr>
      <w:bookmarkStart w:id="72" w:name="_Toc520362073"/>
      <w:bookmarkStart w:id="73" w:name="_Toc520405217"/>
      <w:proofErr w:type="gramStart"/>
      <w:r w:rsidRPr="00FC01AF">
        <w:rPr>
          <w:rFonts w:eastAsiaTheme="minorHAnsi"/>
          <w:b w:val="0"/>
          <w:sz w:val="24"/>
          <w:szCs w:val="24"/>
          <w:lang w:eastAsia="en-US"/>
        </w:rPr>
        <w:t>diversidade</w:t>
      </w:r>
      <w:proofErr w:type="gramEnd"/>
      <w:r w:rsidRPr="00FC01AF">
        <w:rPr>
          <w:rFonts w:eastAsiaTheme="minorHAnsi"/>
          <w:b w:val="0"/>
          <w:sz w:val="24"/>
          <w:szCs w:val="24"/>
          <w:lang w:eastAsia="en-US"/>
        </w:rPr>
        <w:t xml:space="preserve"> de cenários existentes (unidades com e sem DFT apurado); e</w:t>
      </w:r>
      <w:bookmarkEnd w:id="72"/>
      <w:bookmarkEnd w:id="73"/>
    </w:p>
    <w:p w:rsidR="00473149" w:rsidRPr="00FC01AF" w:rsidRDefault="00473149" w:rsidP="00473149">
      <w:pPr>
        <w:pStyle w:val="PargrafodaLista"/>
        <w:numPr>
          <w:ilvl w:val="0"/>
          <w:numId w:val="11"/>
        </w:numPr>
        <w:spacing w:after="0"/>
        <w:ind w:left="1134" w:firstLine="0"/>
        <w:jc w:val="both"/>
        <w:rPr>
          <w:rFonts w:eastAsiaTheme="minorHAnsi"/>
          <w:b w:val="0"/>
          <w:sz w:val="24"/>
          <w:szCs w:val="24"/>
          <w:lang w:eastAsia="en-US"/>
        </w:rPr>
      </w:pPr>
      <w:bookmarkStart w:id="74" w:name="_Toc520362074"/>
      <w:bookmarkStart w:id="75" w:name="_Toc520405218"/>
      <w:proofErr w:type="gramStart"/>
      <w:r w:rsidRPr="00FC01AF">
        <w:rPr>
          <w:rFonts w:eastAsiaTheme="minorHAnsi"/>
          <w:b w:val="0"/>
          <w:sz w:val="24"/>
          <w:szCs w:val="24"/>
          <w:lang w:eastAsia="en-US"/>
        </w:rPr>
        <w:t>diretriz</w:t>
      </w:r>
      <w:proofErr w:type="gramEnd"/>
      <w:r w:rsidRPr="00FC01AF">
        <w:rPr>
          <w:rFonts w:eastAsiaTheme="minorHAnsi"/>
          <w:b w:val="0"/>
          <w:sz w:val="24"/>
          <w:szCs w:val="24"/>
          <w:lang w:eastAsia="en-US"/>
        </w:rPr>
        <w:t xml:space="preserve"> para mitigação ou equalização de déficit de pessoal apurado, a exemplo de: deslocamento ou transformação de cargos vagos; redistribuição de cargo vago em troca de servidor com perfil demandado pelo Tribunal; equalização de déficit de forma nivelada; e mitigação  em maior grau em áreas estratégicas.</w:t>
      </w:r>
      <w:bookmarkEnd w:id="74"/>
      <w:bookmarkEnd w:id="75"/>
    </w:p>
    <w:p w:rsidR="00473149" w:rsidRDefault="00473149" w:rsidP="00473149">
      <w:pPr>
        <w:pStyle w:val="PargrafodaLista"/>
        <w:numPr>
          <w:ilvl w:val="2"/>
          <w:numId w:val="1"/>
        </w:numPr>
        <w:spacing w:before="120"/>
        <w:contextualSpacing w:val="0"/>
        <w:jc w:val="both"/>
        <w:rPr>
          <w:b w:val="0"/>
          <w:spacing w:val="-2"/>
          <w:sz w:val="24"/>
          <w:szCs w:val="24"/>
          <w:u w:val="single"/>
        </w:rPr>
      </w:pPr>
      <w:bookmarkStart w:id="76" w:name="_Toc520362075"/>
      <w:bookmarkStart w:id="77" w:name="_Toc520405219"/>
      <w:bookmarkEnd w:id="69"/>
      <w:r w:rsidRPr="005510FC">
        <w:rPr>
          <w:rFonts w:eastAsiaTheme="minorHAnsi"/>
          <w:b w:val="0"/>
          <w:sz w:val="24"/>
          <w:szCs w:val="24"/>
          <w:u w:val="single"/>
          <w:lang w:eastAsia="en-US"/>
        </w:rPr>
        <w:t>Desalinhamento entre reestruturações administrativas e critérios convencionados ou normativamente estabelecidos</w:t>
      </w:r>
      <w:r w:rsidRPr="00F608EB">
        <w:rPr>
          <w:b w:val="0"/>
          <w:spacing w:val="-2"/>
          <w:sz w:val="24"/>
          <w:szCs w:val="24"/>
          <w:u w:val="single"/>
        </w:rPr>
        <w:t>.</w:t>
      </w:r>
      <w:bookmarkEnd w:id="76"/>
      <w:bookmarkEnd w:id="77"/>
    </w:p>
    <w:p w:rsidR="00473149" w:rsidRPr="008A7DE0" w:rsidRDefault="00473149" w:rsidP="00473149">
      <w:pPr>
        <w:spacing w:before="120" w:after="120" w:line="240" w:lineRule="auto"/>
        <w:jc w:val="both"/>
        <w:rPr>
          <w:rFonts w:ascii="Times New Roman" w:hAnsi="Times New Roman" w:cs="Times New Roman"/>
          <w:i/>
          <w:spacing w:val="-2"/>
          <w:sz w:val="24"/>
          <w:szCs w:val="24"/>
          <w:u w:val="single"/>
        </w:rPr>
      </w:pPr>
      <w:r w:rsidRPr="008A7DE0">
        <w:rPr>
          <w:rFonts w:ascii="Times New Roman" w:hAnsi="Times New Roman" w:cs="Times New Roman"/>
          <w:i/>
          <w:spacing w:val="-2"/>
          <w:sz w:val="24"/>
          <w:szCs w:val="24"/>
        </w:rPr>
        <w:t>Risco(s) associado(s): R8 – TRE-BA: Não sensibilização dos gestores para utilização dos resultados do DFT; R1 – TSE: Alocação e movimentação inadequada (</w:t>
      </w:r>
      <w:proofErr w:type="gramStart"/>
      <w:r w:rsidRPr="008A7DE0">
        <w:rPr>
          <w:rFonts w:ascii="Times New Roman" w:hAnsi="Times New Roman" w:cs="Times New Roman"/>
          <w:i/>
          <w:spacing w:val="-2"/>
          <w:sz w:val="24"/>
          <w:szCs w:val="24"/>
        </w:rPr>
        <w:t>quantitativa/qualitativa</w:t>
      </w:r>
      <w:proofErr w:type="gramEnd"/>
      <w:r w:rsidRPr="008A7DE0">
        <w:rPr>
          <w:rFonts w:ascii="Times New Roman" w:hAnsi="Times New Roman" w:cs="Times New Roman"/>
          <w:i/>
          <w:spacing w:val="-2"/>
          <w:sz w:val="24"/>
          <w:szCs w:val="24"/>
        </w:rPr>
        <w:t>) de pessoal e R2 – TSE: Criação ou a alteração de estrutura organizacional sem observância da força de trabalho necessária ao cumprimento da estratégia organizacional.</w:t>
      </w:r>
      <w:r w:rsidRPr="008A7DE0">
        <w:rPr>
          <w:i/>
          <w:spacing w:val="-2"/>
          <w:sz w:val="20"/>
          <w:szCs w:val="20"/>
        </w:rPr>
        <w:t xml:space="preserve"> </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Situação encontrada:</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DC283C">
        <w:rPr>
          <w:rFonts w:ascii="Times New Roman" w:hAnsi="Times New Roman" w:cs="Times New Roman"/>
          <w:sz w:val="24"/>
          <w:szCs w:val="24"/>
        </w:rPr>
        <w:t xml:space="preserve">Verificou-se que os procedimentos gerais afetos à lotação e </w:t>
      </w:r>
      <w:proofErr w:type="spellStart"/>
      <w:r w:rsidRPr="00DC283C">
        <w:rPr>
          <w:rFonts w:ascii="Times New Roman" w:hAnsi="Times New Roman" w:cs="Times New Roman"/>
          <w:sz w:val="24"/>
          <w:szCs w:val="24"/>
        </w:rPr>
        <w:t>relotação</w:t>
      </w:r>
      <w:proofErr w:type="spellEnd"/>
      <w:r w:rsidRPr="00DC283C">
        <w:rPr>
          <w:rFonts w:ascii="Times New Roman" w:hAnsi="Times New Roman" w:cs="Times New Roman"/>
          <w:sz w:val="24"/>
          <w:szCs w:val="24"/>
        </w:rPr>
        <w:t xml:space="preserve"> de servidores encontram-se regulamentados pela Portaria do Diretor-Geral nº 359, de 15 de junho de 2007. Registre-se que o referido normativo não dispõe sobre critérios para dimensionamento quantitativo ou qualitativo da força de trabalho e possui dispositivos em desuso, consoante manifestação da SGP</w:t>
      </w:r>
      <w:r w:rsidRPr="00F608EB">
        <w:rPr>
          <w:rFonts w:ascii="Times New Roman" w:hAnsi="Times New Roman" w:cs="Times New Roman"/>
          <w:sz w:val="24"/>
          <w:szCs w:val="24"/>
        </w:rPr>
        <w:t>.</w:t>
      </w:r>
    </w:p>
    <w:p w:rsidR="00473149" w:rsidRPr="00DC283C" w:rsidRDefault="00473149" w:rsidP="00473149">
      <w:pPr>
        <w:numPr>
          <w:ilvl w:val="4"/>
          <w:numId w:val="1"/>
        </w:numPr>
        <w:spacing w:after="0" w:line="240" w:lineRule="auto"/>
        <w:jc w:val="both"/>
        <w:rPr>
          <w:rFonts w:ascii="Times New Roman" w:hAnsi="Times New Roman" w:cs="Times New Roman"/>
          <w:sz w:val="24"/>
          <w:szCs w:val="24"/>
        </w:rPr>
      </w:pPr>
      <w:r w:rsidRPr="00DC283C">
        <w:rPr>
          <w:rFonts w:ascii="Times New Roman" w:hAnsi="Times New Roman" w:cs="Times New Roman"/>
          <w:sz w:val="24"/>
          <w:szCs w:val="24"/>
        </w:rPr>
        <w:t>Paralelamente, verificou-se que o TRE-BA não possui Tabela de Lotação de Cargos (TLC) por unidade formalizada. Contudo, constatou-se que a SGP utiliza como referencial para lotação da força de trabalho nas unidades administrativas e judiciárias do Tribunal o quantitativo mínimo de três servidores para Seções e Zonas Eleitorais da Capital e dois para Gabinetes de Juízes e Zonas Eleitorais do Interior do Estado.</w:t>
      </w:r>
    </w:p>
    <w:p w:rsidR="00473149" w:rsidRPr="00DC283C" w:rsidRDefault="00473149" w:rsidP="00473149">
      <w:pPr>
        <w:numPr>
          <w:ilvl w:val="4"/>
          <w:numId w:val="1"/>
        </w:numPr>
        <w:spacing w:after="0" w:line="240" w:lineRule="auto"/>
        <w:jc w:val="both"/>
        <w:rPr>
          <w:rFonts w:ascii="Times New Roman" w:hAnsi="Times New Roman" w:cs="Times New Roman"/>
          <w:sz w:val="24"/>
          <w:szCs w:val="24"/>
        </w:rPr>
      </w:pPr>
      <w:r w:rsidRPr="00DC283C">
        <w:rPr>
          <w:rFonts w:ascii="Times New Roman" w:hAnsi="Times New Roman" w:cs="Times New Roman"/>
          <w:sz w:val="24"/>
          <w:szCs w:val="24"/>
        </w:rPr>
        <w:t xml:space="preserve">Acrescente-se que, no que tange à lotação e movimentação, nas zonas eleitorais, a Resolução Administrativa do TRE-BA nº 3/2004 estabelece que </w:t>
      </w:r>
      <w:proofErr w:type="gramStart"/>
      <w:r w:rsidRPr="00DC283C">
        <w:rPr>
          <w:rFonts w:ascii="Times New Roman" w:hAnsi="Times New Roman" w:cs="Times New Roman"/>
          <w:sz w:val="24"/>
          <w:szCs w:val="24"/>
        </w:rPr>
        <w:t>deverá</w:t>
      </w:r>
      <w:proofErr w:type="gramEnd"/>
      <w:r w:rsidRPr="00DC283C">
        <w:rPr>
          <w:rFonts w:ascii="Times New Roman" w:hAnsi="Times New Roman" w:cs="Times New Roman"/>
          <w:sz w:val="24"/>
          <w:szCs w:val="24"/>
        </w:rPr>
        <w:t xml:space="preserve"> ser observado o número mínimo de lotação de dois servidores observado o seguinte perfil de cargos: um Técnico Judiciário Área Administrativa e um Analista Judiciário Área Judiciária ou Administrativa por Zona Eleitoral.</w:t>
      </w:r>
    </w:p>
    <w:p w:rsidR="00473149" w:rsidRPr="00DC283C" w:rsidRDefault="00473149" w:rsidP="00473149">
      <w:pPr>
        <w:numPr>
          <w:ilvl w:val="4"/>
          <w:numId w:val="1"/>
        </w:numPr>
        <w:spacing w:after="0" w:line="240" w:lineRule="auto"/>
        <w:jc w:val="both"/>
        <w:rPr>
          <w:rFonts w:ascii="Times New Roman" w:hAnsi="Times New Roman" w:cs="Times New Roman"/>
          <w:sz w:val="24"/>
          <w:szCs w:val="24"/>
        </w:rPr>
      </w:pPr>
      <w:r w:rsidRPr="00DC283C">
        <w:rPr>
          <w:rFonts w:ascii="Times New Roman" w:hAnsi="Times New Roman" w:cs="Times New Roman"/>
          <w:sz w:val="24"/>
          <w:szCs w:val="24"/>
        </w:rPr>
        <w:t xml:space="preserve">Registre-se, no que tange à área de Tecnologia da Informação (TI), que a Resolução CNJ nº 211, de 15 de dezembro de 2015 estabeleceu um quantitativo </w:t>
      </w:r>
      <w:r w:rsidRPr="00DC283C">
        <w:rPr>
          <w:rFonts w:ascii="Times New Roman" w:hAnsi="Times New Roman" w:cs="Times New Roman"/>
          <w:sz w:val="24"/>
          <w:szCs w:val="24"/>
        </w:rPr>
        <w:lastRenderedPageBreak/>
        <w:t>mínimo de servidores do quadro permanente da área de TI de acordo com o número de usuários internos e externos dos serviços de TI, sem especificar, contudo, perfil de cargos ou de competências associadas.</w:t>
      </w:r>
    </w:p>
    <w:p w:rsidR="00473149" w:rsidRPr="00DC283C" w:rsidRDefault="00473149" w:rsidP="00473149">
      <w:pPr>
        <w:numPr>
          <w:ilvl w:val="4"/>
          <w:numId w:val="1"/>
        </w:numPr>
        <w:spacing w:after="0" w:line="240" w:lineRule="auto"/>
        <w:jc w:val="both"/>
        <w:rPr>
          <w:rFonts w:ascii="Times New Roman" w:hAnsi="Times New Roman" w:cs="Times New Roman"/>
          <w:sz w:val="24"/>
          <w:szCs w:val="24"/>
        </w:rPr>
      </w:pPr>
      <w:r w:rsidRPr="00DC283C">
        <w:rPr>
          <w:rFonts w:ascii="Times New Roman" w:hAnsi="Times New Roman" w:cs="Times New Roman"/>
          <w:sz w:val="24"/>
          <w:szCs w:val="24"/>
        </w:rPr>
        <w:t>Ressalte-se que o referido referencial mínimo foi recepcionado pela Política de Gestão de Pessoas de TI organizacional, consoante teor do §2º, do art. 4º, da Resolução Administrativa TRE-BA nº 18, de 20 de junho de 2018.</w:t>
      </w:r>
    </w:p>
    <w:p w:rsidR="00473149" w:rsidRPr="00DC283C" w:rsidRDefault="00473149" w:rsidP="00473149">
      <w:pPr>
        <w:numPr>
          <w:ilvl w:val="4"/>
          <w:numId w:val="1"/>
        </w:numPr>
        <w:spacing w:after="0" w:line="240" w:lineRule="auto"/>
        <w:jc w:val="both"/>
        <w:rPr>
          <w:rFonts w:ascii="Times New Roman" w:hAnsi="Times New Roman" w:cs="Times New Roman"/>
          <w:sz w:val="24"/>
          <w:szCs w:val="24"/>
        </w:rPr>
      </w:pPr>
      <w:r w:rsidRPr="00DC283C">
        <w:rPr>
          <w:rFonts w:ascii="Times New Roman" w:hAnsi="Times New Roman" w:cs="Times New Roman"/>
          <w:sz w:val="24"/>
          <w:szCs w:val="24"/>
        </w:rPr>
        <w:t>Evidenciou-se, adicionalmente, que o Tribunal possui um projeto estratégico de Dimensionamento da Força de Trabalho (DFT), tendo sido dimensionada a força de trabalho da SGP e da COPEG, em 2016/2017, e SOF e SGA, em 2017/2018.</w:t>
      </w:r>
    </w:p>
    <w:p w:rsidR="00473149" w:rsidRPr="00A00390" w:rsidRDefault="00473149" w:rsidP="00473149">
      <w:pPr>
        <w:numPr>
          <w:ilvl w:val="4"/>
          <w:numId w:val="1"/>
        </w:numPr>
        <w:spacing w:after="0" w:line="240" w:lineRule="auto"/>
        <w:jc w:val="both"/>
        <w:rPr>
          <w:rFonts w:ascii="Times New Roman" w:hAnsi="Times New Roman" w:cs="Times New Roman"/>
          <w:sz w:val="24"/>
          <w:szCs w:val="24"/>
        </w:rPr>
      </w:pPr>
      <w:r w:rsidRPr="00A00390">
        <w:rPr>
          <w:rFonts w:ascii="Times New Roman" w:hAnsi="Times New Roman" w:cs="Times New Roman"/>
          <w:sz w:val="24"/>
          <w:szCs w:val="24"/>
        </w:rPr>
        <w:t xml:space="preserve">Em 2018, por meio da Resolução Administrativa TRE-BA nº 12/2018, o Tribunal modificou sua estrutura orgânica e as competências de algumas de suas unidades. Nesta reestruturação, evidenciou-se que na criação e/ou modificação das unidades não foi observado o critério mínimo de lotação definido pela SGP de </w:t>
      </w:r>
      <w:proofErr w:type="gramStart"/>
      <w:r w:rsidRPr="00A00390">
        <w:rPr>
          <w:rFonts w:ascii="Times New Roman" w:hAnsi="Times New Roman" w:cs="Times New Roman"/>
          <w:sz w:val="24"/>
          <w:szCs w:val="24"/>
        </w:rPr>
        <w:t>3</w:t>
      </w:r>
      <w:proofErr w:type="gramEnd"/>
      <w:r w:rsidRPr="00A00390">
        <w:rPr>
          <w:rFonts w:ascii="Times New Roman" w:hAnsi="Times New Roman" w:cs="Times New Roman"/>
          <w:sz w:val="24"/>
          <w:szCs w:val="24"/>
        </w:rPr>
        <w:t xml:space="preserve"> servidores nas seções ou o definido no DFT realizado.  Na COPEG, a SEGEPRO e a SEPROQ, em 9/7/2018, contavam respectivamente com </w:t>
      </w:r>
      <w:proofErr w:type="gramStart"/>
      <w:r w:rsidRPr="00A00390">
        <w:rPr>
          <w:rFonts w:ascii="Times New Roman" w:hAnsi="Times New Roman" w:cs="Times New Roman"/>
          <w:sz w:val="24"/>
          <w:szCs w:val="24"/>
        </w:rPr>
        <w:t>1</w:t>
      </w:r>
      <w:proofErr w:type="gramEnd"/>
      <w:r w:rsidRPr="00A00390">
        <w:rPr>
          <w:rFonts w:ascii="Times New Roman" w:hAnsi="Times New Roman" w:cs="Times New Roman"/>
          <w:sz w:val="24"/>
          <w:szCs w:val="24"/>
        </w:rPr>
        <w:t xml:space="preserve"> e 2 servidores. No DFT realizado, foi identificada a necessidade de </w:t>
      </w:r>
      <w:proofErr w:type="gramStart"/>
      <w:r w:rsidRPr="00A00390">
        <w:rPr>
          <w:rFonts w:ascii="Times New Roman" w:hAnsi="Times New Roman" w:cs="Times New Roman"/>
          <w:sz w:val="24"/>
          <w:szCs w:val="24"/>
        </w:rPr>
        <w:t>2</w:t>
      </w:r>
      <w:proofErr w:type="gramEnd"/>
      <w:r w:rsidRPr="00A00390">
        <w:rPr>
          <w:rFonts w:ascii="Times New Roman" w:hAnsi="Times New Roman" w:cs="Times New Roman"/>
          <w:sz w:val="24"/>
          <w:szCs w:val="24"/>
        </w:rPr>
        <w:t xml:space="preserve"> servidores na SEGEPRO e 2 na SEPROQ, não computados o chefe de Seção. Na EJE, a reestruturação administrativa dividiu a unidade em </w:t>
      </w:r>
      <w:proofErr w:type="gramStart"/>
      <w:r w:rsidRPr="00A00390">
        <w:rPr>
          <w:rFonts w:ascii="Times New Roman" w:hAnsi="Times New Roman" w:cs="Times New Roman"/>
          <w:sz w:val="24"/>
          <w:szCs w:val="24"/>
        </w:rPr>
        <w:t>3</w:t>
      </w:r>
      <w:proofErr w:type="gramEnd"/>
      <w:r w:rsidRPr="00A00390">
        <w:rPr>
          <w:rFonts w:ascii="Times New Roman" w:hAnsi="Times New Roman" w:cs="Times New Roman"/>
          <w:sz w:val="24"/>
          <w:szCs w:val="24"/>
        </w:rPr>
        <w:t xml:space="preserve"> seções, contudo, tanto a SESTE quanto a SEEPPA contam com 2 servidores cada seção. Na SJU, a reestruturação administrativa extinguiu a Coordenadoria de Sessões e respectivas unidades operacionais vinculadas, incorporando suas atividades e servidores nas demais unidades da Secretaria, contudo a SEAPRO </w:t>
      </w:r>
      <w:proofErr w:type="gramStart"/>
      <w:r w:rsidRPr="00A00390">
        <w:rPr>
          <w:rFonts w:ascii="Times New Roman" w:hAnsi="Times New Roman" w:cs="Times New Roman"/>
          <w:sz w:val="24"/>
          <w:szCs w:val="24"/>
        </w:rPr>
        <w:t>2</w:t>
      </w:r>
      <w:proofErr w:type="gramEnd"/>
      <w:r w:rsidRPr="00A00390">
        <w:rPr>
          <w:rFonts w:ascii="Times New Roman" w:hAnsi="Times New Roman" w:cs="Times New Roman"/>
          <w:sz w:val="24"/>
          <w:szCs w:val="24"/>
        </w:rPr>
        <w:t xml:space="preserve"> continuou a contar com 2 servidores desde 1/2/2018. Na COELE, tanto a SELOG quanto a SEPLAME sofreram alterações pela reestruturação, mas permanecem com </w:t>
      </w:r>
      <w:proofErr w:type="gramStart"/>
      <w:r w:rsidRPr="00A00390">
        <w:rPr>
          <w:rFonts w:ascii="Times New Roman" w:hAnsi="Times New Roman" w:cs="Times New Roman"/>
          <w:sz w:val="24"/>
          <w:szCs w:val="24"/>
        </w:rPr>
        <w:t>2</w:t>
      </w:r>
      <w:proofErr w:type="gramEnd"/>
      <w:r w:rsidRPr="00A00390">
        <w:rPr>
          <w:rFonts w:ascii="Times New Roman" w:hAnsi="Times New Roman" w:cs="Times New Roman"/>
          <w:sz w:val="24"/>
          <w:szCs w:val="24"/>
        </w:rPr>
        <w:t xml:space="preserve"> servidores em cada Seção. Na SGP, para a SEREF, no DFT anteriormente realizado, identificou-se a necessidade de </w:t>
      </w:r>
      <w:proofErr w:type="gramStart"/>
      <w:r w:rsidRPr="00A00390">
        <w:rPr>
          <w:rFonts w:ascii="Times New Roman" w:hAnsi="Times New Roman" w:cs="Times New Roman"/>
          <w:sz w:val="24"/>
          <w:szCs w:val="24"/>
        </w:rPr>
        <w:t>7</w:t>
      </w:r>
      <w:proofErr w:type="gramEnd"/>
      <w:r w:rsidRPr="00A00390">
        <w:rPr>
          <w:rFonts w:ascii="Times New Roman" w:hAnsi="Times New Roman" w:cs="Times New Roman"/>
          <w:sz w:val="24"/>
          <w:szCs w:val="24"/>
        </w:rPr>
        <w:t xml:space="preserve"> servidores, não contabilizado o chefe de Seção. Contudo, antes da reestruturação, verificou-se que a unidade possuía </w:t>
      </w:r>
      <w:proofErr w:type="gramStart"/>
      <w:r w:rsidRPr="00A00390">
        <w:rPr>
          <w:rFonts w:ascii="Times New Roman" w:hAnsi="Times New Roman" w:cs="Times New Roman"/>
          <w:sz w:val="24"/>
          <w:szCs w:val="24"/>
        </w:rPr>
        <w:t>5</w:t>
      </w:r>
      <w:proofErr w:type="gramEnd"/>
      <w:r w:rsidRPr="00A00390">
        <w:rPr>
          <w:rFonts w:ascii="Times New Roman" w:hAnsi="Times New Roman" w:cs="Times New Roman"/>
          <w:sz w:val="24"/>
          <w:szCs w:val="24"/>
        </w:rPr>
        <w:t xml:space="preserve"> servidores, consoante consulta ao SGRH datada de em 9/1/2018.</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Critério(s):</w:t>
      </w:r>
    </w:p>
    <w:p w:rsidR="00473149" w:rsidRPr="008A7DE0" w:rsidRDefault="00473149" w:rsidP="00473149">
      <w:pPr>
        <w:numPr>
          <w:ilvl w:val="4"/>
          <w:numId w:val="1"/>
        </w:numPr>
        <w:spacing w:after="0" w:line="240" w:lineRule="auto"/>
        <w:jc w:val="both"/>
        <w:rPr>
          <w:rFonts w:ascii="Times New Roman" w:hAnsi="Times New Roman" w:cs="Times New Roman"/>
          <w:spacing w:val="-8"/>
          <w:sz w:val="24"/>
          <w:szCs w:val="24"/>
        </w:rPr>
      </w:pPr>
      <w:r w:rsidRPr="008A7DE0">
        <w:rPr>
          <w:rFonts w:ascii="Times New Roman" w:hAnsi="Times New Roman" w:cs="Times New Roman"/>
          <w:spacing w:val="-8"/>
          <w:sz w:val="24"/>
          <w:szCs w:val="24"/>
        </w:rPr>
        <w:t xml:space="preserve">Resolução CNJ nº 240/2016, </w:t>
      </w:r>
      <w:proofErr w:type="spellStart"/>
      <w:r w:rsidRPr="008A7DE0">
        <w:rPr>
          <w:rFonts w:ascii="Times New Roman" w:hAnsi="Times New Roman" w:cs="Times New Roman"/>
          <w:spacing w:val="-8"/>
          <w:sz w:val="24"/>
          <w:szCs w:val="24"/>
        </w:rPr>
        <w:t>art</w:t>
      </w:r>
      <w:proofErr w:type="spellEnd"/>
      <w:r w:rsidRPr="008A7DE0">
        <w:rPr>
          <w:rFonts w:ascii="Times New Roman" w:hAnsi="Times New Roman" w:cs="Times New Roman"/>
          <w:spacing w:val="-8"/>
          <w:sz w:val="24"/>
          <w:szCs w:val="24"/>
        </w:rPr>
        <w:t xml:space="preserve"> 4º, IX e art. 5, III e IV; Resolução Administrativa TRE-BA nº 3/2004, art. 6º; Acórdão TCU Plenário nº 1.172/2015, subitens 9.1.8 e 9.1.10.</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Causa(s):</w:t>
      </w:r>
    </w:p>
    <w:p w:rsidR="00473149" w:rsidRPr="00C420A2" w:rsidRDefault="00473149" w:rsidP="00473149">
      <w:pPr>
        <w:numPr>
          <w:ilvl w:val="4"/>
          <w:numId w:val="1"/>
        </w:numPr>
        <w:spacing w:after="0" w:line="240" w:lineRule="auto"/>
        <w:jc w:val="both"/>
        <w:rPr>
          <w:rFonts w:ascii="Times New Roman" w:hAnsi="Times New Roman" w:cs="Times New Roman"/>
          <w:spacing w:val="-4"/>
          <w:sz w:val="24"/>
          <w:szCs w:val="24"/>
        </w:rPr>
      </w:pPr>
      <w:r w:rsidRPr="00C420A2">
        <w:rPr>
          <w:rFonts w:ascii="Times New Roman" w:hAnsi="Times New Roman" w:cs="Times New Roman"/>
          <w:spacing w:val="-4"/>
          <w:sz w:val="24"/>
          <w:szCs w:val="24"/>
        </w:rPr>
        <w:t>Ausência de norma interna com critérios e procedimentos para lotação de servidores; ausência de Tabela de Lotação de Cargos; deficiência na utilização de critérios qualitativos para lotação de servidores; ausência de observância do DFT realizado.</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Efeito(s) (real ou potencial):</w:t>
      </w:r>
    </w:p>
    <w:p w:rsidR="00473149" w:rsidRPr="00A00390" w:rsidRDefault="00473149" w:rsidP="00473149">
      <w:pPr>
        <w:numPr>
          <w:ilvl w:val="4"/>
          <w:numId w:val="1"/>
        </w:numPr>
        <w:spacing w:after="0" w:line="240" w:lineRule="auto"/>
        <w:jc w:val="both"/>
        <w:rPr>
          <w:rFonts w:ascii="Times New Roman" w:hAnsi="Times New Roman" w:cs="Times New Roman"/>
          <w:sz w:val="24"/>
          <w:szCs w:val="24"/>
        </w:rPr>
      </w:pPr>
      <w:r w:rsidRPr="00A00390">
        <w:rPr>
          <w:rFonts w:ascii="Times New Roman" w:hAnsi="Times New Roman" w:cs="Times New Roman"/>
          <w:sz w:val="24"/>
          <w:szCs w:val="24"/>
        </w:rPr>
        <w:t>Deficiência na alocação da força de trabalho; inexecução de atividade por insuficiência de força de trabalho ou execução de atividade com qualidade inferior e/ou de forma intempestiva; comprometimento da capacidade da instituição em gerar resultados e benefícios para a sociedade; desalinhamento da gestão da força de trabalho com a estratégia organizacional; desmotivação do quadro de servidores; sobrecarga de atividades; aumento de horas em banco dos servidores; incremento de custos com horas extras de servidores; acréscimo de afastamento por motivo de saúde.</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Evidência(s):</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A00390">
        <w:rPr>
          <w:rFonts w:ascii="Times New Roman" w:hAnsi="Times New Roman" w:cs="Times New Roman"/>
          <w:sz w:val="24"/>
          <w:szCs w:val="24"/>
        </w:rPr>
        <w:t>Resposta da SGP à RDI nº 34/2018, PAD nº 8.252/2018 (Docs. nº 106329/2018 e 111.529/2018); Relatórios de lotação extraídos do SGRH – 1/1/2016 a 9/7/2018; Relatório Conclusivo e de Recomendações – DFT (SGP, COPEG, SOF e SGA); Resoluções Administrativas TRE-BA nº 5/2013 e 12/2018</w:t>
      </w:r>
      <w:r w:rsidRPr="00F608EB">
        <w:rPr>
          <w:rFonts w:ascii="Times New Roman" w:hAnsi="Times New Roman" w:cs="Times New Roman"/>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lastRenderedPageBreak/>
        <w:t>Esclarecimentos dos responsáveis:</w:t>
      </w:r>
    </w:p>
    <w:p w:rsidR="00473149" w:rsidRDefault="00473149" w:rsidP="00473149">
      <w:pPr>
        <w:numPr>
          <w:ilvl w:val="4"/>
          <w:numId w:val="26"/>
        </w:numPr>
        <w:spacing w:after="0" w:line="240" w:lineRule="auto"/>
        <w:jc w:val="both"/>
        <w:rPr>
          <w:rFonts w:ascii="Times New Roman" w:hAnsi="Times New Roman" w:cs="Times New Roman"/>
          <w:sz w:val="24"/>
          <w:szCs w:val="24"/>
        </w:rPr>
      </w:pPr>
      <w:r w:rsidRPr="00C32120">
        <w:rPr>
          <w:rFonts w:ascii="Times New Roman" w:hAnsi="Times New Roman" w:cs="Times New Roman"/>
          <w:sz w:val="24"/>
          <w:szCs w:val="24"/>
        </w:rPr>
        <w:t xml:space="preserve">Em resposta à RDI nº 39/2018 (PAD nº 10.441/2018, </w:t>
      </w:r>
      <w:r w:rsidRPr="00B74682">
        <w:rPr>
          <w:rFonts w:ascii="Times New Roman" w:hAnsi="Times New Roman" w:cs="Times New Roman"/>
          <w:sz w:val="24"/>
          <w:szCs w:val="24"/>
        </w:rPr>
        <w:t>Doc. nº 138.402/2018</w:t>
      </w:r>
      <w:r w:rsidRPr="00C32120">
        <w:rPr>
          <w:rFonts w:ascii="Times New Roman" w:hAnsi="Times New Roman" w:cs="Times New Roman"/>
          <w:sz w:val="24"/>
          <w:szCs w:val="24"/>
        </w:rPr>
        <w:t>), a SGP informou</w:t>
      </w:r>
      <w:r>
        <w:rPr>
          <w:rFonts w:ascii="Times New Roman" w:hAnsi="Times New Roman" w:cs="Times New Roman"/>
          <w:sz w:val="24"/>
          <w:szCs w:val="24"/>
        </w:rPr>
        <w:t xml:space="preserve"> que a elaboração do plano de gestão do dimensionamento da força de trabalho é exequível para entrega 30 de janeiro de 2019.</w:t>
      </w:r>
    </w:p>
    <w:p w:rsidR="00473149" w:rsidRPr="008B584C" w:rsidRDefault="00473149" w:rsidP="00473149">
      <w:pPr>
        <w:numPr>
          <w:ilvl w:val="4"/>
          <w:numId w:val="26"/>
        </w:numPr>
        <w:spacing w:after="0" w:line="240" w:lineRule="auto"/>
        <w:jc w:val="both"/>
        <w:rPr>
          <w:rFonts w:ascii="Times New Roman" w:hAnsi="Times New Roman" w:cs="Times New Roman"/>
          <w:sz w:val="24"/>
          <w:szCs w:val="24"/>
        </w:rPr>
      </w:pPr>
      <w:r w:rsidRPr="008B584C">
        <w:rPr>
          <w:rFonts w:ascii="Times New Roman" w:hAnsi="Times New Roman" w:cs="Times New Roman"/>
          <w:spacing w:val="-2"/>
          <w:sz w:val="24"/>
          <w:szCs w:val="24"/>
        </w:rPr>
        <w:t>Em resposta a RDI Circular nº 13/2018 (PAD nº 11.047/2018, Doc. nº 145.284/2018)</w:t>
      </w:r>
      <w:r w:rsidR="008B584C" w:rsidRPr="008B584C">
        <w:rPr>
          <w:rFonts w:ascii="Times New Roman" w:hAnsi="Times New Roman" w:cs="Times New Roman"/>
          <w:spacing w:val="-2"/>
          <w:sz w:val="24"/>
          <w:szCs w:val="24"/>
        </w:rPr>
        <w:t>,</w:t>
      </w:r>
      <w:r w:rsidRPr="008B584C">
        <w:rPr>
          <w:rFonts w:ascii="Times New Roman" w:hAnsi="Times New Roman" w:cs="Times New Roman"/>
          <w:spacing w:val="-2"/>
          <w:sz w:val="24"/>
          <w:szCs w:val="24"/>
        </w:rPr>
        <w:t xml:space="preserve"> a SGP ratificou informações anteriormente prestadas </w:t>
      </w:r>
      <w:r w:rsidR="008B584C" w:rsidRPr="008B584C">
        <w:rPr>
          <w:rFonts w:ascii="Times New Roman" w:hAnsi="Times New Roman" w:cs="Times New Roman"/>
          <w:spacing w:val="-2"/>
          <w:sz w:val="24"/>
          <w:szCs w:val="24"/>
        </w:rPr>
        <w:t xml:space="preserve">no </w:t>
      </w:r>
      <w:r w:rsidRPr="008B584C">
        <w:rPr>
          <w:rFonts w:ascii="Times New Roman" w:hAnsi="Times New Roman" w:cs="Times New Roman"/>
          <w:spacing w:val="-2"/>
          <w:sz w:val="24"/>
          <w:szCs w:val="24"/>
        </w:rPr>
        <w:t>PAD nº 10</w:t>
      </w:r>
      <w:r w:rsidR="008B584C" w:rsidRPr="008B584C">
        <w:rPr>
          <w:rFonts w:ascii="Times New Roman" w:hAnsi="Times New Roman" w:cs="Times New Roman"/>
          <w:spacing w:val="-2"/>
          <w:sz w:val="24"/>
          <w:szCs w:val="24"/>
        </w:rPr>
        <w:t xml:space="preserve">.441/2018, Doc. </w:t>
      </w:r>
      <w:proofErr w:type="gramStart"/>
      <w:r w:rsidR="008B584C" w:rsidRPr="008B584C">
        <w:rPr>
          <w:rFonts w:ascii="Times New Roman" w:hAnsi="Times New Roman" w:cs="Times New Roman"/>
          <w:spacing w:val="-2"/>
          <w:sz w:val="24"/>
          <w:szCs w:val="24"/>
        </w:rPr>
        <w:t>nº</w:t>
      </w:r>
      <w:proofErr w:type="gramEnd"/>
      <w:r w:rsidR="008B584C" w:rsidRPr="008B584C">
        <w:rPr>
          <w:rFonts w:ascii="Times New Roman" w:hAnsi="Times New Roman" w:cs="Times New Roman"/>
          <w:spacing w:val="-2"/>
          <w:sz w:val="24"/>
          <w:szCs w:val="24"/>
        </w:rPr>
        <w:t xml:space="preserve"> 138.402/2018</w:t>
      </w:r>
      <w:r w:rsidRPr="008B584C">
        <w:rPr>
          <w:rFonts w:ascii="Times New Roman" w:hAnsi="Times New Roman" w:cs="Times New Roman"/>
          <w:spacing w:val="-2"/>
          <w:sz w:val="24"/>
          <w:szCs w:val="24"/>
        </w:rPr>
        <w:t>.</w:t>
      </w:r>
    </w:p>
    <w:p w:rsidR="00473149" w:rsidRPr="008B584C" w:rsidRDefault="008B584C" w:rsidP="00473149">
      <w:pPr>
        <w:numPr>
          <w:ilvl w:val="4"/>
          <w:numId w:val="1"/>
        </w:numPr>
        <w:spacing w:after="0" w:line="240" w:lineRule="auto"/>
        <w:jc w:val="both"/>
        <w:rPr>
          <w:rFonts w:ascii="Times New Roman" w:hAnsi="Times New Roman" w:cs="Times New Roman"/>
          <w:spacing w:val="-4"/>
          <w:sz w:val="24"/>
          <w:szCs w:val="24"/>
        </w:rPr>
      </w:pPr>
      <w:r w:rsidRPr="008B584C">
        <w:rPr>
          <w:rFonts w:ascii="Times New Roman" w:hAnsi="Times New Roman" w:cs="Times New Roman"/>
          <w:spacing w:val="-2"/>
          <w:sz w:val="24"/>
          <w:szCs w:val="24"/>
        </w:rPr>
        <w:t>Também e</w:t>
      </w:r>
      <w:r w:rsidR="00473149" w:rsidRPr="008B584C">
        <w:rPr>
          <w:rFonts w:ascii="Times New Roman" w:hAnsi="Times New Roman" w:cs="Times New Roman"/>
          <w:spacing w:val="-2"/>
          <w:sz w:val="24"/>
          <w:szCs w:val="24"/>
        </w:rPr>
        <w:t xml:space="preserve">m resposta à </w:t>
      </w:r>
      <w:r w:rsidRPr="008B584C">
        <w:rPr>
          <w:rFonts w:ascii="Times New Roman" w:hAnsi="Times New Roman" w:cs="Times New Roman"/>
          <w:spacing w:val="-2"/>
          <w:sz w:val="24"/>
          <w:szCs w:val="24"/>
        </w:rPr>
        <w:t xml:space="preserve">sobredita </w:t>
      </w:r>
      <w:r w:rsidR="00473149" w:rsidRPr="008B584C">
        <w:rPr>
          <w:rFonts w:ascii="Times New Roman" w:hAnsi="Times New Roman" w:cs="Times New Roman"/>
          <w:spacing w:val="-2"/>
          <w:sz w:val="24"/>
          <w:szCs w:val="24"/>
        </w:rPr>
        <w:t>RDI Circular (Doc. nº 146.328/2018)</w:t>
      </w:r>
      <w:r w:rsidRPr="008B584C">
        <w:rPr>
          <w:rFonts w:ascii="Times New Roman" w:hAnsi="Times New Roman" w:cs="Times New Roman"/>
          <w:spacing w:val="-2"/>
          <w:sz w:val="24"/>
          <w:szCs w:val="24"/>
        </w:rPr>
        <w:t>,</w:t>
      </w:r>
      <w:r w:rsidR="00473149" w:rsidRPr="008B584C">
        <w:rPr>
          <w:rFonts w:ascii="Times New Roman" w:hAnsi="Times New Roman" w:cs="Times New Roman"/>
          <w:spacing w:val="-2"/>
          <w:sz w:val="24"/>
          <w:szCs w:val="24"/>
        </w:rPr>
        <w:t xml:space="preserve"> a COPEG registrou que já est</w:t>
      </w:r>
      <w:r w:rsidRPr="008B584C">
        <w:rPr>
          <w:rFonts w:ascii="Times New Roman" w:hAnsi="Times New Roman" w:cs="Times New Roman"/>
          <w:spacing w:val="-2"/>
          <w:sz w:val="24"/>
          <w:szCs w:val="24"/>
        </w:rPr>
        <w:t>avam</w:t>
      </w:r>
      <w:r w:rsidR="00473149" w:rsidRPr="008B584C">
        <w:rPr>
          <w:rFonts w:ascii="Times New Roman" w:hAnsi="Times New Roman" w:cs="Times New Roman"/>
          <w:spacing w:val="-2"/>
          <w:sz w:val="24"/>
          <w:szCs w:val="24"/>
        </w:rPr>
        <w:t xml:space="preserve"> sendo adotadas as providências pertinentes para adequar a necessidade de lotação ao quantitativo mínimo de servidores nas suas unidades, visando assegurar a efetividade de suas atribuições.  Informou, ainda, que ape</w:t>
      </w:r>
      <w:r w:rsidRPr="008B584C">
        <w:rPr>
          <w:rFonts w:ascii="Times New Roman" w:hAnsi="Times New Roman" w:cs="Times New Roman"/>
          <w:spacing w:val="-2"/>
          <w:sz w:val="24"/>
          <w:szCs w:val="24"/>
        </w:rPr>
        <w:t>nas duas seções ainda não atendiam</w:t>
      </w:r>
      <w:r w:rsidR="00473149" w:rsidRPr="008B584C">
        <w:rPr>
          <w:rFonts w:ascii="Times New Roman" w:hAnsi="Times New Roman" w:cs="Times New Roman"/>
          <w:spacing w:val="-2"/>
          <w:sz w:val="24"/>
          <w:szCs w:val="24"/>
        </w:rPr>
        <w:t xml:space="preserve"> ao mínimo previsto no DFT: SEPROQ (com </w:t>
      </w:r>
      <w:proofErr w:type="gramStart"/>
      <w:r w:rsidR="00473149" w:rsidRPr="008B584C">
        <w:rPr>
          <w:rFonts w:ascii="Times New Roman" w:hAnsi="Times New Roman" w:cs="Times New Roman"/>
          <w:spacing w:val="-2"/>
          <w:sz w:val="24"/>
          <w:szCs w:val="24"/>
        </w:rPr>
        <w:t>2</w:t>
      </w:r>
      <w:proofErr w:type="gramEnd"/>
      <w:r w:rsidR="00473149" w:rsidRPr="008B584C">
        <w:rPr>
          <w:rFonts w:ascii="Times New Roman" w:hAnsi="Times New Roman" w:cs="Times New Roman"/>
          <w:spacing w:val="-2"/>
          <w:sz w:val="24"/>
          <w:szCs w:val="24"/>
        </w:rPr>
        <w:t xml:space="preserve"> servidores) e SEGEPRO (apenas com o titular).</w:t>
      </w:r>
    </w:p>
    <w:p w:rsidR="00473149" w:rsidRPr="00C63B7F"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C63B7F">
        <w:rPr>
          <w:rFonts w:ascii="Times New Roman" w:hAnsi="Times New Roman" w:cs="Times New Roman"/>
          <w:i/>
          <w:sz w:val="24"/>
          <w:szCs w:val="24"/>
        </w:rPr>
        <w:t>Conclusão da equipe de auditoria:</w:t>
      </w:r>
    </w:p>
    <w:p w:rsidR="00473149" w:rsidRPr="00B4693A" w:rsidRDefault="00473149" w:rsidP="00473149">
      <w:pPr>
        <w:numPr>
          <w:ilvl w:val="4"/>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Tendo em vista sinalização de necessidade de ampliação de prazo para atendimento ao quanto recomendado, opina-se pela subsistência da fragilidade ora evidenciada, alterando-se o marco final para cumprimento anteriormente proposto, consoante acordo firmado com a Unidade</w:t>
      </w:r>
      <w:r w:rsidRPr="00B4693A">
        <w:rPr>
          <w:rFonts w:ascii="Times New Roman" w:hAnsi="Times New Roman" w:cs="Times New Roman"/>
          <w:sz w:val="24"/>
          <w:szCs w:val="24"/>
        </w:rPr>
        <w:t>.</w:t>
      </w:r>
    </w:p>
    <w:p w:rsidR="00473149"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C01AF">
        <w:rPr>
          <w:rFonts w:ascii="Times New Roman" w:hAnsi="Times New Roman" w:cs="Times New Roman"/>
          <w:i/>
          <w:sz w:val="24"/>
          <w:szCs w:val="24"/>
        </w:rPr>
        <w:t>Proposta de encaminhamento:</w:t>
      </w:r>
    </w:p>
    <w:p w:rsidR="00473149" w:rsidRDefault="00473149" w:rsidP="00473149">
      <w:pPr>
        <w:numPr>
          <w:ilvl w:val="4"/>
          <w:numId w:val="1"/>
        </w:numPr>
        <w:spacing w:after="0" w:line="240" w:lineRule="auto"/>
        <w:jc w:val="both"/>
        <w:rPr>
          <w:rFonts w:ascii="Times New Roman" w:hAnsi="Times New Roman" w:cs="Times New Roman"/>
          <w:spacing w:val="-6"/>
          <w:sz w:val="24"/>
          <w:szCs w:val="24"/>
        </w:rPr>
      </w:pPr>
      <w:r w:rsidRPr="00FC01AF">
        <w:rPr>
          <w:rFonts w:ascii="Times New Roman" w:hAnsi="Times New Roman" w:cs="Times New Roman"/>
          <w:spacing w:val="-6"/>
          <w:sz w:val="24"/>
          <w:szCs w:val="24"/>
        </w:rPr>
        <w:t xml:space="preserve">Recomendar à SGP que, observado o prazo de </w:t>
      </w:r>
      <w:r>
        <w:rPr>
          <w:rFonts w:ascii="Times New Roman" w:hAnsi="Times New Roman" w:cs="Times New Roman"/>
          <w:spacing w:val="-6"/>
          <w:sz w:val="24"/>
          <w:szCs w:val="24"/>
        </w:rPr>
        <w:t>12</w:t>
      </w:r>
      <w:r w:rsidRPr="00FC01AF">
        <w:rPr>
          <w:rFonts w:ascii="Times New Roman" w:hAnsi="Times New Roman" w:cs="Times New Roman"/>
          <w:spacing w:val="-6"/>
          <w:sz w:val="24"/>
          <w:szCs w:val="24"/>
        </w:rPr>
        <w:t xml:space="preserve">0 dias, formalize plano de gestão do dimensionamento da força de trabalho, de modo a viabilizar o gerenciamento dos resultados e recomendações do DFT e a </w:t>
      </w:r>
      <w:proofErr w:type="gramStart"/>
      <w:r w:rsidRPr="00FC01AF">
        <w:rPr>
          <w:rFonts w:ascii="Times New Roman" w:hAnsi="Times New Roman" w:cs="Times New Roman"/>
          <w:spacing w:val="-6"/>
          <w:sz w:val="24"/>
          <w:szCs w:val="24"/>
        </w:rPr>
        <w:t>implementação</w:t>
      </w:r>
      <w:proofErr w:type="gramEnd"/>
      <w:r w:rsidRPr="00FC01AF">
        <w:rPr>
          <w:rFonts w:ascii="Times New Roman" w:hAnsi="Times New Roman" w:cs="Times New Roman"/>
          <w:spacing w:val="-6"/>
          <w:sz w:val="24"/>
          <w:szCs w:val="24"/>
        </w:rPr>
        <w:t xml:space="preserve"> de ações</w:t>
      </w:r>
      <w:r>
        <w:rPr>
          <w:rFonts w:ascii="Times New Roman" w:hAnsi="Times New Roman" w:cs="Times New Roman"/>
          <w:spacing w:val="-6"/>
          <w:sz w:val="24"/>
          <w:szCs w:val="24"/>
        </w:rPr>
        <w:t xml:space="preserve"> </w:t>
      </w:r>
      <w:r w:rsidRPr="00FC01AF">
        <w:rPr>
          <w:rFonts w:ascii="Times New Roman" w:hAnsi="Times New Roman" w:cs="Times New Roman"/>
          <w:spacing w:val="-6"/>
          <w:sz w:val="24"/>
          <w:szCs w:val="24"/>
        </w:rPr>
        <w:t>e intervenções necessárias ao aumento da eficiência, eficácia e efetividade organizacional, por meio de sua utilização como insumo para:</w:t>
      </w:r>
    </w:p>
    <w:p w:rsidR="00473149" w:rsidRPr="00FC01AF" w:rsidRDefault="00473149" w:rsidP="00473149">
      <w:pPr>
        <w:pStyle w:val="PargrafodaLista"/>
        <w:numPr>
          <w:ilvl w:val="0"/>
          <w:numId w:val="12"/>
        </w:numPr>
        <w:spacing w:before="0"/>
        <w:ind w:left="1134" w:firstLine="0"/>
        <w:jc w:val="both"/>
        <w:rPr>
          <w:rFonts w:eastAsiaTheme="minorHAnsi"/>
          <w:b w:val="0"/>
          <w:spacing w:val="-6"/>
          <w:sz w:val="24"/>
          <w:szCs w:val="24"/>
          <w:lang w:eastAsia="en-US"/>
        </w:rPr>
      </w:pPr>
      <w:bookmarkStart w:id="78" w:name="_Toc520362076"/>
      <w:bookmarkStart w:id="79" w:name="_Toc520405220"/>
      <w:proofErr w:type="gramStart"/>
      <w:r w:rsidRPr="00FC01AF">
        <w:rPr>
          <w:rFonts w:eastAsiaTheme="minorHAnsi"/>
          <w:b w:val="0"/>
          <w:spacing w:val="-6"/>
          <w:sz w:val="24"/>
          <w:szCs w:val="24"/>
          <w:lang w:eastAsia="en-US"/>
        </w:rPr>
        <w:t>definição</w:t>
      </w:r>
      <w:proofErr w:type="gramEnd"/>
      <w:r w:rsidRPr="00FC01AF">
        <w:rPr>
          <w:rFonts w:eastAsiaTheme="minorHAnsi"/>
          <w:b w:val="0"/>
          <w:spacing w:val="-6"/>
          <w:sz w:val="24"/>
          <w:szCs w:val="24"/>
          <w:lang w:eastAsia="en-US"/>
        </w:rPr>
        <w:t xml:space="preserve"> de estratégias visando reduzir ou eliminar lacunas identificadas, notadamente por meio de ajuste do quadro de pessoal ou da demanda;</w:t>
      </w:r>
      <w:bookmarkEnd w:id="78"/>
      <w:bookmarkEnd w:id="79"/>
      <w:r w:rsidRPr="00FC01AF">
        <w:rPr>
          <w:rFonts w:eastAsiaTheme="minorHAnsi"/>
          <w:b w:val="0"/>
          <w:spacing w:val="-6"/>
          <w:sz w:val="24"/>
          <w:szCs w:val="24"/>
          <w:lang w:eastAsia="en-US"/>
        </w:rPr>
        <w:t xml:space="preserve"> </w:t>
      </w:r>
    </w:p>
    <w:p w:rsidR="00473149" w:rsidRPr="00FC01AF" w:rsidRDefault="00473149" w:rsidP="00473149">
      <w:pPr>
        <w:pStyle w:val="PargrafodaLista"/>
        <w:numPr>
          <w:ilvl w:val="0"/>
          <w:numId w:val="12"/>
        </w:numPr>
        <w:ind w:firstLine="420"/>
        <w:rPr>
          <w:rFonts w:eastAsiaTheme="minorHAnsi"/>
          <w:b w:val="0"/>
          <w:spacing w:val="-6"/>
          <w:sz w:val="24"/>
          <w:szCs w:val="24"/>
          <w:lang w:eastAsia="en-US"/>
        </w:rPr>
      </w:pPr>
      <w:bookmarkStart w:id="80" w:name="_Toc520362077"/>
      <w:bookmarkStart w:id="81" w:name="_Toc520405221"/>
      <w:proofErr w:type="gramStart"/>
      <w:r w:rsidRPr="00FC01AF">
        <w:rPr>
          <w:rFonts w:eastAsiaTheme="minorHAnsi"/>
          <w:b w:val="0"/>
          <w:spacing w:val="-6"/>
          <w:sz w:val="24"/>
          <w:szCs w:val="24"/>
          <w:lang w:eastAsia="en-US"/>
        </w:rPr>
        <w:t>planejamento</w:t>
      </w:r>
      <w:proofErr w:type="gramEnd"/>
      <w:r w:rsidRPr="00FC01AF">
        <w:rPr>
          <w:rFonts w:eastAsiaTheme="minorHAnsi"/>
          <w:b w:val="0"/>
          <w:spacing w:val="-6"/>
          <w:sz w:val="24"/>
          <w:szCs w:val="24"/>
          <w:lang w:eastAsia="en-US"/>
        </w:rPr>
        <w:t xml:space="preserve"> de concurso público;</w:t>
      </w:r>
      <w:bookmarkEnd w:id="80"/>
      <w:bookmarkEnd w:id="81"/>
      <w:r w:rsidRPr="00FC01AF">
        <w:rPr>
          <w:rFonts w:eastAsiaTheme="minorHAnsi"/>
          <w:b w:val="0"/>
          <w:spacing w:val="-6"/>
          <w:sz w:val="24"/>
          <w:szCs w:val="24"/>
          <w:lang w:eastAsia="en-US"/>
        </w:rPr>
        <w:t xml:space="preserve"> </w:t>
      </w:r>
    </w:p>
    <w:p w:rsidR="00473149" w:rsidRPr="00FC01AF" w:rsidRDefault="00473149" w:rsidP="00473149">
      <w:pPr>
        <w:pStyle w:val="PargrafodaLista"/>
        <w:numPr>
          <w:ilvl w:val="0"/>
          <w:numId w:val="12"/>
        </w:numPr>
        <w:ind w:firstLine="420"/>
        <w:rPr>
          <w:rFonts w:eastAsiaTheme="minorHAnsi"/>
          <w:b w:val="0"/>
          <w:spacing w:val="-6"/>
          <w:sz w:val="24"/>
          <w:szCs w:val="24"/>
          <w:lang w:eastAsia="en-US"/>
        </w:rPr>
      </w:pPr>
      <w:bookmarkStart w:id="82" w:name="_Toc520362078"/>
      <w:bookmarkStart w:id="83" w:name="_Toc520405222"/>
      <w:proofErr w:type="gramStart"/>
      <w:r w:rsidRPr="00FC01AF">
        <w:rPr>
          <w:rFonts w:eastAsiaTheme="minorHAnsi"/>
          <w:b w:val="0"/>
          <w:spacing w:val="-6"/>
          <w:sz w:val="24"/>
          <w:szCs w:val="24"/>
          <w:lang w:eastAsia="en-US"/>
        </w:rPr>
        <w:t>alocação</w:t>
      </w:r>
      <w:proofErr w:type="gramEnd"/>
      <w:r w:rsidRPr="00FC01AF">
        <w:rPr>
          <w:rFonts w:eastAsiaTheme="minorHAnsi"/>
          <w:b w:val="0"/>
          <w:spacing w:val="-6"/>
          <w:sz w:val="24"/>
          <w:szCs w:val="24"/>
          <w:lang w:eastAsia="en-US"/>
        </w:rPr>
        <w:t xml:space="preserve"> inicial;</w:t>
      </w:r>
      <w:bookmarkEnd w:id="82"/>
      <w:bookmarkEnd w:id="83"/>
      <w:r w:rsidRPr="00FC01AF">
        <w:rPr>
          <w:rFonts w:eastAsiaTheme="minorHAnsi"/>
          <w:b w:val="0"/>
          <w:spacing w:val="-6"/>
          <w:sz w:val="24"/>
          <w:szCs w:val="24"/>
          <w:lang w:eastAsia="en-US"/>
        </w:rPr>
        <w:t xml:space="preserve"> </w:t>
      </w:r>
    </w:p>
    <w:p w:rsidR="00473149" w:rsidRPr="00FC01AF" w:rsidRDefault="00473149" w:rsidP="00473149">
      <w:pPr>
        <w:pStyle w:val="PargrafodaLista"/>
        <w:numPr>
          <w:ilvl w:val="0"/>
          <w:numId w:val="12"/>
        </w:numPr>
        <w:ind w:firstLine="420"/>
        <w:rPr>
          <w:rFonts w:eastAsiaTheme="minorHAnsi"/>
          <w:b w:val="0"/>
          <w:spacing w:val="-6"/>
          <w:sz w:val="24"/>
          <w:szCs w:val="24"/>
          <w:lang w:eastAsia="en-US"/>
        </w:rPr>
      </w:pPr>
      <w:bookmarkStart w:id="84" w:name="_Toc520362079"/>
      <w:bookmarkStart w:id="85" w:name="_Toc520405223"/>
      <w:proofErr w:type="gramStart"/>
      <w:r w:rsidRPr="00FC01AF">
        <w:rPr>
          <w:rFonts w:eastAsiaTheme="minorHAnsi"/>
          <w:b w:val="0"/>
          <w:spacing w:val="-6"/>
          <w:sz w:val="24"/>
          <w:szCs w:val="24"/>
          <w:lang w:eastAsia="en-US"/>
        </w:rPr>
        <w:t>movimentação</w:t>
      </w:r>
      <w:proofErr w:type="gramEnd"/>
      <w:r w:rsidRPr="00FC01AF">
        <w:rPr>
          <w:rFonts w:eastAsiaTheme="minorHAnsi"/>
          <w:b w:val="0"/>
          <w:spacing w:val="-6"/>
          <w:sz w:val="24"/>
          <w:szCs w:val="24"/>
          <w:lang w:eastAsia="en-US"/>
        </w:rPr>
        <w:t xml:space="preserve"> de pessoal;</w:t>
      </w:r>
      <w:bookmarkEnd w:id="84"/>
      <w:bookmarkEnd w:id="85"/>
    </w:p>
    <w:p w:rsidR="00473149" w:rsidRPr="00FC01AF" w:rsidRDefault="00473149" w:rsidP="00473149">
      <w:pPr>
        <w:pStyle w:val="PargrafodaLista"/>
        <w:numPr>
          <w:ilvl w:val="0"/>
          <w:numId w:val="12"/>
        </w:numPr>
        <w:ind w:firstLine="420"/>
        <w:rPr>
          <w:rFonts w:eastAsiaTheme="minorHAnsi"/>
          <w:b w:val="0"/>
          <w:spacing w:val="-6"/>
          <w:sz w:val="24"/>
          <w:szCs w:val="24"/>
          <w:lang w:eastAsia="en-US"/>
        </w:rPr>
      </w:pPr>
      <w:bookmarkStart w:id="86" w:name="_Toc520362080"/>
      <w:bookmarkStart w:id="87" w:name="_Toc520405224"/>
      <w:proofErr w:type="gramStart"/>
      <w:r w:rsidRPr="00FC01AF">
        <w:rPr>
          <w:rFonts w:eastAsiaTheme="minorHAnsi"/>
          <w:b w:val="0"/>
          <w:spacing w:val="-6"/>
          <w:sz w:val="24"/>
          <w:szCs w:val="24"/>
          <w:lang w:eastAsia="en-US"/>
        </w:rPr>
        <w:t>reestruturação</w:t>
      </w:r>
      <w:proofErr w:type="gramEnd"/>
      <w:r w:rsidRPr="00FC01AF">
        <w:rPr>
          <w:rFonts w:eastAsiaTheme="minorHAnsi"/>
          <w:b w:val="0"/>
          <w:spacing w:val="-6"/>
          <w:sz w:val="24"/>
          <w:szCs w:val="24"/>
          <w:lang w:eastAsia="en-US"/>
        </w:rPr>
        <w:t xml:space="preserve"> administrativa; e</w:t>
      </w:r>
      <w:bookmarkEnd w:id="86"/>
      <w:bookmarkEnd w:id="87"/>
    </w:p>
    <w:p w:rsidR="00473149" w:rsidRDefault="00473149" w:rsidP="00473149">
      <w:pPr>
        <w:pStyle w:val="PargrafodaLista"/>
        <w:numPr>
          <w:ilvl w:val="0"/>
          <w:numId w:val="12"/>
        </w:numPr>
        <w:spacing w:after="0"/>
        <w:ind w:firstLine="420"/>
        <w:jc w:val="both"/>
        <w:rPr>
          <w:rFonts w:eastAsiaTheme="minorHAnsi"/>
          <w:b w:val="0"/>
          <w:spacing w:val="-6"/>
          <w:sz w:val="24"/>
          <w:szCs w:val="24"/>
          <w:lang w:eastAsia="en-US"/>
        </w:rPr>
      </w:pPr>
      <w:bookmarkStart w:id="88" w:name="_Toc520362081"/>
      <w:bookmarkStart w:id="89" w:name="_Toc520405225"/>
      <w:proofErr w:type="gramStart"/>
      <w:r w:rsidRPr="00FC01AF">
        <w:rPr>
          <w:rFonts w:eastAsiaTheme="minorHAnsi"/>
          <w:b w:val="0"/>
          <w:spacing w:val="-6"/>
          <w:sz w:val="24"/>
          <w:szCs w:val="24"/>
          <w:lang w:eastAsia="en-US"/>
        </w:rPr>
        <w:t>rezoneamento</w:t>
      </w:r>
      <w:proofErr w:type="gramEnd"/>
      <w:r w:rsidRPr="00FC01AF">
        <w:rPr>
          <w:rFonts w:eastAsiaTheme="minorHAnsi"/>
          <w:b w:val="0"/>
          <w:spacing w:val="-6"/>
          <w:sz w:val="24"/>
          <w:szCs w:val="24"/>
          <w:lang w:eastAsia="en-US"/>
        </w:rPr>
        <w:t>.</w:t>
      </w:r>
      <w:bookmarkEnd w:id="88"/>
      <w:bookmarkEnd w:id="89"/>
    </w:p>
    <w:p w:rsidR="00473149" w:rsidRDefault="00473149" w:rsidP="00473149">
      <w:pPr>
        <w:pStyle w:val="PargrafodaLista"/>
        <w:numPr>
          <w:ilvl w:val="2"/>
          <w:numId w:val="1"/>
        </w:numPr>
        <w:spacing w:before="120"/>
        <w:contextualSpacing w:val="0"/>
        <w:jc w:val="both"/>
        <w:rPr>
          <w:b w:val="0"/>
          <w:spacing w:val="-2"/>
          <w:sz w:val="24"/>
          <w:szCs w:val="24"/>
          <w:u w:val="single"/>
        </w:rPr>
      </w:pPr>
      <w:bookmarkStart w:id="90" w:name="_Toc520362082"/>
      <w:bookmarkStart w:id="91" w:name="_Toc520405226"/>
      <w:r w:rsidRPr="00E52376">
        <w:rPr>
          <w:rFonts w:eastAsiaTheme="minorHAnsi"/>
          <w:b w:val="0"/>
          <w:sz w:val="24"/>
          <w:szCs w:val="24"/>
          <w:u w:val="single"/>
          <w:lang w:eastAsia="en-US"/>
        </w:rPr>
        <w:t>Ausência de planejamento para fazer frente às lacunas de pessoal decorrentes de aposentadoria</w:t>
      </w:r>
      <w:r w:rsidRPr="00F608EB">
        <w:rPr>
          <w:b w:val="0"/>
          <w:spacing w:val="-2"/>
          <w:sz w:val="24"/>
          <w:szCs w:val="24"/>
          <w:u w:val="single"/>
        </w:rPr>
        <w:t>.</w:t>
      </w:r>
      <w:bookmarkEnd w:id="90"/>
      <w:bookmarkEnd w:id="91"/>
    </w:p>
    <w:p w:rsidR="00473149" w:rsidRPr="008A7DE0" w:rsidRDefault="00473149" w:rsidP="00473149">
      <w:pPr>
        <w:spacing w:before="120" w:after="120" w:line="240" w:lineRule="auto"/>
        <w:jc w:val="both"/>
        <w:rPr>
          <w:i/>
        </w:rPr>
      </w:pPr>
      <w:r>
        <w:rPr>
          <w:rFonts w:ascii="Times New Roman" w:hAnsi="Times New Roman" w:cs="Times New Roman"/>
          <w:i/>
          <w:sz w:val="24"/>
          <w:szCs w:val="24"/>
        </w:rPr>
        <w:t xml:space="preserve">Risco associado: </w:t>
      </w:r>
      <w:r w:rsidRPr="008A7DE0">
        <w:rPr>
          <w:rFonts w:ascii="Times New Roman" w:hAnsi="Times New Roman" w:cs="Times New Roman"/>
          <w:i/>
          <w:sz w:val="24"/>
          <w:szCs w:val="24"/>
        </w:rPr>
        <w:t>R3 – TSE: Déficit de pessoal.</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Situação encontrada:</w:t>
      </w:r>
    </w:p>
    <w:p w:rsidR="00473149" w:rsidRPr="00C420A2" w:rsidRDefault="00473149" w:rsidP="00473149">
      <w:pPr>
        <w:numPr>
          <w:ilvl w:val="4"/>
          <w:numId w:val="1"/>
        </w:numPr>
        <w:spacing w:after="0" w:line="240" w:lineRule="auto"/>
        <w:jc w:val="both"/>
        <w:rPr>
          <w:rFonts w:ascii="Times New Roman" w:hAnsi="Times New Roman" w:cs="Times New Roman"/>
          <w:sz w:val="24"/>
          <w:szCs w:val="24"/>
        </w:rPr>
      </w:pPr>
      <w:r w:rsidRPr="00C420A2">
        <w:rPr>
          <w:rFonts w:ascii="Times New Roman" w:hAnsi="Times New Roman" w:cs="Times New Roman"/>
          <w:sz w:val="24"/>
          <w:szCs w:val="24"/>
        </w:rPr>
        <w:t xml:space="preserve">Evidenciou-se, da análise do resultado do Levantamento de Governança e Gestão Públicas – 2017 (Relatório individual da </w:t>
      </w:r>
      <w:proofErr w:type="spellStart"/>
      <w:r w:rsidRPr="00C420A2">
        <w:rPr>
          <w:rFonts w:ascii="Times New Roman" w:hAnsi="Times New Roman" w:cs="Times New Roman"/>
          <w:sz w:val="24"/>
          <w:szCs w:val="24"/>
        </w:rPr>
        <w:t>autoavaliação</w:t>
      </w:r>
      <w:proofErr w:type="spellEnd"/>
      <w:r w:rsidRPr="00C420A2">
        <w:rPr>
          <w:rFonts w:ascii="Times New Roman" w:hAnsi="Times New Roman" w:cs="Times New Roman"/>
          <w:sz w:val="24"/>
          <w:szCs w:val="24"/>
        </w:rPr>
        <w:t xml:space="preserve">), que o TRE-BA encontra-se no estágio de capacidade inicial em governança e gestão, no indicador </w:t>
      </w:r>
      <w:proofErr w:type="spellStart"/>
      <w:proofErr w:type="gramStart"/>
      <w:r w:rsidRPr="00C420A2">
        <w:rPr>
          <w:rFonts w:ascii="Times New Roman" w:hAnsi="Times New Roman" w:cs="Times New Roman"/>
          <w:sz w:val="24"/>
          <w:szCs w:val="24"/>
        </w:rPr>
        <w:t>iGovPessoas</w:t>
      </w:r>
      <w:proofErr w:type="spellEnd"/>
      <w:proofErr w:type="gramEnd"/>
      <w:r w:rsidRPr="00C420A2">
        <w:rPr>
          <w:rFonts w:ascii="Times New Roman" w:hAnsi="Times New Roman" w:cs="Times New Roman"/>
          <w:sz w:val="24"/>
          <w:szCs w:val="24"/>
        </w:rPr>
        <w:t xml:space="preserve"> (índice de governança de pessoas), no que tange à prática 4140 (assegurar a disponibilidade de sucessores qualificados). </w:t>
      </w:r>
    </w:p>
    <w:p w:rsidR="00473149" w:rsidRPr="00C420A2" w:rsidRDefault="00473149" w:rsidP="00473149">
      <w:pPr>
        <w:numPr>
          <w:ilvl w:val="4"/>
          <w:numId w:val="1"/>
        </w:numPr>
        <w:spacing w:after="0" w:line="240" w:lineRule="auto"/>
        <w:jc w:val="both"/>
        <w:rPr>
          <w:rFonts w:ascii="Times New Roman" w:hAnsi="Times New Roman" w:cs="Times New Roman"/>
          <w:sz w:val="24"/>
          <w:szCs w:val="24"/>
        </w:rPr>
      </w:pPr>
      <w:r w:rsidRPr="00C420A2">
        <w:rPr>
          <w:rFonts w:ascii="Times New Roman" w:hAnsi="Times New Roman" w:cs="Times New Roman"/>
          <w:sz w:val="24"/>
          <w:szCs w:val="24"/>
        </w:rPr>
        <w:t xml:space="preserve">O referido diagnóstico restou ratificado, tendo em vista informação prestada pela SGP no sentido de que ainda não formalizou um plano para tratar as lacunas decorrentes das possíveis aposentadorias previstas até 2021, embora já esteja promovendo ações para reposição destas lacunas e retenção do conhecimento desses profissionais. A unidade pontuou que a Seção de Desenvolvimento Organizacional (SEDES) possui um cronograma para implantação da Gestão por Competência e Dimensionamento da Força de Trabalho na organização, tendo como um dos critérios de priorização a identificação de servidores aposentáveis.  </w:t>
      </w:r>
    </w:p>
    <w:p w:rsidR="00473149" w:rsidRPr="00750440" w:rsidRDefault="00473149" w:rsidP="00473149">
      <w:pPr>
        <w:numPr>
          <w:ilvl w:val="4"/>
          <w:numId w:val="1"/>
        </w:numPr>
        <w:spacing w:after="0" w:line="240" w:lineRule="auto"/>
        <w:jc w:val="both"/>
        <w:rPr>
          <w:rFonts w:ascii="Times New Roman" w:hAnsi="Times New Roman" w:cs="Times New Roman"/>
          <w:spacing w:val="-6"/>
          <w:sz w:val="24"/>
          <w:szCs w:val="24"/>
        </w:rPr>
      </w:pPr>
      <w:r w:rsidRPr="00750440">
        <w:rPr>
          <w:rFonts w:ascii="Times New Roman" w:hAnsi="Times New Roman" w:cs="Times New Roman"/>
          <w:spacing w:val="-6"/>
          <w:sz w:val="24"/>
          <w:szCs w:val="24"/>
        </w:rPr>
        <w:lastRenderedPageBreak/>
        <w:t xml:space="preserve">Esclareça-se que, da análise do relatório de servidores aposentáveis entre os anos de 2017 e 2021, restou evidenciado o seguinte: a) são aposentáveis, </w:t>
      </w:r>
      <w:proofErr w:type="gramStart"/>
      <w:r w:rsidRPr="00750440">
        <w:rPr>
          <w:rFonts w:ascii="Times New Roman" w:hAnsi="Times New Roman" w:cs="Times New Roman"/>
          <w:spacing w:val="-6"/>
          <w:sz w:val="24"/>
          <w:szCs w:val="24"/>
        </w:rPr>
        <w:t>6</w:t>
      </w:r>
      <w:proofErr w:type="gramEnd"/>
      <w:r w:rsidRPr="00750440">
        <w:rPr>
          <w:rFonts w:ascii="Times New Roman" w:hAnsi="Times New Roman" w:cs="Times New Roman"/>
          <w:spacing w:val="-6"/>
          <w:sz w:val="24"/>
          <w:szCs w:val="24"/>
        </w:rPr>
        <w:t xml:space="preserve"> servidores da área de apoio especializado, sendo 3 Técnicos Judiciários (1 da área de Enfermagem, 1 da área de Segurança Judiciária e 1 da área de Contabilidade) e 3 Analistas Judiciários (2 da  área de Taquigrafia e 1 da área de Medicina); b) </w:t>
      </w:r>
      <w:r w:rsidRPr="000C6202">
        <w:rPr>
          <w:rFonts w:ascii="Times New Roman" w:hAnsi="Times New Roman" w:cs="Times New Roman"/>
          <w:color w:val="0D0D0D" w:themeColor="text1" w:themeTint="F2"/>
          <w:spacing w:val="-6"/>
          <w:sz w:val="24"/>
          <w:szCs w:val="24"/>
        </w:rPr>
        <w:t xml:space="preserve">há 58 Técnicos Judiciários aposentáveis, sendo 47 lotados na Secretaria do Tribunal, 1 lotado em Zona Eleitoral da capital, 4 lotados em Zonas Eleitorais do interior e 6 lotados em outros </w:t>
      </w:r>
      <w:r w:rsidRPr="00750440">
        <w:rPr>
          <w:rFonts w:ascii="Times New Roman" w:hAnsi="Times New Roman" w:cs="Times New Roman"/>
          <w:spacing w:val="-6"/>
          <w:sz w:val="24"/>
          <w:szCs w:val="24"/>
        </w:rPr>
        <w:t xml:space="preserve">órgãos; c) há 17 Analistas Judiciários (área Judiciária) aposentáveis, sendo 14 lotados na Secretaria do Tribunal, 1 lotado em zona eleitoral da capital e 2 lotados em zonas eleitorais do interior; d) há 25 Analistas Judiciários (área Administrativa) aposentáveis, sendo 9 lotados na Secretaria do Tribunal, 4 lotados em Zonas Eleitorais da capital e 11 lotados em Zonas Eleitorais do interior e 1 lotado em outro órgão; e) há 22 gestores aposentáveis, sendo 12 lotados na Secretaria do Tribunal, sendo 4 </w:t>
      </w:r>
      <w:proofErr w:type="spellStart"/>
      <w:r w:rsidRPr="00750440">
        <w:rPr>
          <w:rFonts w:ascii="Times New Roman" w:hAnsi="Times New Roman" w:cs="Times New Roman"/>
          <w:spacing w:val="-6"/>
          <w:sz w:val="24"/>
          <w:szCs w:val="24"/>
        </w:rPr>
        <w:t>CJs</w:t>
      </w:r>
      <w:proofErr w:type="spellEnd"/>
      <w:r w:rsidRPr="00750440">
        <w:rPr>
          <w:rFonts w:ascii="Times New Roman" w:hAnsi="Times New Roman" w:cs="Times New Roman"/>
          <w:spacing w:val="-6"/>
          <w:sz w:val="24"/>
          <w:szCs w:val="24"/>
        </w:rPr>
        <w:t xml:space="preserve"> (1 CJ1 - GABJUIZES5, 1 CJ2 - ASSESD, e 2 CJ3 - SJU e STI)  e 8 FCs-6 (1 na SEAFIN/COFIC/SOF, 1 na SEPROQ/COPEG/PRE, 1 na SEPLAME/COELOG/DG, 1 na SEBEN/COTEC/SGA, 1 na SEREDE/COEDE/SGP, 1 na SEPATI/COPES/SGP, 1 na SEPEX/COGED/SGA e 1 na SEADIN/COSAD/SGS) e 10 lotados nas zonas eleitorais (6ª ZE, 34ª ZE, 40ª ZE, 74ª ZE, 101ª ZE, 128ª ZE, 129ª ZE, 134ª ZE, 143ª ZE e 166ª ZE); f) não há servidores aposentáveis lotados nas zonas eleitorais com claros de lotação, conforme análise feita em 4/7/2018. </w:t>
      </w:r>
    </w:p>
    <w:p w:rsidR="00473149" w:rsidRPr="00750440" w:rsidRDefault="00473149" w:rsidP="00473149">
      <w:pPr>
        <w:numPr>
          <w:ilvl w:val="4"/>
          <w:numId w:val="1"/>
        </w:numPr>
        <w:spacing w:after="0" w:line="240" w:lineRule="auto"/>
        <w:jc w:val="both"/>
        <w:rPr>
          <w:rFonts w:ascii="Times New Roman" w:hAnsi="Times New Roman" w:cs="Times New Roman"/>
          <w:spacing w:val="-6"/>
          <w:sz w:val="24"/>
          <w:szCs w:val="24"/>
        </w:rPr>
      </w:pPr>
      <w:r w:rsidRPr="00750440">
        <w:rPr>
          <w:rFonts w:ascii="Times New Roman" w:hAnsi="Times New Roman" w:cs="Times New Roman"/>
          <w:spacing w:val="-6"/>
          <w:sz w:val="24"/>
          <w:szCs w:val="24"/>
        </w:rPr>
        <w:t xml:space="preserve">Do cotejo do relatório de servidores aposentáveis entre os anos de 2017 e 2021 com o relatório de quantitativo de lotação por período e por atividade/especialidade, extraído do SGRH, verificou-se o seguinte cenário, contemplando unidades que possuem mais de um servidor aposentável: a) a SEGEP/COMAP/SGA possui </w:t>
      </w:r>
      <w:proofErr w:type="gramStart"/>
      <w:r w:rsidRPr="00750440">
        <w:rPr>
          <w:rFonts w:ascii="Times New Roman" w:hAnsi="Times New Roman" w:cs="Times New Roman"/>
          <w:spacing w:val="-6"/>
          <w:sz w:val="24"/>
          <w:szCs w:val="24"/>
        </w:rPr>
        <w:t>2</w:t>
      </w:r>
      <w:proofErr w:type="gramEnd"/>
      <w:r w:rsidRPr="00750440">
        <w:rPr>
          <w:rFonts w:ascii="Times New Roman" w:hAnsi="Times New Roman" w:cs="Times New Roman"/>
          <w:spacing w:val="-6"/>
          <w:sz w:val="24"/>
          <w:szCs w:val="24"/>
        </w:rPr>
        <w:t xml:space="preserve"> Técnicos Judiciários (área Administrativa) aposentáveis desde 2017 e 1 Analista Judiciário (área Administrativa) aposentável em 2018, correspondendo a 27,5% da força de trabalho total da unidade; b) a SEGEA/COMAP/SGA possui 3 Técnicos Judiciários (área Administrativa)  aposentáveis (1 desde 2017, 1 em 2018 e 1 em 2021), correspondendo a 42,85% da força de trabalho total da unidade; c) a SEARQ/COGED/SGA possui 2 Técnicos Judiciários (área Administrativa)  aposentáveis (1 desde 2017 e 1 em 2018), correspondendo a 50% da força de trabalho total da unidade; d) a SEDAS/COASA/SGP possui 1 Técnico Judiciário (área apoio especializado – Enfermagem) aposentável desde 2017 e 1 Analista Judiciário (área apoio especializado – Medicina) aposentável em 2021, o que corresponde a 33,33% do total da força de trabalho da unidade em cada uma das especialidades citadas; e) a SEPAGE/COPES/SGP possui 2 Técnicos Judiciários (área Administrativa)  aposentáveis desde 2017, correspondendo a 50% da força de trabalho total da unidade; f) o GAB-SGP possui 2 Técnicos Judiciários (área Administrativa)  aposentáveis (1 desde 2017 e 1 em 2018), correspondendo a 66,66% da força de trabalho total da unidade; g) a SEDIP/COSCAD/SCR possui 1 Analista Judiciário (área Judiciária) e 1 Técnico Judiciário (área Administrativa) aposentáveis desde 2017, correspondendo a 33,33% da força total de trabalho da unidade; h) o GABJUIZ5/PLENO possui 1 Analista Judiciário (área Judiciária) e 1 Técnico Judiciário (área Administrativa) aposentáveis desde 2017, 1 Técnico Judiciário (área Administrativa) aposentável em 2019 e 1 Analista Judiciário (área Judiciária) aposentável em 2021, o que corresponde a 100% da </w:t>
      </w:r>
      <w:proofErr w:type="gramStart"/>
      <w:r w:rsidRPr="00750440">
        <w:rPr>
          <w:rFonts w:ascii="Times New Roman" w:hAnsi="Times New Roman" w:cs="Times New Roman"/>
          <w:spacing w:val="-6"/>
          <w:sz w:val="24"/>
          <w:szCs w:val="24"/>
        </w:rPr>
        <w:t>força</w:t>
      </w:r>
      <w:proofErr w:type="gramEnd"/>
      <w:r w:rsidRPr="00750440">
        <w:rPr>
          <w:rFonts w:ascii="Times New Roman" w:hAnsi="Times New Roman" w:cs="Times New Roman"/>
          <w:spacing w:val="-6"/>
          <w:sz w:val="24"/>
          <w:szCs w:val="24"/>
        </w:rPr>
        <w:t xml:space="preserve"> total de trabalho da unidade; i) a SEPLAME/COELOG/DG possui dois Analistas Judiciários (área Administrativa) aposentáveis, sendo 1 em 2017 e outro em 2019, o que corresponde a 100% da força total de trabalho da unidade; j) a ASCOM/PRE possui 1 Analista Judiciário (área Judiciária)  aposentável em 2017 e 1 Técnico Judiciário (área Administrativa) </w:t>
      </w:r>
      <w:r w:rsidRPr="00750440">
        <w:rPr>
          <w:rFonts w:ascii="Times New Roman" w:hAnsi="Times New Roman" w:cs="Times New Roman"/>
          <w:spacing w:val="-6"/>
          <w:sz w:val="24"/>
          <w:szCs w:val="24"/>
        </w:rPr>
        <w:lastRenderedPageBreak/>
        <w:t xml:space="preserve">aposentável em 2020, correspondendo a 66,66% da força de trabalho total da unidade; l) a SEPROQ/COPEG/PRE possui 1 Analista Judiciário (área Administrativa), 1 Técnico Judiciário (área Administrativa) aposentáveis em 2017, o que corresponde a 100% da força total de trabalho da unidade; m) o GAB-SOF possui 2 Técnicos Judiciários (área Administrativa) aposentáveis, sendo 1 em 2017 e outro em 2019, o que corresponde a 50% da força total de trabalho da unidade; n) a SEAFIN/COFIC/SOF possui 2 Analistas Judiciários (área Administrativa) e 2 Técnicos Judiciários (área Administrativa) aposentáveis em 2017, e 1 Técnico Judiciário (área apoio especializado – Contabilidade) aposentável em 2020, o que corresponde a 100% da força de trabalho no cargo com apoio especializado, e 55,55% da força de trabalho total da unidade. </w:t>
      </w:r>
    </w:p>
    <w:p w:rsidR="00473149" w:rsidRPr="00750440" w:rsidRDefault="00473149" w:rsidP="00473149">
      <w:pPr>
        <w:numPr>
          <w:ilvl w:val="4"/>
          <w:numId w:val="1"/>
        </w:numPr>
        <w:spacing w:after="0" w:line="240" w:lineRule="auto"/>
        <w:jc w:val="both"/>
        <w:rPr>
          <w:rFonts w:ascii="Times New Roman" w:hAnsi="Times New Roman" w:cs="Times New Roman"/>
          <w:spacing w:val="-6"/>
          <w:sz w:val="24"/>
          <w:szCs w:val="24"/>
        </w:rPr>
      </w:pPr>
      <w:r w:rsidRPr="00750440">
        <w:rPr>
          <w:rFonts w:ascii="Times New Roman" w:hAnsi="Times New Roman" w:cs="Times New Roman"/>
          <w:spacing w:val="-6"/>
          <w:sz w:val="24"/>
          <w:szCs w:val="24"/>
        </w:rPr>
        <w:t xml:space="preserve">Ressalte-se que há </w:t>
      </w:r>
      <w:proofErr w:type="gramStart"/>
      <w:r>
        <w:rPr>
          <w:rFonts w:ascii="Times New Roman" w:hAnsi="Times New Roman" w:cs="Times New Roman"/>
          <w:spacing w:val="-6"/>
          <w:sz w:val="24"/>
          <w:szCs w:val="24"/>
        </w:rPr>
        <w:t>5</w:t>
      </w:r>
      <w:proofErr w:type="gramEnd"/>
      <w:r w:rsidRPr="00750440">
        <w:rPr>
          <w:rFonts w:ascii="Times New Roman" w:hAnsi="Times New Roman" w:cs="Times New Roman"/>
          <w:spacing w:val="-6"/>
          <w:sz w:val="24"/>
          <w:szCs w:val="24"/>
        </w:rPr>
        <w:t xml:space="preserve"> servidores aposentáveis na Secretaria de Tecnologia da </w:t>
      </w:r>
      <w:r w:rsidRPr="000C6202">
        <w:rPr>
          <w:rFonts w:ascii="Times New Roman" w:hAnsi="Times New Roman" w:cs="Times New Roman"/>
          <w:color w:val="0D0D0D" w:themeColor="text1" w:themeTint="F2"/>
          <w:spacing w:val="-6"/>
          <w:sz w:val="24"/>
          <w:szCs w:val="24"/>
        </w:rPr>
        <w:t xml:space="preserve">Informação, sendo 2 analistas judiciários – área judiciária, e 3 técnicos judiciários – área </w:t>
      </w:r>
      <w:r>
        <w:rPr>
          <w:rFonts w:ascii="Times New Roman" w:hAnsi="Times New Roman" w:cs="Times New Roman"/>
          <w:color w:val="0D0D0D" w:themeColor="text1" w:themeTint="F2"/>
          <w:spacing w:val="-6"/>
          <w:sz w:val="24"/>
          <w:szCs w:val="24"/>
        </w:rPr>
        <w:t>administrativa</w:t>
      </w:r>
      <w:r w:rsidRPr="000C6202">
        <w:rPr>
          <w:rFonts w:ascii="Times New Roman" w:hAnsi="Times New Roman" w:cs="Times New Roman"/>
          <w:color w:val="0D0D0D" w:themeColor="text1" w:themeTint="F2"/>
          <w:spacing w:val="-6"/>
          <w:sz w:val="24"/>
          <w:szCs w:val="24"/>
        </w:rPr>
        <w:t xml:space="preserve">; há 2 servidores aposentáveis em 2017, (Secretaria da STI e 1 lotado na SEBDA/COSINF/STI);  há 1 servidor aposentável </w:t>
      </w:r>
      <w:r w:rsidRPr="00750440">
        <w:rPr>
          <w:rFonts w:ascii="Times New Roman" w:hAnsi="Times New Roman" w:cs="Times New Roman"/>
          <w:spacing w:val="-6"/>
          <w:sz w:val="24"/>
          <w:szCs w:val="24"/>
        </w:rPr>
        <w:t xml:space="preserve">em 2018 (lotado na SEMIN/COSUP/STI); há 2 aposentáveis em 2019 (1 lotado na SESAU/COSUP/STI e 1 no GAB-STI). Registre-se que se trata de força de trabalho que, embora não detentora de cargo especializado, em regra, acumula conhecimento técnico de difícil reposição. </w:t>
      </w:r>
    </w:p>
    <w:p w:rsidR="00473149" w:rsidRPr="00C420A2" w:rsidRDefault="00473149" w:rsidP="00473149">
      <w:pPr>
        <w:numPr>
          <w:ilvl w:val="4"/>
          <w:numId w:val="1"/>
        </w:numPr>
        <w:spacing w:after="0" w:line="240" w:lineRule="auto"/>
        <w:jc w:val="both"/>
        <w:rPr>
          <w:rFonts w:ascii="Times New Roman" w:hAnsi="Times New Roman" w:cs="Times New Roman"/>
          <w:spacing w:val="-2"/>
          <w:sz w:val="24"/>
          <w:szCs w:val="24"/>
        </w:rPr>
      </w:pPr>
      <w:r w:rsidRPr="00C420A2">
        <w:rPr>
          <w:rFonts w:ascii="Times New Roman" w:hAnsi="Times New Roman" w:cs="Times New Roman"/>
          <w:spacing w:val="-2"/>
          <w:sz w:val="24"/>
          <w:szCs w:val="24"/>
        </w:rPr>
        <w:t xml:space="preserve">Anote-se, ainda, que o Edital TRE-BA nº 1, de 20/6/2017, do último concurso público para provimento de vagas e formação de cadastro de reserva na organização, com validade até 26/10/2019, previu vagas apenas para os cargos de Analista Judiciário – Área: Judiciária, </w:t>
      </w:r>
      <w:proofErr w:type="gramStart"/>
      <w:r w:rsidRPr="00C420A2">
        <w:rPr>
          <w:rFonts w:ascii="Times New Roman" w:hAnsi="Times New Roman" w:cs="Times New Roman"/>
          <w:spacing w:val="-2"/>
          <w:sz w:val="24"/>
          <w:szCs w:val="24"/>
        </w:rPr>
        <w:t>9</w:t>
      </w:r>
      <w:proofErr w:type="gramEnd"/>
      <w:r w:rsidRPr="00C420A2">
        <w:rPr>
          <w:rFonts w:ascii="Times New Roman" w:hAnsi="Times New Roman" w:cs="Times New Roman"/>
          <w:spacing w:val="-2"/>
          <w:sz w:val="24"/>
          <w:szCs w:val="24"/>
        </w:rPr>
        <w:t xml:space="preserve"> vagas, Analista Judiciário – Área: Administrativa, 7 vagas, Técnico Judiciário – Área: Administrativa, 23 vagas, Técnico Judiciário – Área: Apoio Especializado – Especialidade: Operação de Computadores, 1 vaga,  e Técnico Judiciário – Área: Serviços Gerais – Especialidade: Eletricidade e Telecomunicações, 1 vaga. Para os demais cargos foi previsto cadastro de reserva.</w:t>
      </w:r>
    </w:p>
    <w:p w:rsidR="00473149" w:rsidRPr="00C420A2" w:rsidRDefault="00473149" w:rsidP="00473149">
      <w:pPr>
        <w:numPr>
          <w:ilvl w:val="4"/>
          <w:numId w:val="1"/>
        </w:numPr>
        <w:spacing w:after="0" w:line="240" w:lineRule="auto"/>
        <w:jc w:val="both"/>
        <w:rPr>
          <w:rFonts w:ascii="Times New Roman" w:hAnsi="Times New Roman" w:cs="Times New Roman"/>
          <w:spacing w:val="-4"/>
          <w:sz w:val="24"/>
          <w:szCs w:val="24"/>
        </w:rPr>
      </w:pPr>
      <w:r w:rsidRPr="00C420A2">
        <w:rPr>
          <w:rFonts w:ascii="Times New Roman" w:hAnsi="Times New Roman" w:cs="Times New Roman"/>
          <w:spacing w:val="-4"/>
          <w:sz w:val="24"/>
          <w:szCs w:val="24"/>
        </w:rPr>
        <w:t>Constatou-se, nesta conjuntura, que a organização contabiliza quadro relevante de aposentáveis até 2021, contemplando gestores do nível operacional, tático e estratégico, postos de apoio especializado, inclusive da área de TI, portanto detentores de formação ou conhecimento específicos e de reposição limitada, quantitativos que variam entre 27,5 e 100% da força de trabalho das respectivas unidades de lotação.</w:t>
      </w:r>
    </w:p>
    <w:p w:rsidR="00473149" w:rsidRPr="00C420A2" w:rsidRDefault="00473149" w:rsidP="00473149">
      <w:pPr>
        <w:numPr>
          <w:ilvl w:val="4"/>
          <w:numId w:val="1"/>
        </w:numPr>
        <w:spacing w:after="0" w:line="240" w:lineRule="auto"/>
        <w:jc w:val="both"/>
        <w:rPr>
          <w:rFonts w:ascii="Times New Roman" w:hAnsi="Times New Roman" w:cs="Times New Roman"/>
          <w:spacing w:val="-4"/>
          <w:sz w:val="24"/>
          <w:szCs w:val="24"/>
        </w:rPr>
      </w:pPr>
      <w:r w:rsidRPr="00C420A2">
        <w:rPr>
          <w:rFonts w:ascii="Times New Roman" w:hAnsi="Times New Roman" w:cs="Times New Roman"/>
          <w:spacing w:val="-4"/>
          <w:sz w:val="24"/>
          <w:szCs w:val="24"/>
        </w:rPr>
        <w:t>Não obstante a relevância do cenário</w:t>
      </w:r>
      <w:proofErr w:type="gramStart"/>
      <w:r w:rsidRPr="00C420A2">
        <w:rPr>
          <w:rFonts w:ascii="Times New Roman" w:hAnsi="Times New Roman" w:cs="Times New Roman"/>
          <w:spacing w:val="-4"/>
          <w:sz w:val="24"/>
          <w:szCs w:val="24"/>
        </w:rPr>
        <w:t>, carece</w:t>
      </w:r>
      <w:proofErr w:type="gramEnd"/>
      <w:r w:rsidRPr="00C420A2">
        <w:rPr>
          <w:rFonts w:ascii="Times New Roman" w:hAnsi="Times New Roman" w:cs="Times New Roman"/>
          <w:spacing w:val="-4"/>
          <w:sz w:val="24"/>
          <w:szCs w:val="24"/>
        </w:rPr>
        <w:t xml:space="preserve"> de política voltada ao planejamento da força de trabalho, de forma a assegurar o desenvolvimento e a disponibilidade de sucessores qualificados, o que pode comprometer o fomento da gestão do conhecimento e do aprendizado organizacional, a qualidade e celeridade das entregas, com impactos na concretização da missão e alcance da visão de futuro do órgão.</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Critério(s):</w:t>
      </w:r>
    </w:p>
    <w:p w:rsidR="00473149" w:rsidRPr="00E52376" w:rsidRDefault="00473149" w:rsidP="00473149">
      <w:pPr>
        <w:numPr>
          <w:ilvl w:val="4"/>
          <w:numId w:val="1"/>
        </w:numPr>
        <w:spacing w:after="0" w:line="240" w:lineRule="auto"/>
        <w:jc w:val="both"/>
        <w:rPr>
          <w:rFonts w:ascii="Times New Roman" w:hAnsi="Times New Roman" w:cs="Times New Roman"/>
          <w:spacing w:val="-6"/>
          <w:sz w:val="24"/>
          <w:szCs w:val="24"/>
        </w:rPr>
      </w:pPr>
      <w:r w:rsidRPr="00E52376">
        <w:rPr>
          <w:rFonts w:ascii="Times New Roman" w:hAnsi="Times New Roman" w:cs="Times New Roman"/>
          <w:spacing w:val="-6"/>
          <w:sz w:val="24"/>
          <w:szCs w:val="24"/>
        </w:rPr>
        <w:t>Resolução CNJ nº 240/2016, art. 7º; Resolução Administrativa</w:t>
      </w:r>
      <w:proofErr w:type="gramStart"/>
      <w:r w:rsidRPr="00E52376">
        <w:rPr>
          <w:rFonts w:ascii="Times New Roman" w:hAnsi="Times New Roman" w:cs="Times New Roman"/>
          <w:spacing w:val="-6"/>
          <w:sz w:val="24"/>
          <w:szCs w:val="24"/>
        </w:rPr>
        <w:t xml:space="preserve">  </w:t>
      </w:r>
      <w:proofErr w:type="gramEnd"/>
      <w:r w:rsidRPr="00E52376">
        <w:rPr>
          <w:rFonts w:ascii="Times New Roman" w:hAnsi="Times New Roman" w:cs="Times New Roman"/>
          <w:spacing w:val="-6"/>
          <w:sz w:val="24"/>
          <w:szCs w:val="24"/>
        </w:rPr>
        <w:t xml:space="preserve">TRE-BA nº 12/2017, </w:t>
      </w:r>
      <w:proofErr w:type="spellStart"/>
      <w:r w:rsidRPr="00E52376">
        <w:rPr>
          <w:rFonts w:ascii="Times New Roman" w:hAnsi="Times New Roman" w:cs="Times New Roman"/>
          <w:spacing w:val="-6"/>
          <w:sz w:val="24"/>
          <w:szCs w:val="24"/>
        </w:rPr>
        <w:t>arts</w:t>
      </w:r>
      <w:proofErr w:type="spellEnd"/>
      <w:r w:rsidRPr="00E52376">
        <w:rPr>
          <w:rFonts w:ascii="Times New Roman" w:hAnsi="Times New Roman" w:cs="Times New Roman"/>
          <w:spacing w:val="-6"/>
          <w:sz w:val="24"/>
          <w:szCs w:val="24"/>
        </w:rPr>
        <w:t xml:space="preserve">. </w:t>
      </w:r>
      <w:proofErr w:type="gramStart"/>
      <w:r w:rsidRPr="00E52376">
        <w:rPr>
          <w:rFonts w:ascii="Times New Roman" w:hAnsi="Times New Roman" w:cs="Times New Roman"/>
          <w:spacing w:val="-6"/>
          <w:sz w:val="24"/>
          <w:szCs w:val="24"/>
        </w:rPr>
        <w:t>2º, V</w:t>
      </w:r>
      <w:proofErr w:type="gramEnd"/>
      <w:r w:rsidRPr="00E52376">
        <w:rPr>
          <w:rFonts w:ascii="Times New Roman" w:hAnsi="Times New Roman" w:cs="Times New Roman"/>
          <w:spacing w:val="-6"/>
          <w:sz w:val="24"/>
          <w:szCs w:val="24"/>
        </w:rPr>
        <w:t xml:space="preserve"> e VI, 4º, V, 5º, IV, 7º, II e III, e 8º, X; Resolução Administrativa TRE-BA nº 12/2018, </w:t>
      </w:r>
      <w:proofErr w:type="spellStart"/>
      <w:r w:rsidRPr="00E52376">
        <w:rPr>
          <w:rFonts w:ascii="Times New Roman" w:hAnsi="Times New Roman" w:cs="Times New Roman"/>
          <w:spacing w:val="-6"/>
          <w:sz w:val="24"/>
          <w:szCs w:val="24"/>
        </w:rPr>
        <w:t>arts</w:t>
      </w:r>
      <w:proofErr w:type="spellEnd"/>
      <w:r w:rsidRPr="00E52376">
        <w:rPr>
          <w:rFonts w:ascii="Times New Roman" w:hAnsi="Times New Roman" w:cs="Times New Roman"/>
          <w:spacing w:val="-6"/>
          <w:sz w:val="24"/>
          <w:szCs w:val="24"/>
        </w:rPr>
        <w:t xml:space="preserve">. 55 e 67, VII; Acórdão TCU nº 1.172/2015 – </w:t>
      </w:r>
      <w:proofErr w:type="gramStart"/>
      <w:r w:rsidRPr="00E52376">
        <w:rPr>
          <w:rFonts w:ascii="Times New Roman" w:hAnsi="Times New Roman" w:cs="Times New Roman"/>
          <w:spacing w:val="-6"/>
          <w:sz w:val="24"/>
          <w:szCs w:val="24"/>
        </w:rPr>
        <w:t>Plenário, subitem</w:t>
      </w:r>
      <w:proofErr w:type="gramEnd"/>
      <w:r w:rsidRPr="00E52376">
        <w:rPr>
          <w:rFonts w:ascii="Times New Roman" w:hAnsi="Times New Roman" w:cs="Times New Roman"/>
          <w:spacing w:val="-6"/>
          <w:sz w:val="24"/>
          <w:szCs w:val="24"/>
        </w:rPr>
        <w:t xml:space="preserve"> 9.1.11; Acórdão TCU nº 1.594/2016 – Plenário, subitem 9.4.1; Acórdão TCU nº 2.133/2017 – Plenário, subitem 9.1.1; Acórdão TCU nº 2.138/2017 – Plenário, subitem 9.2.3; e Acórdão TCU nº  588/2018 – Plenário, subitem 4.4 (subitem 199, que conceitua “ocupações críticas”).</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Causa(s):</w:t>
      </w:r>
    </w:p>
    <w:p w:rsidR="00473149" w:rsidRPr="00E52376" w:rsidRDefault="00473149" w:rsidP="00473149">
      <w:pPr>
        <w:numPr>
          <w:ilvl w:val="4"/>
          <w:numId w:val="1"/>
        </w:numPr>
        <w:spacing w:after="0" w:line="240" w:lineRule="auto"/>
        <w:jc w:val="both"/>
        <w:rPr>
          <w:rFonts w:ascii="Times New Roman" w:hAnsi="Times New Roman" w:cs="Times New Roman"/>
          <w:sz w:val="24"/>
          <w:szCs w:val="24"/>
        </w:rPr>
      </w:pPr>
      <w:r w:rsidRPr="00E52376">
        <w:rPr>
          <w:rFonts w:ascii="Times New Roman" w:hAnsi="Times New Roman" w:cs="Times New Roman"/>
          <w:sz w:val="24"/>
          <w:szCs w:val="24"/>
        </w:rPr>
        <w:t>Incipiente cultura organizacional em orientação para resultados; incipiente cultura organizacional em planejamento da força de trabalho com base em informações gerenciais; incipiente cultura organizacional</w:t>
      </w:r>
      <w:r>
        <w:rPr>
          <w:rFonts w:ascii="Times New Roman" w:hAnsi="Times New Roman" w:cs="Times New Roman"/>
          <w:sz w:val="24"/>
          <w:szCs w:val="24"/>
        </w:rPr>
        <w:t xml:space="preserve"> </w:t>
      </w:r>
      <w:r w:rsidRPr="00E52376">
        <w:rPr>
          <w:rFonts w:ascii="Times New Roman" w:hAnsi="Times New Roman" w:cs="Times New Roman"/>
          <w:sz w:val="24"/>
          <w:szCs w:val="24"/>
        </w:rPr>
        <w:t xml:space="preserve">em gerenciamento de riscos, notadamente no que tange à continuidade do negócio; desalinhamento da gestão da força de trabalho com a estratégia organizacional; insuficiência de ações </w:t>
      </w:r>
      <w:r w:rsidRPr="00E52376">
        <w:rPr>
          <w:rFonts w:ascii="Times New Roman" w:hAnsi="Times New Roman" w:cs="Times New Roman"/>
          <w:sz w:val="24"/>
          <w:szCs w:val="24"/>
        </w:rPr>
        <w:lastRenderedPageBreak/>
        <w:t>institucionalizadas voltadas para garantir</w:t>
      </w:r>
      <w:proofErr w:type="gramStart"/>
      <w:r w:rsidRPr="00E52376">
        <w:rPr>
          <w:rFonts w:ascii="Times New Roman" w:hAnsi="Times New Roman" w:cs="Times New Roman"/>
          <w:sz w:val="24"/>
          <w:szCs w:val="24"/>
        </w:rPr>
        <w:t xml:space="preserve">  </w:t>
      </w:r>
      <w:proofErr w:type="gramEnd"/>
      <w:r w:rsidRPr="00E52376">
        <w:rPr>
          <w:rFonts w:ascii="Times New Roman" w:hAnsi="Times New Roman" w:cs="Times New Roman"/>
          <w:sz w:val="24"/>
          <w:szCs w:val="24"/>
        </w:rPr>
        <w:t>o compartilhamento de conhecimentos críticos quando ocorrerem sucessões (por exemplo, em função de aposentadorias, afastamento, desligamentos); recente formalização de política de gestão de pessoas, contemplando diretrizes relacionadas a sucessão.</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Efeito(s) (real ou potencial):</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5C6080">
        <w:rPr>
          <w:rFonts w:ascii="Times New Roman" w:hAnsi="Times New Roman" w:cs="Times New Roman"/>
          <w:sz w:val="24"/>
          <w:szCs w:val="24"/>
        </w:rPr>
        <w:t xml:space="preserve">Indisponibilidade de profissionais para assumir as vagas decorrentes de aposentadorias; comprometimento da qualidade e celeridade das entregas; aumento do risco de perda de conhecimento organizacional; impactos na concretização da missão e alcance da </w:t>
      </w:r>
      <w:proofErr w:type="gramStart"/>
      <w:r w:rsidRPr="005C6080">
        <w:rPr>
          <w:rFonts w:ascii="Times New Roman" w:hAnsi="Times New Roman" w:cs="Times New Roman"/>
          <w:sz w:val="24"/>
          <w:szCs w:val="24"/>
        </w:rPr>
        <w:t>visão de futuro organizacionais</w:t>
      </w:r>
      <w:proofErr w:type="gramEnd"/>
      <w:r w:rsidRPr="005C6080">
        <w:rPr>
          <w:rFonts w:ascii="Times New Roman" w:hAnsi="Times New Roman" w:cs="Times New Roman"/>
          <w:sz w:val="24"/>
          <w:szCs w:val="24"/>
        </w:rPr>
        <w:t>; dificuldades na gestão do conhecimento organizacional; desmotivação do quadro de servidores; sobrecarga de atividades; aumento de horas em banco dos servidores; incremento de custos com horas extras de servidores; acréscimo de afastamento por motivo de saúde; e comprometimento da capacidade da instituição em gerar resultados e benefícios para a sociedade</w:t>
      </w:r>
      <w:r w:rsidRPr="00093E74">
        <w:rPr>
          <w:sz w:val="20"/>
          <w:szCs w:val="20"/>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Evidência(s):</w:t>
      </w:r>
    </w:p>
    <w:p w:rsidR="00473149" w:rsidRPr="00BE3469" w:rsidRDefault="00473149" w:rsidP="00473149">
      <w:pPr>
        <w:numPr>
          <w:ilvl w:val="4"/>
          <w:numId w:val="1"/>
        </w:numPr>
        <w:spacing w:after="0" w:line="240" w:lineRule="auto"/>
        <w:jc w:val="both"/>
        <w:rPr>
          <w:rFonts w:ascii="Times New Roman" w:hAnsi="Times New Roman" w:cs="Times New Roman"/>
          <w:spacing w:val="-6"/>
          <w:sz w:val="24"/>
          <w:szCs w:val="24"/>
        </w:rPr>
      </w:pPr>
      <w:r w:rsidRPr="00BE3469">
        <w:rPr>
          <w:rFonts w:ascii="Times New Roman" w:hAnsi="Times New Roman" w:cs="Times New Roman"/>
          <w:spacing w:val="-6"/>
          <w:sz w:val="24"/>
          <w:szCs w:val="24"/>
        </w:rPr>
        <w:t xml:space="preserve">Resposta da SGP à RDI nº 15/2018 (PAD nº 4.180/2018, Doc. nº 116.538/2018); Relatório de Aposentáveis 2017-2021 (PAD nº 4180/2018, Doc. nº 108.598/2018); e Resultado do Levantamento de Governança e Gestão Pública 2017 (Relatório individual da </w:t>
      </w:r>
      <w:proofErr w:type="spellStart"/>
      <w:r w:rsidRPr="00BE3469">
        <w:rPr>
          <w:rFonts w:ascii="Times New Roman" w:hAnsi="Times New Roman" w:cs="Times New Roman"/>
          <w:spacing w:val="-6"/>
          <w:sz w:val="24"/>
          <w:szCs w:val="24"/>
        </w:rPr>
        <w:t>autoavaliação</w:t>
      </w:r>
      <w:proofErr w:type="spellEnd"/>
      <w:r w:rsidRPr="00BE3469">
        <w:rPr>
          <w:rFonts w:ascii="Times New Roman" w:hAnsi="Times New Roman" w:cs="Times New Roman"/>
          <w:spacing w:val="-6"/>
          <w:sz w:val="24"/>
          <w:szCs w:val="24"/>
        </w:rPr>
        <w:t>), disponível em http://www.cscruz.org/igg2017/Tribunal/18-TRE-BA%20(Tribunal%</w:t>
      </w:r>
      <w:proofErr w:type="gramStart"/>
      <w:r w:rsidRPr="00BE3469">
        <w:rPr>
          <w:rFonts w:ascii="Times New Roman" w:hAnsi="Times New Roman" w:cs="Times New Roman"/>
          <w:spacing w:val="-6"/>
          <w:sz w:val="24"/>
          <w:szCs w:val="24"/>
        </w:rPr>
        <w:t>20Regional</w:t>
      </w:r>
      <w:proofErr w:type="gramEnd"/>
      <w:r w:rsidRPr="00BE3469">
        <w:rPr>
          <w:rFonts w:ascii="Times New Roman" w:hAnsi="Times New Roman" w:cs="Times New Roman"/>
          <w:spacing w:val="-6"/>
          <w:sz w:val="24"/>
          <w:szCs w:val="24"/>
        </w:rPr>
        <w:t>%20Eleitoral%20da%20Bahia).pdf, acesso em 4/7/2018.</w:t>
      </w:r>
    </w:p>
    <w:p w:rsidR="00473149"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AF4CFA">
        <w:rPr>
          <w:rFonts w:ascii="Times New Roman" w:hAnsi="Times New Roman" w:cs="Times New Roman"/>
          <w:i/>
          <w:sz w:val="24"/>
          <w:szCs w:val="24"/>
        </w:rPr>
        <w:t>Proposta de encaminhamento:</w:t>
      </w:r>
    </w:p>
    <w:p w:rsidR="00473149" w:rsidRDefault="00473149" w:rsidP="00473149">
      <w:pPr>
        <w:numPr>
          <w:ilvl w:val="4"/>
          <w:numId w:val="1"/>
        </w:numPr>
        <w:spacing w:after="0" w:line="240" w:lineRule="auto"/>
        <w:jc w:val="both"/>
        <w:rPr>
          <w:rFonts w:ascii="Times New Roman" w:hAnsi="Times New Roman" w:cs="Times New Roman"/>
          <w:sz w:val="24"/>
          <w:szCs w:val="24"/>
        </w:rPr>
      </w:pPr>
      <w:r w:rsidRPr="00C102CB">
        <w:rPr>
          <w:rFonts w:ascii="Times New Roman" w:hAnsi="Times New Roman" w:cs="Times New Roman"/>
          <w:sz w:val="24"/>
          <w:szCs w:val="24"/>
        </w:rPr>
        <w:t>Determinar à SGP que, observado o prazo de 30 dias, apresente plano de ação, contemplando medidas voltadas à:</w:t>
      </w:r>
    </w:p>
    <w:p w:rsidR="00473149" w:rsidRPr="00C102CB" w:rsidRDefault="00473149" w:rsidP="00473149">
      <w:pPr>
        <w:pStyle w:val="PargrafodaLista"/>
        <w:numPr>
          <w:ilvl w:val="0"/>
          <w:numId w:val="13"/>
        </w:numPr>
        <w:spacing w:before="0"/>
        <w:ind w:left="1134" w:firstLine="0"/>
        <w:jc w:val="both"/>
        <w:rPr>
          <w:rFonts w:eastAsiaTheme="minorHAnsi"/>
          <w:b w:val="0"/>
          <w:sz w:val="24"/>
          <w:szCs w:val="24"/>
          <w:lang w:eastAsia="en-US"/>
        </w:rPr>
      </w:pPr>
      <w:bookmarkStart w:id="92" w:name="_Toc520362083"/>
      <w:bookmarkStart w:id="93" w:name="_Toc520405227"/>
      <w:proofErr w:type="gramStart"/>
      <w:r w:rsidRPr="00C102CB">
        <w:rPr>
          <w:rFonts w:eastAsiaTheme="minorHAnsi"/>
          <w:b w:val="0"/>
          <w:sz w:val="24"/>
          <w:szCs w:val="24"/>
          <w:lang w:eastAsia="en-US"/>
        </w:rPr>
        <w:t>reposição</w:t>
      </w:r>
      <w:proofErr w:type="gramEnd"/>
      <w:r w:rsidRPr="00C102CB">
        <w:rPr>
          <w:rFonts w:eastAsiaTheme="minorHAnsi"/>
          <w:b w:val="0"/>
          <w:sz w:val="24"/>
          <w:szCs w:val="24"/>
          <w:lang w:eastAsia="en-US"/>
        </w:rPr>
        <w:t xml:space="preserve"> da força de trabalho em virtude de vacância de cargo público decorrente de aposentadoria voluntária, compulsória ou por motivo de saúde; e</w:t>
      </w:r>
      <w:bookmarkEnd w:id="92"/>
      <w:bookmarkEnd w:id="93"/>
    </w:p>
    <w:p w:rsidR="00473149" w:rsidRPr="00C102CB" w:rsidRDefault="00473149" w:rsidP="00473149">
      <w:pPr>
        <w:pStyle w:val="PargrafodaLista"/>
        <w:numPr>
          <w:ilvl w:val="0"/>
          <w:numId w:val="13"/>
        </w:numPr>
        <w:spacing w:after="0"/>
        <w:ind w:left="1134" w:firstLine="6"/>
        <w:jc w:val="both"/>
        <w:rPr>
          <w:rFonts w:eastAsiaTheme="minorHAnsi"/>
          <w:b w:val="0"/>
          <w:sz w:val="24"/>
          <w:szCs w:val="24"/>
          <w:lang w:eastAsia="en-US"/>
        </w:rPr>
      </w:pPr>
      <w:bookmarkStart w:id="94" w:name="_Toc520362084"/>
      <w:bookmarkStart w:id="95" w:name="_Toc520405228"/>
      <w:proofErr w:type="gramStart"/>
      <w:r w:rsidRPr="00C102CB">
        <w:rPr>
          <w:rFonts w:eastAsiaTheme="minorHAnsi"/>
          <w:b w:val="0"/>
          <w:sz w:val="24"/>
          <w:szCs w:val="24"/>
          <w:lang w:eastAsia="en-US"/>
        </w:rPr>
        <w:t>identificação</w:t>
      </w:r>
      <w:proofErr w:type="gramEnd"/>
      <w:r w:rsidRPr="00C102CB">
        <w:rPr>
          <w:rFonts w:eastAsiaTheme="minorHAnsi"/>
          <w:b w:val="0"/>
          <w:sz w:val="24"/>
          <w:szCs w:val="24"/>
          <w:lang w:eastAsia="en-US"/>
        </w:rPr>
        <w:t>, mapeamento de competências e planejamento para formação de sucessores e reposição da força de trabalho associada a ocupações críticas.</w:t>
      </w:r>
      <w:bookmarkEnd w:id="94"/>
      <w:bookmarkEnd w:id="95"/>
    </w:p>
    <w:p w:rsidR="00473149" w:rsidRDefault="00473149" w:rsidP="00473149">
      <w:pPr>
        <w:pStyle w:val="PargrafodaLista"/>
        <w:numPr>
          <w:ilvl w:val="2"/>
          <w:numId w:val="1"/>
        </w:numPr>
        <w:spacing w:before="120"/>
        <w:contextualSpacing w:val="0"/>
        <w:jc w:val="both"/>
        <w:rPr>
          <w:b w:val="0"/>
          <w:sz w:val="24"/>
          <w:szCs w:val="24"/>
          <w:u w:val="single"/>
        </w:rPr>
      </w:pPr>
      <w:bookmarkStart w:id="96" w:name="_Toc520362085"/>
      <w:bookmarkStart w:id="97" w:name="_Toc520405229"/>
      <w:r w:rsidRPr="00032F74">
        <w:rPr>
          <w:rFonts w:eastAsiaTheme="minorHAnsi"/>
          <w:b w:val="0"/>
          <w:sz w:val="24"/>
          <w:szCs w:val="24"/>
          <w:u w:val="single"/>
          <w:lang w:eastAsia="en-US"/>
        </w:rPr>
        <w:t>Ausência de identificação, mapeamento de competências, bem como de plano de ação para formação de sucessores e reposição da força de trabalho associada a ocupações críticas</w:t>
      </w:r>
      <w:r w:rsidRPr="00F608EB">
        <w:rPr>
          <w:b w:val="0"/>
          <w:sz w:val="24"/>
          <w:szCs w:val="24"/>
          <w:u w:val="single"/>
        </w:rPr>
        <w:t>.</w:t>
      </w:r>
      <w:bookmarkEnd w:id="96"/>
      <w:bookmarkEnd w:id="97"/>
    </w:p>
    <w:p w:rsidR="00473149" w:rsidRPr="008A7DE0" w:rsidRDefault="00473149" w:rsidP="00473149">
      <w:pPr>
        <w:spacing w:after="0" w:line="240" w:lineRule="auto"/>
        <w:jc w:val="both"/>
        <w:rPr>
          <w:i/>
        </w:rPr>
      </w:pPr>
      <w:r w:rsidRPr="008A7DE0">
        <w:rPr>
          <w:rFonts w:ascii="Times New Roman" w:hAnsi="Times New Roman" w:cs="Times New Roman"/>
          <w:i/>
          <w:sz w:val="24"/>
          <w:szCs w:val="24"/>
        </w:rPr>
        <w:t>Risco associado: R4 – TSE: Falta de identificação das ocupações críticas.</w:t>
      </w:r>
    </w:p>
    <w:p w:rsidR="00473149" w:rsidRPr="009B7260" w:rsidRDefault="00473149" w:rsidP="00473149">
      <w:pPr>
        <w:pStyle w:val="TextosemFormatao"/>
        <w:rPr>
          <w:lang w:eastAsia="pt-BR"/>
        </w:rPr>
      </w:pP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Situação encontrada:</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B833B6">
        <w:rPr>
          <w:rFonts w:ascii="Times New Roman" w:hAnsi="Times New Roman" w:cs="Times New Roman"/>
          <w:sz w:val="24"/>
          <w:szCs w:val="24"/>
        </w:rPr>
        <w:t xml:space="preserve">Evidenciou-se, da análise do resultado do Levantamento de Governança e Gestão Públicas – 2017 (Relatório individual da auto avaliação), que o TRE-BA encontra-se no estágio de capacidade inicial em governança e gestão, no indicador </w:t>
      </w:r>
      <w:proofErr w:type="spellStart"/>
      <w:proofErr w:type="gramStart"/>
      <w:r w:rsidRPr="00B833B6">
        <w:rPr>
          <w:rFonts w:ascii="Times New Roman" w:hAnsi="Times New Roman" w:cs="Times New Roman"/>
          <w:sz w:val="24"/>
          <w:szCs w:val="24"/>
        </w:rPr>
        <w:t>iGovPessoas</w:t>
      </w:r>
      <w:proofErr w:type="spellEnd"/>
      <w:proofErr w:type="gramEnd"/>
      <w:r w:rsidRPr="00B833B6">
        <w:rPr>
          <w:rFonts w:ascii="Times New Roman" w:hAnsi="Times New Roman" w:cs="Times New Roman"/>
          <w:sz w:val="24"/>
          <w:szCs w:val="24"/>
        </w:rPr>
        <w:t xml:space="preserve"> (índice de governança de pessoas), no que tange à prática 4140 (assegurar a disponibilidade de sucessores qualificados)</w:t>
      </w:r>
      <w:r w:rsidRPr="00F608EB">
        <w:rPr>
          <w:rFonts w:ascii="Times New Roman" w:hAnsi="Times New Roman" w:cs="Times New Roman"/>
          <w:sz w:val="24"/>
          <w:szCs w:val="24"/>
        </w:rPr>
        <w:t>.</w:t>
      </w:r>
    </w:p>
    <w:p w:rsidR="00473149" w:rsidRPr="00BE3469" w:rsidRDefault="00473149" w:rsidP="00473149">
      <w:pPr>
        <w:numPr>
          <w:ilvl w:val="4"/>
          <w:numId w:val="1"/>
        </w:numPr>
        <w:spacing w:after="0" w:line="240" w:lineRule="auto"/>
        <w:jc w:val="both"/>
        <w:rPr>
          <w:rFonts w:ascii="Times New Roman" w:hAnsi="Times New Roman" w:cs="Times New Roman"/>
          <w:spacing w:val="-4"/>
          <w:sz w:val="24"/>
          <w:szCs w:val="24"/>
        </w:rPr>
      </w:pPr>
      <w:r w:rsidRPr="00BE3469">
        <w:rPr>
          <w:rFonts w:ascii="Times New Roman" w:hAnsi="Times New Roman" w:cs="Times New Roman"/>
          <w:spacing w:val="-4"/>
          <w:sz w:val="24"/>
          <w:szCs w:val="24"/>
        </w:rPr>
        <w:t xml:space="preserve">O referido diagnóstico restou ratificado, tendo em vista informação prestada pela SGP no sentido de que foram percebidas algumas situações de ocupações críticas durante a realização de Ciclos de Gestão por Competências e Dimensionamento da Força de Trabalho.  A unidade registrou, ainda, que, em busca de ferramenta adequada à identificação de ocupações críticas, assegurou a participação de duas servidoras no Encontro Boas Práticas de Governança e Gestão de Pessoas – Ocupações Críticas na Justiça Eleitoral, realizado em 4/6/2018. Informou que, no evento, foi apresentada experiência do TRE-MG.  Acrescentou que pretende aprofundar estudos, com vistas à </w:t>
      </w:r>
      <w:proofErr w:type="gramStart"/>
      <w:r w:rsidRPr="00BE3469">
        <w:rPr>
          <w:rFonts w:ascii="Times New Roman" w:hAnsi="Times New Roman" w:cs="Times New Roman"/>
          <w:spacing w:val="-4"/>
          <w:sz w:val="24"/>
          <w:szCs w:val="24"/>
        </w:rPr>
        <w:t>implementação</w:t>
      </w:r>
      <w:proofErr w:type="gramEnd"/>
      <w:r w:rsidRPr="00BE3469">
        <w:rPr>
          <w:rFonts w:ascii="Times New Roman" w:hAnsi="Times New Roman" w:cs="Times New Roman"/>
          <w:spacing w:val="-4"/>
          <w:sz w:val="24"/>
          <w:szCs w:val="24"/>
        </w:rPr>
        <w:t xml:space="preserve"> de rotina semelhante à do referido Regional.</w:t>
      </w:r>
    </w:p>
    <w:p w:rsidR="00473149" w:rsidRPr="00032F74" w:rsidRDefault="00473149" w:rsidP="00473149">
      <w:pPr>
        <w:numPr>
          <w:ilvl w:val="4"/>
          <w:numId w:val="1"/>
        </w:numPr>
        <w:spacing w:after="0" w:line="240" w:lineRule="auto"/>
        <w:jc w:val="both"/>
        <w:rPr>
          <w:rFonts w:ascii="Times New Roman" w:hAnsi="Times New Roman" w:cs="Times New Roman"/>
          <w:sz w:val="24"/>
          <w:szCs w:val="24"/>
        </w:rPr>
      </w:pPr>
      <w:r w:rsidRPr="00B833B6">
        <w:rPr>
          <w:rFonts w:ascii="Times New Roman" w:hAnsi="Times New Roman" w:cs="Times New Roman"/>
          <w:sz w:val="24"/>
          <w:szCs w:val="24"/>
        </w:rPr>
        <w:lastRenderedPageBreak/>
        <w:t>Esclareça-se que, dos documentos e informações apresentados, não se evidenciou processo ou sistemática de identificação de ocupações críticas e mapeamento de respectivas competências, ou, ainda, formalização de instrumento de planejamento para assegurar a sucessão dos referidos postos.</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B833B6">
        <w:rPr>
          <w:rFonts w:ascii="Times New Roman" w:hAnsi="Times New Roman" w:cs="Times New Roman"/>
          <w:sz w:val="24"/>
          <w:szCs w:val="24"/>
        </w:rPr>
        <w:t>Evidenciou-se, contudo, previsão de Programa de Desenvolvimento de Líderes (PDL), nos Planos Anuais de Capacitação referentes aos exercícios 2017 e 2018, voltado ao desenvolvimento de competências de gestores e futuros líderes, de forma geral e não associada, portanto, a posições de liderança ou demais postos de trabalho relacionados a ocupações críticas.</w:t>
      </w:r>
    </w:p>
    <w:p w:rsidR="00473149" w:rsidRPr="00BE3469"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BE3469">
        <w:rPr>
          <w:rFonts w:ascii="Times New Roman" w:hAnsi="Times New Roman" w:cs="Times New Roman"/>
          <w:i/>
          <w:sz w:val="24"/>
          <w:szCs w:val="24"/>
        </w:rPr>
        <w:t>Critério(s):</w:t>
      </w:r>
    </w:p>
    <w:p w:rsidR="00473149" w:rsidRPr="00B833B6" w:rsidRDefault="00473149" w:rsidP="00473149">
      <w:pPr>
        <w:numPr>
          <w:ilvl w:val="4"/>
          <w:numId w:val="1"/>
        </w:numPr>
        <w:spacing w:after="0" w:line="240" w:lineRule="auto"/>
        <w:jc w:val="both"/>
        <w:rPr>
          <w:rFonts w:ascii="Times New Roman" w:hAnsi="Times New Roman" w:cs="Times New Roman"/>
          <w:sz w:val="24"/>
          <w:szCs w:val="24"/>
        </w:rPr>
      </w:pPr>
      <w:r w:rsidRPr="00B833B6">
        <w:rPr>
          <w:rFonts w:ascii="Times New Roman" w:hAnsi="Times New Roman" w:cs="Times New Roman"/>
          <w:sz w:val="24"/>
          <w:szCs w:val="24"/>
        </w:rPr>
        <w:t>Acórdão TCU nº</w:t>
      </w:r>
      <w:r>
        <w:rPr>
          <w:rFonts w:ascii="Times New Roman" w:hAnsi="Times New Roman" w:cs="Times New Roman"/>
          <w:sz w:val="24"/>
          <w:szCs w:val="24"/>
        </w:rPr>
        <w:t xml:space="preserve"> </w:t>
      </w:r>
      <w:r w:rsidRPr="00B833B6">
        <w:rPr>
          <w:rFonts w:ascii="Times New Roman" w:hAnsi="Times New Roman" w:cs="Times New Roman"/>
          <w:sz w:val="24"/>
          <w:szCs w:val="24"/>
        </w:rPr>
        <w:t>588/2018 – Plenário, subitem 4.4 (subitem 199, que conceitua “ocupações críticas”); Acórdão TCU nº</w:t>
      </w:r>
      <w:proofErr w:type="gramStart"/>
      <w:r w:rsidRPr="00B833B6">
        <w:rPr>
          <w:rFonts w:ascii="Times New Roman" w:hAnsi="Times New Roman" w:cs="Times New Roman"/>
          <w:sz w:val="24"/>
          <w:szCs w:val="24"/>
        </w:rPr>
        <w:t xml:space="preserve">  </w:t>
      </w:r>
      <w:proofErr w:type="gramEnd"/>
      <w:r w:rsidRPr="00B833B6">
        <w:rPr>
          <w:rFonts w:ascii="Times New Roman" w:hAnsi="Times New Roman" w:cs="Times New Roman"/>
          <w:sz w:val="24"/>
          <w:szCs w:val="24"/>
        </w:rPr>
        <w:t xml:space="preserve">2.212/2015 – Plenário, subitem 9.3.2; Acórdão TCU nº 1.594/2016 – Plenário, subitem 9.4.1; Acórdão TCU nº 2.133/2017 – Plenário, subitem 9.1.1; Acórdão TCU nº 2.138/2017 – Plenário, subitem 9.2.3 Resolução CNJ nº 240, de 9 de setembro de 2016, art. 7º; Resolução Administrativa TRE-BA nº 12/2018, art. 67, X; Resolução Administrativa  TRE-BA nº 12/2017, </w:t>
      </w:r>
      <w:proofErr w:type="spellStart"/>
      <w:r w:rsidRPr="00B833B6">
        <w:rPr>
          <w:rFonts w:ascii="Times New Roman" w:hAnsi="Times New Roman" w:cs="Times New Roman"/>
          <w:sz w:val="24"/>
          <w:szCs w:val="24"/>
        </w:rPr>
        <w:t>arts</w:t>
      </w:r>
      <w:proofErr w:type="spellEnd"/>
      <w:r w:rsidRPr="00B833B6">
        <w:rPr>
          <w:rFonts w:ascii="Times New Roman" w:hAnsi="Times New Roman" w:cs="Times New Roman"/>
          <w:sz w:val="24"/>
          <w:szCs w:val="24"/>
        </w:rPr>
        <w:t xml:space="preserve">. </w:t>
      </w:r>
      <w:proofErr w:type="gramStart"/>
      <w:r w:rsidRPr="00B833B6">
        <w:rPr>
          <w:rFonts w:ascii="Times New Roman" w:hAnsi="Times New Roman" w:cs="Times New Roman"/>
          <w:sz w:val="24"/>
          <w:szCs w:val="24"/>
        </w:rPr>
        <w:t>2º, V</w:t>
      </w:r>
      <w:proofErr w:type="gramEnd"/>
      <w:r w:rsidRPr="00B833B6">
        <w:rPr>
          <w:rFonts w:ascii="Times New Roman" w:hAnsi="Times New Roman" w:cs="Times New Roman"/>
          <w:sz w:val="24"/>
          <w:szCs w:val="24"/>
        </w:rPr>
        <w:t xml:space="preserve"> e VI, 4º, V, 5º, IV, 7º, II e III, e 8º, X; e Acórdão TCU nº 1.172/2015 –Plenário, subitem 9.1.11.</w:t>
      </w:r>
    </w:p>
    <w:p w:rsidR="00473149" w:rsidRPr="00BE3469"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BE3469">
        <w:rPr>
          <w:rFonts w:ascii="Times New Roman" w:hAnsi="Times New Roman" w:cs="Times New Roman"/>
          <w:i/>
          <w:sz w:val="24"/>
          <w:szCs w:val="24"/>
        </w:rPr>
        <w:t>Causa(s):</w:t>
      </w:r>
    </w:p>
    <w:p w:rsidR="00473149" w:rsidRPr="00B833B6" w:rsidRDefault="00473149" w:rsidP="00473149">
      <w:pPr>
        <w:numPr>
          <w:ilvl w:val="4"/>
          <w:numId w:val="1"/>
        </w:numPr>
        <w:spacing w:after="0" w:line="240" w:lineRule="auto"/>
        <w:jc w:val="both"/>
        <w:rPr>
          <w:rFonts w:ascii="Times New Roman" w:hAnsi="Times New Roman" w:cs="Times New Roman"/>
          <w:sz w:val="24"/>
          <w:szCs w:val="24"/>
        </w:rPr>
      </w:pPr>
      <w:r w:rsidRPr="00B833B6">
        <w:rPr>
          <w:rFonts w:ascii="Times New Roman" w:hAnsi="Times New Roman" w:cs="Times New Roman"/>
          <w:sz w:val="24"/>
          <w:szCs w:val="24"/>
        </w:rPr>
        <w:t>Incipiente cultura organizacional em orientação para resultados; incipiente cultura organizacional em planejamento da força de trabalho com base em informações gerenciais; incipiente cultura organizacional em gerenciamento de riscos, notadamente no que tange à continuidade do negócio; desalinhamento da gestão da força de trabalho com a estratégia organizacional; insuficiência de ações institucionalizadas voltadas para garantir o compartilhamento de conhecimentos críticos quando ocorrerem sucessões (por exemplo, em função de aposentadorias, afastamento, desligamentos); recente formalização de política de gestão de pessoas, contemplando diretrizes relacionadas a ocupações críticas.</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Efeito(s) (real ou potencial):</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0E2E3C">
        <w:rPr>
          <w:rFonts w:ascii="Times New Roman" w:hAnsi="Times New Roman" w:cs="Times New Roman"/>
          <w:sz w:val="24"/>
          <w:szCs w:val="24"/>
        </w:rPr>
        <w:t xml:space="preserve">Indisponibilidade de profissionais devidamente qualificados para assumir as ocupações críticas; comprometimento da qualidade e celeridade das entregas; aumento do risco de perda de conhecimento organizacional; impactos na concretização da missão e alcance da </w:t>
      </w:r>
      <w:proofErr w:type="gramStart"/>
      <w:r w:rsidRPr="000E2E3C">
        <w:rPr>
          <w:rFonts w:ascii="Times New Roman" w:hAnsi="Times New Roman" w:cs="Times New Roman"/>
          <w:sz w:val="24"/>
          <w:szCs w:val="24"/>
        </w:rPr>
        <w:t>visão de futuro organizacionais</w:t>
      </w:r>
      <w:proofErr w:type="gramEnd"/>
      <w:r w:rsidRPr="000E2E3C">
        <w:rPr>
          <w:rFonts w:ascii="Times New Roman" w:hAnsi="Times New Roman" w:cs="Times New Roman"/>
          <w:sz w:val="24"/>
          <w:szCs w:val="24"/>
        </w:rPr>
        <w:t>; dificuldades na gestão do conhecimento organizacional; desmotivação do quadro de servidores; sobrecarga de atividades; aumento de horas em banco dos servidores; incremento de custos com horas extras de servidores; acréscimo de afastamento por motivo de saúde; e comprometimento da capacidade da instituição em gerar resultados e benefícios para a sociedade</w:t>
      </w:r>
      <w:r w:rsidRPr="00F608EB">
        <w:rPr>
          <w:rFonts w:ascii="Times New Roman" w:hAnsi="Times New Roman" w:cs="Times New Roman"/>
          <w:sz w:val="24"/>
          <w:szCs w:val="24"/>
        </w:rPr>
        <w:t>.</w:t>
      </w:r>
    </w:p>
    <w:p w:rsidR="00473149" w:rsidRPr="00F608EB"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F608EB">
        <w:rPr>
          <w:rFonts w:ascii="Times New Roman" w:hAnsi="Times New Roman" w:cs="Times New Roman"/>
          <w:i/>
          <w:sz w:val="24"/>
          <w:szCs w:val="24"/>
        </w:rPr>
        <w:t>Evidência(s):</w:t>
      </w:r>
    </w:p>
    <w:p w:rsidR="00473149" w:rsidRPr="00F608EB" w:rsidRDefault="00473149" w:rsidP="00473149">
      <w:pPr>
        <w:numPr>
          <w:ilvl w:val="4"/>
          <w:numId w:val="1"/>
        </w:numPr>
        <w:spacing w:after="0" w:line="240" w:lineRule="auto"/>
        <w:jc w:val="both"/>
        <w:rPr>
          <w:rFonts w:ascii="Times New Roman" w:hAnsi="Times New Roman" w:cs="Times New Roman"/>
          <w:sz w:val="24"/>
          <w:szCs w:val="24"/>
        </w:rPr>
      </w:pPr>
      <w:r w:rsidRPr="000E2E3C">
        <w:rPr>
          <w:rFonts w:ascii="Times New Roman" w:hAnsi="Times New Roman" w:cs="Times New Roman"/>
          <w:sz w:val="24"/>
          <w:szCs w:val="24"/>
        </w:rPr>
        <w:t>Resposta da SGP à RDI nº 34/2018, PAD nº 8.252/2018 (Docs. nº 104.315, 110.620 e 111.504/2018); Plano Anual de Capacitação - PAC 2017 (PAD nº 1.540/2017, Doc. nº 26.982/2017) e Plano Anual de Capacitação - PAC 2018 (PAD nº 1.553/2018, Doc. nº 109.689/2018) e Levantamento de Governança e Gestão Públicas – 2017 - Relatório individual da auto avaliação, disponível em http://www.cscruz.org/igg2017/Tribunal/18-TRE-BA%20(Tribunal%</w:t>
      </w:r>
      <w:proofErr w:type="gramStart"/>
      <w:r w:rsidRPr="000E2E3C">
        <w:rPr>
          <w:rFonts w:ascii="Times New Roman" w:hAnsi="Times New Roman" w:cs="Times New Roman"/>
          <w:sz w:val="24"/>
          <w:szCs w:val="24"/>
        </w:rPr>
        <w:t>20Regional</w:t>
      </w:r>
      <w:proofErr w:type="gramEnd"/>
      <w:r w:rsidRPr="000E2E3C">
        <w:rPr>
          <w:rFonts w:ascii="Times New Roman" w:hAnsi="Times New Roman" w:cs="Times New Roman"/>
          <w:sz w:val="24"/>
          <w:szCs w:val="24"/>
        </w:rPr>
        <w:t xml:space="preserve">%20Eleitoral%20da%20Bahia). </w:t>
      </w:r>
      <w:proofErr w:type="spellStart"/>
      <w:proofErr w:type="gramStart"/>
      <w:r w:rsidRPr="000E2E3C">
        <w:rPr>
          <w:rFonts w:ascii="Times New Roman" w:hAnsi="Times New Roman" w:cs="Times New Roman"/>
          <w:sz w:val="24"/>
          <w:szCs w:val="24"/>
        </w:rPr>
        <w:t>pdf</w:t>
      </w:r>
      <w:proofErr w:type="spellEnd"/>
      <w:proofErr w:type="gramEnd"/>
      <w:r w:rsidRPr="000E2E3C">
        <w:rPr>
          <w:rFonts w:ascii="Times New Roman" w:hAnsi="Times New Roman" w:cs="Times New Roman"/>
          <w:sz w:val="24"/>
          <w:szCs w:val="24"/>
        </w:rPr>
        <w:t>, acesso em 4/7/2018</w:t>
      </w:r>
      <w:r w:rsidRPr="00F608EB">
        <w:rPr>
          <w:rFonts w:ascii="Times New Roman" w:hAnsi="Times New Roman" w:cs="Times New Roman"/>
          <w:sz w:val="24"/>
          <w:szCs w:val="24"/>
        </w:rPr>
        <w:t>.</w:t>
      </w:r>
    </w:p>
    <w:p w:rsidR="00473149" w:rsidRDefault="00473149" w:rsidP="00473149">
      <w:pPr>
        <w:numPr>
          <w:ilvl w:val="3"/>
          <w:numId w:val="1"/>
        </w:numPr>
        <w:spacing w:after="0" w:line="240" w:lineRule="auto"/>
        <w:ind w:left="1077" w:hanging="1077"/>
        <w:jc w:val="both"/>
        <w:rPr>
          <w:rFonts w:ascii="Times New Roman" w:hAnsi="Times New Roman" w:cs="Times New Roman"/>
          <w:i/>
          <w:sz w:val="24"/>
          <w:szCs w:val="24"/>
        </w:rPr>
      </w:pPr>
      <w:r w:rsidRPr="00C102CB">
        <w:rPr>
          <w:rFonts w:ascii="Times New Roman" w:hAnsi="Times New Roman" w:cs="Times New Roman"/>
          <w:i/>
          <w:sz w:val="24"/>
          <w:szCs w:val="24"/>
        </w:rPr>
        <w:t>Proposta de encaminhamento:</w:t>
      </w:r>
    </w:p>
    <w:p w:rsidR="00473149" w:rsidRPr="00C102CB" w:rsidRDefault="00473149" w:rsidP="00473149">
      <w:pPr>
        <w:numPr>
          <w:ilvl w:val="4"/>
          <w:numId w:val="1"/>
        </w:numPr>
        <w:spacing w:after="0" w:line="240" w:lineRule="auto"/>
        <w:jc w:val="both"/>
        <w:rPr>
          <w:rFonts w:ascii="Times New Roman" w:hAnsi="Times New Roman" w:cs="Times New Roman"/>
          <w:sz w:val="24"/>
          <w:szCs w:val="24"/>
        </w:rPr>
      </w:pPr>
      <w:r w:rsidRPr="00C102CB">
        <w:rPr>
          <w:rFonts w:ascii="Times New Roman" w:hAnsi="Times New Roman" w:cs="Times New Roman"/>
          <w:sz w:val="24"/>
          <w:szCs w:val="24"/>
        </w:rPr>
        <w:lastRenderedPageBreak/>
        <w:t>Determinar à SGP que, observado o prazo de 30 dias, apresente plano de ação, contemplando medidas voltadas à:</w:t>
      </w:r>
    </w:p>
    <w:p w:rsidR="00473149" w:rsidRPr="00C102CB" w:rsidRDefault="00473149" w:rsidP="00473149">
      <w:pPr>
        <w:pStyle w:val="PargrafodaLista"/>
        <w:numPr>
          <w:ilvl w:val="0"/>
          <w:numId w:val="14"/>
        </w:numPr>
        <w:spacing w:before="0"/>
        <w:ind w:left="1145" w:hanging="11"/>
        <w:jc w:val="both"/>
        <w:rPr>
          <w:rFonts w:eastAsiaTheme="minorHAnsi"/>
          <w:b w:val="0"/>
          <w:sz w:val="24"/>
          <w:szCs w:val="24"/>
          <w:lang w:eastAsia="en-US"/>
        </w:rPr>
      </w:pPr>
      <w:bookmarkStart w:id="98" w:name="_Toc520362086"/>
      <w:bookmarkStart w:id="99" w:name="_Toc520405230"/>
      <w:proofErr w:type="gramStart"/>
      <w:r w:rsidRPr="00C102CB">
        <w:rPr>
          <w:rFonts w:eastAsiaTheme="minorHAnsi"/>
          <w:b w:val="0"/>
          <w:sz w:val="24"/>
          <w:szCs w:val="24"/>
          <w:lang w:eastAsia="en-US"/>
        </w:rPr>
        <w:t>reposição</w:t>
      </w:r>
      <w:proofErr w:type="gramEnd"/>
      <w:r w:rsidRPr="00C102CB">
        <w:rPr>
          <w:rFonts w:eastAsiaTheme="minorHAnsi"/>
          <w:b w:val="0"/>
          <w:sz w:val="24"/>
          <w:szCs w:val="24"/>
          <w:lang w:eastAsia="en-US"/>
        </w:rPr>
        <w:t xml:space="preserve"> da força de trabalho em virtude de vacância de cargo público decorrente de aposentadoria voluntária, compulsória ou por motivo de saúde; e</w:t>
      </w:r>
      <w:bookmarkEnd w:id="98"/>
      <w:bookmarkEnd w:id="99"/>
    </w:p>
    <w:p w:rsidR="00473149" w:rsidRDefault="00473149" w:rsidP="00473149">
      <w:pPr>
        <w:pStyle w:val="PargrafodaLista"/>
        <w:numPr>
          <w:ilvl w:val="0"/>
          <w:numId w:val="14"/>
        </w:numPr>
        <w:ind w:hanging="11"/>
        <w:jc w:val="both"/>
        <w:rPr>
          <w:rFonts w:eastAsiaTheme="minorHAnsi"/>
          <w:b w:val="0"/>
          <w:sz w:val="24"/>
          <w:szCs w:val="24"/>
          <w:lang w:eastAsia="en-US"/>
        </w:rPr>
      </w:pPr>
      <w:bookmarkStart w:id="100" w:name="_Toc520362087"/>
      <w:bookmarkStart w:id="101" w:name="_Toc520405231"/>
      <w:proofErr w:type="gramStart"/>
      <w:r w:rsidRPr="00C102CB">
        <w:rPr>
          <w:rFonts w:eastAsiaTheme="minorHAnsi"/>
          <w:b w:val="0"/>
          <w:sz w:val="24"/>
          <w:szCs w:val="24"/>
          <w:lang w:eastAsia="en-US"/>
        </w:rPr>
        <w:t>identificação</w:t>
      </w:r>
      <w:proofErr w:type="gramEnd"/>
      <w:r w:rsidRPr="00C102CB">
        <w:rPr>
          <w:rFonts w:eastAsiaTheme="minorHAnsi"/>
          <w:b w:val="0"/>
          <w:sz w:val="24"/>
          <w:szCs w:val="24"/>
          <w:lang w:eastAsia="en-US"/>
        </w:rPr>
        <w:t>, mapeamento de competências e planejamento para formação de sucessores e reposição da força de trabalho associada a ocupações críticas.</w:t>
      </w:r>
      <w:bookmarkEnd w:id="100"/>
      <w:bookmarkEnd w:id="101"/>
    </w:p>
    <w:p w:rsidR="00473149" w:rsidRPr="00B43C96" w:rsidRDefault="00473149" w:rsidP="00473149">
      <w:pPr>
        <w:pStyle w:val="TextosemFormatao"/>
      </w:pPr>
    </w:p>
    <w:p w:rsidR="00473149" w:rsidRPr="005129A9" w:rsidRDefault="00473149" w:rsidP="00473149">
      <w:pPr>
        <w:pStyle w:val="PargrafodaLista"/>
        <w:spacing w:before="0" w:after="240"/>
        <w:ind w:left="357" w:hanging="357"/>
        <w:rPr>
          <w:color w:val="0D0D0D" w:themeColor="text1" w:themeTint="F2"/>
          <w:sz w:val="24"/>
          <w:szCs w:val="24"/>
        </w:rPr>
      </w:pPr>
      <w:bookmarkStart w:id="102" w:name="_Toc520405232"/>
      <w:r w:rsidRPr="005129A9">
        <w:rPr>
          <w:color w:val="0D0D0D" w:themeColor="text1" w:themeTint="F2"/>
          <w:sz w:val="24"/>
          <w:szCs w:val="24"/>
        </w:rPr>
        <w:t>ACHADO NÃO DECORRENTE DO ESCOPO DA AUDITORIA</w:t>
      </w:r>
      <w:bookmarkEnd w:id="102"/>
    </w:p>
    <w:p w:rsidR="00473149" w:rsidRPr="005129A9" w:rsidRDefault="00473149" w:rsidP="00473149">
      <w:pPr>
        <w:numPr>
          <w:ilvl w:val="1"/>
          <w:numId w:val="1"/>
        </w:numPr>
        <w:spacing w:after="120" w:line="240" w:lineRule="auto"/>
        <w:ind w:left="357" w:hanging="357"/>
        <w:jc w:val="both"/>
        <w:rPr>
          <w:rFonts w:ascii="Times New Roman" w:hAnsi="Times New Roman" w:cs="Times New Roman"/>
          <w:color w:val="0D0D0D" w:themeColor="text1" w:themeTint="F2"/>
          <w:sz w:val="24"/>
          <w:szCs w:val="24"/>
        </w:rPr>
      </w:pPr>
      <w:r w:rsidRPr="005129A9">
        <w:rPr>
          <w:rFonts w:ascii="Times New Roman" w:hAnsi="Times New Roman" w:cs="Times New Roman"/>
          <w:color w:val="0D0D0D" w:themeColor="text1" w:themeTint="F2"/>
          <w:sz w:val="24"/>
          <w:szCs w:val="24"/>
        </w:rPr>
        <w:t xml:space="preserve">Paralelamente às fragilidades elencadas no item </w:t>
      </w:r>
      <w:proofErr w:type="gramStart"/>
      <w:r w:rsidRPr="005129A9">
        <w:rPr>
          <w:rFonts w:ascii="Times New Roman" w:hAnsi="Times New Roman" w:cs="Times New Roman"/>
          <w:color w:val="0D0D0D" w:themeColor="text1" w:themeTint="F2"/>
          <w:sz w:val="24"/>
          <w:szCs w:val="24"/>
        </w:rPr>
        <w:t>8</w:t>
      </w:r>
      <w:proofErr w:type="gramEnd"/>
      <w:r w:rsidRPr="005129A9">
        <w:rPr>
          <w:rFonts w:ascii="Times New Roman" w:hAnsi="Times New Roman" w:cs="Times New Roman"/>
          <w:color w:val="0D0D0D" w:themeColor="text1" w:themeTint="F2"/>
          <w:sz w:val="24"/>
          <w:szCs w:val="24"/>
        </w:rPr>
        <w:t xml:space="preserve">, restou, ainda, evidenciada a seguinte situação desconforme não circunscrita ao escopo da auditoria: </w:t>
      </w:r>
    </w:p>
    <w:p w:rsidR="00473149" w:rsidRPr="005129A9" w:rsidRDefault="00473149" w:rsidP="00473149">
      <w:pPr>
        <w:numPr>
          <w:ilvl w:val="2"/>
          <w:numId w:val="1"/>
        </w:numPr>
        <w:spacing w:after="120" w:line="240" w:lineRule="auto"/>
        <w:jc w:val="both"/>
        <w:rPr>
          <w:rFonts w:ascii="Times New Roman" w:hAnsi="Times New Roman" w:cs="Times New Roman"/>
          <w:color w:val="0D0D0D" w:themeColor="text1" w:themeTint="F2"/>
          <w:sz w:val="24"/>
          <w:szCs w:val="24"/>
          <w:u w:val="single"/>
        </w:rPr>
      </w:pPr>
      <w:r w:rsidRPr="005129A9">
        <w:rPr>
          <w:rFonts w:ascii="Times New Roman" w:hAnsi="Times New Roman"/>
          <w:color w:val="0D0D0D" w:themeColor="text1" w:themeTint="F2"/>
          <w:sz w:val="24"/>
          <w:szCs w:val="24"/>
          <w:u w:val="single"/>
        </w:rPr>
        <w:t>Servidores executando atividades em unidade diversa daquela de lotação.</w:t>
      </w:r>
    </w:p>
    <w:p w:rsidR="00473149" w:rsidRPr="005129A9" w:rsidRDefault="00473149" w:rsidP="00473149">
      <w:pPr>
        <w:numPr>
          <w:ilvl w:val="3"/>
          <w:numId w:val="1"/>
        </w:numPr>
        <w:spacing w:after="0" w:line="240" w:lineRule="auto"/>
        <w:ind w:left="1077" w:hanging="1077"/>
        <w:jc w:val="both"/>
        <w:rPr>
          <w:rFonts w:ascii="Times New Roman" w:hAnsi="Times New Roman" w:cs="Times New Roman"/>
          <w:i/>
          <w:color w:val="0D0D0D" w:themeColor="text1" w:themeTint="F2"/>
          <w:sz w:val="24"/>
          <w:szCs w:val="24"/>
        </w:rPr>
      </w:pPr>
      <w:r w:rsidRPr="005129A9">
        <w:rPr>
          <w:rFonts w:ascii="Times New Roman" w:hAnsi="Times New Roman" w:cs="Times New Roman"/>
          <w:i/>
          <w:color w:val="0D0D0D" w:themeColor="text1" w:themeTint="F2"/>
          <w:sz w:val="24"/>
          <w:szCs w:val="24"/>
        </w:rPr>
        <w:t>Situação encontrada:</w:t>
      </w:r>
    </w:p>
    <w:p w:rsidR="00473149" w:rsidRPr="005129A9" w:rsidRDefault="00473149" w:rsidP="00473149">
      <w:pPr>
        <w:numPr>
          <w:ilvl w:val="4"/>
          <w:numId w:val="1"/>
        </w:numPr>
        <w:spacing w:after="0" w:line="240" w:lineRule="auto"/>
        <w:jc w:val="both"/>
        <w:rPr>
          <w:rFonts w:ascii="Times New Roman" w:hAnsi="Times New Roman" w:cs="Times New Roman"/>
          <w:color w:val="0D0D0D" w:themeColor="text1" w:themeTint="F2"/>
          <w:sz w:val="24"/>
          <w:szCs w:val="24"/>
        </w:rPr>
      </w:pPr>
      <w:r w:rsidRPr="005129A9">
        <w:rPr>
          <w:rFonts w:ascii="Times New Roman" w:hAnsi="Times New Roman"/>
          <w:color w:val="0D0D0D" w:themeColor="text1" w:themeTint="F2"/>
          <w:sz w:val="24"/>
          <w:szCs w:val="24"/>
        </w:rPr>
        <w:t xml:space="preserve">A partir da análise dos relatórios conclusivos e de recomendações referentes ao dimensionamento da força trabalho realizado junto à SGP, COPEG, SGA e SOF, foram identificados registros sinalizando existência de servidores executando atividades em unidade diversa daquela de lotação, a saber: </w:t>
      </w:r>
      <w:proofErr w:type="gramStart"/>
      <w:r w:rsidRPr="005129A9">
        <w:rPr>
          <w:rFonts w:ascii="Times New Roman" w:hAnsi="Times New Roman"/>
          <w:color w:val="0D0D0D" w:themeColor="text1" w:themeTint="F2"/>
          <w:sz w:val="24"/>
          <w:szCs w:val="24"/>
        </w:rPr>
        <w:t>3</w:t>
      </w:r>
      <w:proofErr w:type="gramEnd"/>
      <w:r w:rsidRPr="005129A9">
        <w:rPr>
          <w:rFonts w:ascii="Times New Roman" w:hAnsi="Times New Roman"/>
          <w:color w:val="0D0D0D" w:themeColor="text1" w:themeTint="F2"/>
          <w:sz w:val="24"/>
          <w:szCs w:val="24"/>
        </w:rPr>
        <w:t xml:space="preserve"> servidores da SEGEA; 1 servidor da SEAQUI; e 1 servidor da SEPUBLI.</w:t>
      </w:r>
    </w:p>
    <w:p w:rsidR="00473149" w:rsidRPr="005129A9" w:rsidRDefault="00473149" w:rsidP="00473149">
      <w:pPr>
        <w:numPr>
          <w:ilvl w:val="4"/>
          <w:numId w:val="1"/>
        </w:numPr>
        <w:spacing w:after="0" w:line="240" w:lineRule="auto"/>
        <w:jc w:val="both"/>
        <w:rPr>
          <w:rFonts w:ascii="Times New Roman" w:hAnsi="Times New Roman" w:cs="Times New Roman"/>
          <w:color w:val="0D0D0D" w:themeColor="text1" w:themeTint="F2"/>
          <w:sz w:val="24"/>
          <w:szCs w:val="24"/>
        </w:rPr>
      </w:pPr>
      <w:r w:rsidRPr="005129A9">
        <w:rPr>
          <w:rFonts w:ascii="Times New Roman" w:hAnsi="Times New Roman"/>
          <w:color w:val="0D0D0D" w:themeColor="text1" w:themeTint="F2"/>
          <w:sz w:val="24"/>
          <w:szCs w:val="24"/>
        </w:rPr>
        <w:t>Esclareça-se, quanto à SEAQUI, verificação de registro consignando tratar-se de lotação provisória, e, quanto à SEPUBLI, que a referida unidade restou extinta em razão de reestruturação administrativa processada por meio da Resolução Administrativa TRE-BA nº 12/2018.</w:t>
      </w:r>
    </w:p>
    <w:p w:rsidR="00473149" w:rsidRPr="005129A9" w:rsidRDefault="00473149" w:rsidP="00473149">
      <w:pPr>
        <w:numPr>
          <w:ilvl w:val="3"/>
          <w:numId w:val="1"/>
        </w:numPr>
        <w:spacing w:after="0" w:line="240" w:lineRule="auto"/>
        <w:ind w:left="1077" w:hanging="1077"/>
        <w:jc w:val="both"/>
        <w:rPr>
          <w:rFonts w:ascii="Times New Roman" w:hAnsi="Times New Roman" w:cs="Times New Roman"/>
          <w:i/>
          <w:color w:val="0D0D0D" w:themeColor="text1" w:themeTint="F2"/>
          <w:sz w:val="24"/>
          <w:szCs w:val="24"/>
        </w:rPr>
      </w:pPr>
      <w:r w:rsidRPr="005129A9">
        <w:rPr>
          <w:rFonts w:ascii="Times New Roman" w:hAnsi="Times New Roman" w:cs="Times New Roman"/>
          <w:i/>
          <w:color w:val="0D0D0D" w:themeColor="text1" w:themeTint="F2"/>
          <w:sz w:val="24"/>
          <w:szCs w:val="24"/>
        </w:rPr>
        <w:t>Critério(s):</w:t>
      </w:r>
    </w:p>
    <w:p w:rsidR="00473149" w:rsidRPr="005129A9" w:rsidRDefault="00473149" w:rsidP="00473149">
      <w:pPr>
        <w:numPr>
          <w:ilvl w:val="4"/>
          <w:numId w:val="1"/>
        </w:numPr>
        <w:spacing w:after="0" w:line="240" w:lineRule="auto"/>
        <w:jc w:val="both"/>
        <w:rPr>
          <w:rFonts w:ascii="Times New Roman" w:hAnsi="Times New Roman" w:cs="Times New Roman"/>
          <w:i/>
          <w:color w:val="0D0D0D" w:themeColor="text1" w:themeTint="F2"/>
          <w:sz w:val="24"/>
          <w:szCs w:val="24"/>
        </w:rPr>
      </w:pPr>
      <w:r w:rsidRPr="005129A9">
        <w:rPr>
          <w:rFonts w:ascii="Times New Roman" w:hAnsi="Times New Roman" w:cs="Times New Roman"/>
          <w:color w:val="0D0D0D" w:themeColor="text1" w:themeTint="F2"/>
          <w:sz w:val="24"/>
          <w:szCs w:val="24"/>
        </w:rPr>
        <w:t xml:space="preserve">Resolução CNJ nº 240/2016, </w:t>
      </w:r>
      <w:proofErr w:type="spellStart"/>
      <w:r w:rsidRPr="005129A9">
        <w:rPr>
          <w:rFonts w:ascii="Times New Roman" w:hAnsi="Times New Roman" w:cs="Times New Roman"/>
          <w:color w:val="0D0D0D" w:themeColor="text1" w:themeTint="F2"/>
          <w:sz w:val="24"/>
          <w:szCs w:val="24"/>
        </w:rPr>
        <w:t>arts</w:t>
      </w:r>
      <w:proofErr w:type="spellEnd"/>
      <w:r w:rsidRPr="005129A9">
        <w:rPr>
          <w:rFonts w:ascii="Times New Roman" w:hAnsi="Times New Roman" w:cs="Times New Roman"/>
          <w:color w:val="0D0D0D" w:themeColor="text1" w:themeTint="F2"/>
          <w:sz w:val="24"/>
          <w:szCs w:val="24"/>
        </w:rPr>
        <w:t xml:space="preserve">. 4º, IX, e 5º, III; e Resolução Administrativa TRE-BA nº 12/2017 (Política de Gestão de Pessoas do TRE-BA), </w:t>
      </w:r>
      <w:proofErr w:type="spellStart"/>
      <w:r w:rsidRPr="005129A9">
        <w:rPr>
          <w:rFonts w:ascii="Times New Roman" w:hAnsi="Times New Roman" w:cs="Times New Roman"/>
          <w:color w:val="0D0D0D" w:themeColor="text1" w:themeTint="F2"/>
          <w:sz w:val="24"/>
          <w:szCs w:val="24"/>
        </w:rPr>
        <w:t>arts</w:t>
      </w:r>
      <w:proofErr w:type="spellEnd"/>
      <w:r w:rsidRPr="005129A9">
        <w:rPr>
          <w:rFonts w:ascii="Times New Roman" w:hAnsi="Times New Roman" w:cs="Times New Roman"/>
          <w:color w:val="0D0D0D" w:themeColor="text1" w:themeTint="F2"/>
          <w:sz w:val="24"/>
          <w:szCs w:val="24"/>
        </w:rPr>
        <w:t>. 5º, IV.</w:t>
      </w:r>
    </w:p>
    <w:p w:rsidR="00473149" w:rsidRPr="005129A9" w:rsidRDefault="00473149" w:rsidP="00473149">
      <w:pPr>
        <w:numPr>
          <w:ilvl w:val="3"/>
          <w:numId w:val="1"/>
        </w:numPr>
        <w:spacing w:after="0" w:line="240" w:lineRule="auto"/>
        <w:ind w:left="1077" w:hanging="1077"/>
        <w:jc w:val="both"/>
        <w:rPr>
          <w:rFonts w:ascii="Times New Roman" w:hAnsi="Times New Roman" w:cs="Times New Roman"/>
          <w:i/>
          <w:color w:val="0D0D0D" w:themeColor="text1" w:themeTint="F2"/>
          <w:sz w:val="24"/>
          <w:szCs w:val="24"/>
        </w:rPr>
      </w:pPr>
      <w:r w:rsidRPr="005129A9">
        <w:rPr>
          <w:rFonts w:ascii="Times New Roman" w:hAnsi="Times New Roman" w:cs="Times New Roman"/>
          <w:i/>
          <w:color w:val="0D0D0D" w:themeColor="text1" w:themeTint="F2"/>
          <w:sz w:val="24"/>
          <w:szCs w:val="24"/>
        </w:rPr>
        <w:t>Causa(s):</w:t>
      </w:r>
    </w:p>
    <w:p w:rsidR="00473149" w:rsidRPr="005129A9" w:rsidRDefault="00473149" w:rsidP="00473149">
      <w:pPr>
        <w:numPr>
          <w:ilvl w:val="4"/>
          <w:numId w:val="1"/>
        </w:numPr>
        <w:spacing w:after="0" w:line="240" w:lineRule="auto"/>
        <w:jc w:val="both"/>
        <w:rPr>
          <w:rFonts w:ascii="Times New Roman" w:hAnsi="Times New Roman" w:cs="Times New Roman"/>
          <w:i/>
          <w:color w:val="0D0D0D" w:themeColor="text1" w:themeTint="F2"/>
          <w:sz w:val="24"/>
          <w:szCs w:val="24"/>
        </w:rPr>
      </w:pPr>
      <w:r w:rsidRPr="005129A9">
        <w:rPr>
          <w:rFonts w:ascii="Times New Roman" w:hAnsi="Times New Roman" w:cs="Times New Roman"/>
          <w:color w:val="0D0D0D" w:themeColor="text1" w:themeTint="F2"/>
          <w:sz w:val="24"/>
          <w:szCs w:val="24"/>
        </w:rPr>
        <w:t>Incipiente cultura organizacional em planejamento da força de trabalho; e recente formalização de política de gestão de pessoas, contemplando diretrizes relacionadas ao dimensionamento da força de trabalho, no âmbito organizacional.</w:t>
      </w:r>
    </w:p>
    <w:p w:rsidR="00473149" w:rsidRPr="005129A9" w:rsidRDefault="00473149" w:rsidP="00473149">
      <w:pPr>
        <w:numPr>
          <w:ilvl w:val="3"/>
          <w:numId w:val="1"/>
        </w:numPr>
        <w:spacing w:after="0" w:line="240" w:lineRule="auto"/>
        <w:ind w:left="1077" w:hanging="1077"/>
        <w:jc w:val="both"/>
        <w:rPr>
          <w:rFonts w:ascii="Times New Roman" w:hAnsi="Times New Roman" w:cs="Times New Roman"/>
          <w:i/>
          <w:color w:val="0D0D0D" w:themeColor="text1" w:themeTint="F2"/>
          <w:sz w:val="24"/>
          <w:szCs w:val="24"/>
        </w:rPr>
      </w:pPr>
      <w:r w:rsidRPr="005129A9">
        <w:rPr>
          <w:rFonts w:ascii="Times New Roman" w:hAnsi="Times New Roman" w:cs="Times New Roman"/>
          <w:i/>
          <w:color w:val="0D0D0D" w:themeColor="text1" w:themeTint="F2"/>
          <w:sz w:val="24"/>
          <w:szCs w:val="24"/>
        </w:rPr>
        <w:t>Efeito(s) (real ou potencial):</w:t>
      </w:r>
    </w:p>
    <w:p w:rsidR="00473149" w:rsidRPr="005129A9" w:rsidRDefault="00473149" w:rsidP="00473149">
      <w:pPr>
        <w:numPr>
          <w:ilvl w:val="4"/>
          <w:numId w:val="1"/>
        </w:numPr>
        <w:spacing w:after="0" w:line="240" w:lineRule="auto"/>
        <w:jc w:val="both"/>
        <w:rPr>
          <w:rFonts w:ascii="Times New Roman" w:hAnsi="Times New Roman" w:cs="Times New Roman"/>
          <w:i/>
          <w:color w:val="0D0D0D" w:themeColor="text1" w:themeTint="F2"/>
          <w:sz w:val="24"/>
          <w:szCs w:val="24"/>
        </w:rPr>
      </w:pPr>
      <w:r w:rsidRPr="005129A9">
        <w:rPr>
          <w:rFonts w:ascii="Times New Roman" w:hAnsi="Times New Roman" w:cs="Times New Roman"/>
          <w:color w:val="0D0D0D" w:themeColor="text1" w:themeTint="F2"/>
          <w:sz w:val="24"/>
          <w:szCs w:val="24"/>
        </w:rPr>
        <w:t>Inconsistência de DFT apurado e consequente comprometimento do planejamento da força de trabalho;</w:t>
      </w:r>
      <w:r w:rsidRPr="005129A9">
        <w:rPr>
          <w:rFonts w:ascii="Times New Roman" w:hAnsi="Times New Roman" w:cs="Times New Roman"/>
          <w:i/>
          <w:color w:val="0D0D0D" w:themeColor="text1" w:themeTint="F2"/>
          <w:sz w:val="24"/>
          <w:szCs w:val="24"/>
        </w:rPr>
        <w:t xml:space="preserve"> </w:t>
      </w:r>
      <w:r w:rsidRPr="005129A9">
        <w:rPr>
          <w:rFonts w:ascii="Times New Roman" w:hAnsi="Times New Roman" w:cs="Times New Roman"/>
          <w:color w:val="0D0D0D" w:themeColor="text1" w:themeTint="F2"/>
          <w:sz w:val="24"/>
          <w:szCs w:val="24"/>
        </w:rPr>
        <w:t xml:space="preserve">incremento de atividades não realizadas por </w:t>
      </w:r>
      <w:r w:rsidRPr="005129A9">
        <w:rPr>
          <w:rFonts w:ascii="Times New Roman" w:hAnsi="Times New Roman" w:cs="Times New Roman"/>
          <w:i/>
          <w:color w:val="0D0D0D" w:themeColor="text1" w:themeTint="F2"/>
          <w:sz w:val="24"/>
          <w:szCs w:val="24"/>
        </w:rPr>
        <w:t>déficit</w:t>
      </w:r>
      <w:r w:rsidRPr="005129A9">
        <w:rPr>
          <w:rFonts w:ascii="Times New Roman" w:hAnsi="Times New Roman" w:cs="Times New Roman"/>
          <w:color w:val="0D0D0D" w:themeColor="text1" w:themeTint="F2"/>
          <w:sz w:val="24"/>
          <w:szCs w:val="24"/>
        </w:rPr>
        <w:t xml:space="preserve"> de pessoal; comprometimento da celeridade e qualidade de entregas; e diminuição da capacidade da instituição em gerar resultados e benefícios para a sociedade.</w:t>
      </w:r>
    </w:p>
    <w:p w:rsidR="00473149" w:rsidRPr="005129A9" w:rsidRDefault="00473149" w:rsidP="00473149">
      <w:pPr>
        <w:numPr>
          <w:ilvl w:val="3"/>
          <w:numId w:val="1"/>
        </w:numPr>
        <w:spacing w:after="0" w:line="240" w:lineRule="auto"/>
        <w:ind w:left="1077" w:hanging="1077"/>
        <w:jc w:val="both"/>
        <w:rPr>
          <w:rFonts w:ascii="Times New Roman" w:hAnsi="Times New Roman" w:cs="Times New Roman"/>
          <w:i/>
          <w:color w:val="0D0D0D" w:themeColor="text1" w:themeTint="F2"/>
          <w:sz w:val="24"/>
          <w:szCs w:val="24"/>
        </w:rPr>
      </w:pPr>
      <w:r w:rsidRPr="005129A9">
        <w:rPr>
          <w:rFonts w:ascii="Times New Roman" w:hAnsi="Times New Roman" w:cs="Times New Roman"/>
          <w:i/>
          <w:color w:val="0D0D0D" w:themeColor="text1" w:themeTint="F2"/>
          <w:sz w:val="24"/>
          <w:szCs w:val="24"/>
        </w:rPr>
        <w:t>Evidência(s):</w:t>
      </w:r>
    </w:p>
    <w:p w:rsidR="00473149" w:rsidRPr="005129A9" w:rsidRDefault="00473149" w:rsidP="00473149">
      <w:pPr>
        <w:numPr>
          <w:ilvl w:val="4"/>
          <w:numId w:val="1"/>
        </w:numPr>
        <w:spacing w:after="0" w:line="240" w:lineRule="auto"/>
        <w:jc w:val="both"/>
        <w:rPr>
          <w:rFonts w:ascii="Times New Roman" w:hAnsi="Times New Roman" w:cs="Times New Roman"/>
          <w:color w:val="0D0D0D" w:themeColor="text1" w:themeTint="F2"/>
          <w:sz w:val="24"/>
          <w:szCs w:val="24"/>
        </w:rPr>
      </w:pPr>
      <w:r w:rsidRPr="005129A9">
        <w:rPr>
          <w:rFonts w:ascii="Times New Roman" w:hAnsi="Times New Roman" w:cs="Times New Roman"/>
          <w:color w:val="0D0D0D" w:themeColor="text1" w:themeTint="F2"/>
          <w:sz w:val="24"/>
          <w:szCs w:val="24"/>
        </w:rPr>
        <w:t>Relatórios Conclusivos e de Recomendações ao Dimensionamento da Força de Trabalho da SGP e COPEG e da SGA e SOF.</w:t>
      </w:r>
    </w:p>
    <w:p w:rsidR="00473149" w:rsidRPr="005129A9" w:rsidRDefault="00473149" w:rsidP="00473149">
      <w:pPr>
        <w:numPr>
          <w:ilvl w:val="3"/>
          <w:numId w:val="1"/>
        </w:numPr>
        <w:spacing w:after="0" w:line="240" w:lineRule="auto"/>
        <w:ind w:left="1077" w:hanging="1077"/>
        <w:jc w:val="both"/>
        <w:rPr>
          <w:rFonts w:ascii="Times New Roman" w:hAnsi="Times New Roman" w:cs="Times New Roman"/>
          <w:i/>
          <w:color w:val="0D0D0D" w:themeColor="text1" w:themeTint="F2"/>
          <w:sz w:val="24"/>
          <w:szCs w:val="24"/>
        </w:rPr>
      </w:pPr>
      <w:r w:rsidRPr="005129A9">
        <w:rPr>
          <w:rFonts w:ascii="Times New Roman" w:hAnsi="Times New Roman" w:cs="Times New Roman"/>
          <w:i/>
          <w:color w:val="0D0D0D" w:themeColor="text1" w:themeTint="F2"/>
          <w:sz w:val="24"/>
          <w:szCs w:val="24"/>
        </w:rPr>
        <w:t>Proposta de encaminhamento:</w:t>
      </w:r>
    </w:p>
    <w:p w:rsidR="00473149" w:rsidRPr="005129A9" w:rsidRDefault="00473149" w:rsidP="00473149">
      <w:pPr>
        <w:numPr>
          <w:ilvl w:val="4"/>
          <w:numId w:val="1"/>
        </w:numPr>
        <w:spacing w:after="0" w:line="240" w:lineRule="auto"/>
        <w:jc w:val="both"/>
        <w:rPr>
          <w:rFonts w:ascii="Times New Roman" w:hAnsi="Times New Roman" w:cs="Times New Roman"/>
          <w:i/>
          <w:color w:val="0D0D0D" w:themeColor="text1" w:themeTint="F2"/>
          <w:sz w:val="24"/>
          <w:szCs w:val="24"/>
        </w:rPr>
      </w:pPr>
      <w:r w:rsidRPr="005129A9">
        <w:rPr>
          <w:rFonts w:ascii="Times New Roman" w:hAnsi="Times New Roman" w:cs="Times New Roman"/>
          <w:color w:val="0D0D0D" w:themeColor="text1" w:themeTint="F2"/>
          <w:sz w:val="24"/>
          <w:szCs w:val="24"/>
        </w:rPr>
        <w:t>Recomendar à SGP que, observado o prazo de 90 dias, identifique servidores que exercem atividade laboral em unidade diversa daquela de lotação, realizando os ajustes necessários.</w:t>
      </w:r>
    </w:p>
    <w:p w:rsidR="00473149" w:rsidRPr="00A52E57" w:rsidRDefault="00473149" w:rsidP="00473149">
      <w:pPr>
        <w:pStyle w:val="TextosemFormatao"/>
      </w:pPr>
    </w:p>
    <w:p w:rsidR="00566468" w:rsidRPr="00F608EB" w:rsidRDefault="00B2379D" w:rsidP="00FC34B2">
      <w:pPr>
        <w:pStyle w:val="PargrafodaLista"/>
        <w:spacing w:before="0" w:after="240"/>
        <w:ind w:left="357" w:hanging="357"/>
        <w:rPr>
          <w:sz w:val="24"/>
          <w:szCs w:val="24"/>
        </w:rPr>
      </w:pPr>
      <w:bookmarkStart w:id="103" w:name="_Toc520405233"/>
      <w:r w:rsidRPr="00F608EB">
        <w:rPr>
          <w:sz w:val="24"/>
          <w:szCs w:val="24"/>
        </w:rPr>
        <w:t>CONCLUSÕES</w:t>
      </w:r>
      <w:bookmarkEnd w:id="103"/>
    </w:p>
    <w:p w:rsidR="00E0457B" w:rsidRPr="00C17639" w:rsidRDefault="00E0457B" w:rsidP="00756077">
      <w:pPr>
        <w:pStyle w:val="TextosemFormatao"/>
        <w:numPr>
          <w:ilvl w:val="1"/>
          <w:numId w:val="1"/>
        </w:numPr>
        <w:spacing w:after="120"/>
        <w:ind w:left="426" w:hanging="568"/>
        <w:jc w:val="both"/>
        <w:rPr>
          <w:rFonts w:ascii="Times New Roman" w:hAnsi="Times New Roman" w:cs="Times New Roman"/>
          <w:color w:val="000000" w:themeColor="text1"/>
          <w:sz w:val="24"/>
          <w:szCs w:val="24"/>
        </w:rPr>
      </w:pPr>
      <w:bookmarkStart w:id="104" w:name="_Toc469339942"/>
      <w:r w:rsidRPr="00C17639">
        <w:rPr>
          <w:rFonts w:ascii="Times New Roman" w:hAnsi="Times New Roman" w:cs="Times New Roman"/>
          <w:color w:val="000000" w:themeColor="text1"/>
          <w:sz w:val="24"/>
          <w:szCs w:val="24"/>
        </w:rPr>
        <w:t xml:space="preserve">O Planejamento da Força de Trabalho (PFT) consiste no conjunto de processos executados sistematicamente pela organização para avaliar as necessidades atuais e futuras da força de trabalho, em termos quantitativos e qualitativos, revelando-se </w:t>
      </w:r>
      <w:proofErr w:type="gramStart"/>
      <w:r w:rsidRPr="00C17639">
        <w:rPr>
          <w:rFonts w:ascii="Times New Roman" w:hAnsi="Times New Roman" w:cs="Times New Roman"/>
          <w:color w:val="000000" w:themeColor="text1"/>
          <w:sz w:val="24"/>
          <w:szCs w:val="24"/>
        </w:rPr>
        <w:t xml:space="preserve">imprescindível para a identificação </w:t>
      </w:r>
      <w:r w:rsidRPr="0012137D">
        <w:rPr>
          <w:rFonts w:ascii="Times New Roman" w:hAnsi="Times New Roman" w:cs="Times New Roman"/>
          <w:sz w:val="24"/>
          <w:szCs w:val="24"/>
        </w:rPr>
        <w:t xml:space="preserve">de </w:t>
      </w:r>
      <w:r w:rsidR="00756077" w:rsidRPr="0012137D">
        <w:rPr>
          <w:rFonts w:ascii="Times New Roman" w:hAnsi="Times New Roman" w:cs="Times New Roman"/>
          <w:i/>
          <w:sz w:val="24"/>
          <w:szCs w:val="24"/>
        </w:rPr>
        <w:t>déficit</w:t>
      </w:r>
      <w:r w:rsidR="00756077" w:rsidRPr="0012137D">
        <w:rPr>
          <w:rFonts w:ascii="Times New Roman" w:hAnsi="Times New Roman" w:cs="Times New Roman"/>
          <w:sz w:val="24"/>
          <w:szCs w:val="24"/>
        </w:rPr>
        <w:t xml:space="preserve"> de pessoal e/ou </w:t>
      </w:r>
      <w:r w:rsidRPr="00C17639">
        <w:rPr>
          <w:rFonts w:ascii="Times New Roman" w:hAnsi="Times New Roman" w:cs="Times New Roman"/>
          <w:color w:val="000000" w:themeColor="text1"/>
          <w:sz w:val="24"/>
          <w:szCs w:val="24"/>
        </w:rPr>
        <w:t>lacunas</w:t>
      </w:r>
      <w:proofErr w:type="gramEnd"/>
      <w:r w:rsidRPr="00C17639">
        <w:rPr>
          <w:rFonts w:ascii="Times New Roman" w:hAnsi="Times New Roman" w:cs="Times New Roman"/>
          <w:color w:val="000000" w:themeColor="text1"/>
          <w:sz w:val="24"/>
          <w:szCs w:val="24"/>
        </w:rPr>
        <w:t xml:space="preserve"> de competência</w:t>
      </w:r>
      <w:r w:rsidR="00756077">
        <w:rPr>
          <w:rFonts w:ascii="Times New Roman" w:hAnsi="Times New Roman" w:cs="Times New Roman"/>
          <w:color w:val="000000" w:themeColor="text1"/>
          <w:sz w:val="24"/>
          <w:szCs w:val="24"/>
        </w:rPr>
        <w:t>,</w:t>
      </w:r>
      <w:r w:rsidRPr="00756077">
        <w:rPr>
          <w:rFonts w:ascii="Times New Roman" w:hAnsi="Times New Roman" w:cs="Times New Roman"/>
          <w:strike/>
          <w:color w:val="FF0000"/>
          <w:sz w:val="24"/>
          <w:szCs w:val="24"/>
        </w:rPr>
        <w:t xml:space="preserve"> </w:t>
      </w:r>
      <w:r w:rsidRPr="00C17639">
        <w:rPr>
          <w:rFonts w:ascii="Times New Roman" w:hAnsi="Times New Roman" w:cs="Times New Roman"/>
          <w:color w:val="000000" w:themeColor="text1"/>
          <w:sz w:val="24"/>
          <w:szCs w:val="24"/>
        </w:rPr>
        <w:lastRenderedPageBreak/>
        <w:t xml:space="preserve">permitindo à organização desenvolver estratégias de gestão de pessoas </w:t>
      </w:r>
      <w:r w:rsidR="008A572D" w:rsidRPr="0012137D">
        <w:rPr>
          <w:rFonts w:ascii="Times New Roman" w:hAnsi="Times New Roman" w:cs="Times New Roman"/>
          <w:sz w:val="24"/>
          <w:szCs w:val="24"/>
        </w:rPr>
        <w:t xml:space="preserve">visando a </w:t>
      </w:r>
      <w:r w:rsidR="00756077" w:rsidRPr="0012137D">
        <w:rPr>
          <w:rFonts w:ascii="Times New Roman" w:hAnsi="Times New Roman" w:cs="Times New Roman"/>
          <w:sz w:val="24"/>
          <w:szCs w:val="24"/>
        </w:rPr>
        <w:t>assegura</w:t>
      </w:r>
      <w:r w:rsidR="008A572D" w:rsidRPr="0012137D">
        <w:rPr>
          <w:rFonts w:ascii="Times New Roman" w:hAnsi="Times New Roman" w:cs="Times New Roman"/>
          <w:sz w:val="24"/>
          <w:szCs w:val="24"/>
        </w:rPr>
        <w:t xml:space="preserve">r </w:t>
      </w:r>
      <w:r w:rsidR="00756077" w:rsidRPr="0012137D">
        <w:rPr>
          <w:rFonts w:ascii="Times New Roman" w:hAnsi="Times New Roman" w:cs="Times New Roman"/>
          <w:sz w:val="24"/>
          <w:szCs w:val="24"/>
        </w:rPr>
        <w:t xml:space="preserve">a força de trabalho necessária </w:t>
      </w:r>
      <w:r w:rsidR="00756077">
        <w:rPr>
          <w:rFonts w:ascii="Times New Roman" w:hAnsi="Times New Roman" w:cs="Times New Roman"/>
          <w:color w:val="000000" w:themeColor="text1"/>
          <w:sz w:val="24"/>
          <w:szCs w:val="24"/>
        </w:rPr>
        <w:t>a</w:t>
      </w:r>
      <w:r w:rsidRPr="00C17639">
        <w:rPr>
          <w:rFonts w:ascii="Times New Roman" w:hAnsi="Times New Roman" w:cs="Times New Roman"/>
          <w:color w:val="000000" w:themeColor="text1"/>
          <w:sz w:val="24"/>
          <w:szCs w:val="24"/>
        </w:rPr>
        <w:t>o alcance das metas organizacionais.</w:t>
      </w:r>
    </w:p>
    <w:p w:rsidR="00E0457B" w:rsidRPr="00B371BF" w:rsidRDefault="008A572D" w:rsidP="00756077">
      <w:pPr>
        <w:pStyle w:val="TextosemFormatao"/>
        <w:numPr>
          <w:ilvl w:val="1"/>
          <w:numId w:val="1"/>
        </w:numPr>
        <w:spacing w:after="120"/>
        <w:ind w:left="426" w:hanging="568"/>
        <w:jc w:val="both"/>
        <w:rPr>
          <w:rFonts w:ascii="Times New Roman" w:hAnsi="Times New Roman" w:cs="Times New Roman"/>
          <w:sz w:val="24"/>
          <w:szCs w:val="24"/>
        </w:rPr>
      </w:pPr>
      <w:r w:rsidRPr="0012137D">
        <w:rPr>
          <w:rFonts w:ascii="Times New Roman" w:hAnsi="Times New Roman" w:cs="Times New Roman"/>
          <w:sz w:val="24"/>
          <w:szCs w:val="24"/>
        </w:rPr>
        <w:t xml:space="preserve">No atual </w:t>
      </w:r>
      <w:r w:rsidR="00E0457B" w:rsidRPr="0012137D">
        <w:rPr>
          <w:rFonts w:ascii="Times New Roman" w:hAnsi="Times New Roman" w:cs="Times New Roman"/>
          <w:sz w:val="24"/>
          <w:szCs w:val="24"/>
        </w:rPr>
        <w:t>cenário</w:t>
      </w:r>
      <w:r w:rsidRPr="0012137D">
        <w:rPr>
          <w:rFonts w:ascii="Times New Roman" w:hAnsi="Times New Roman" w:cs="Times New Roman"/>
          <w:sz w:val="24"/>
          <w:szCs w:val="24"/>
        </w:rPr>
        <w:t xml:space="preserve"> de congelamento de gastos públicos com repercussão na realização de concursos ou provimento de cargos vagos,</w:t>
      </w:r>
      <w:r w:rsidR="00E0457B" w:rsidRPr="00756077">
        <w:rPr>
          <w:rFonts w:ascii="Times New Roman" w:hAnsi="Times New Roman" w:cs="Times New Roman"/>
          <w:color w:val="000000" w:themeColor="text1"/>
          <w:sz w:val="24"/>
          <w:szCs w:val="24"/>
        </w:rPr>
        <w:t xml:space="preserve"> o DFT destaca-se como ferramenta essencial </w:t>
      </w:r>
      <w:r w:rsidR="00756077">
        <w:rPr>
          <w:rFonts w:ascii="Times New Roman" w:hAnsi="Times New Roman" w:cs="Times New Roman"/>
          <w:color w:val="000000" w:themeColor="text1"/>
          <w:sz w:val="24"/>
          <w:szCs w:val="24"/>
        </w:rPr>
        <w:t>para a</w:t>
      </w:r>
      <w:r w:rsidR="00E0457B" w:rsidRPr="00756077">
        <w:rPr>
          <w:rFonts w:ascii="Times New Roman" w:hAnsi="Times New Roman" w:cs="Times New Roman"/>
          <w:color w:val="000000" w:themeColor="text1"/>
          <w:sz w:val="24"/>
          <w:szCs w:val="24"/>
        </w:rPr>
        <w:t xml:space="preserve"> coleta de informações precisas, relevantes e contínuas sobre o quantitativo e perfil ideal de servidores para cada unidade do Tribunal, de modo a evitar situações de risco que possam comprometer o desempenho organizacional, tais como falta de pessoal qualificado em áreas críticas e excesso de pessoal em outras. Ademais, tais informações revelam-se como insumos para planejamento e tomada de </w:t>
      </w:r>
      <w:r w:rsidR="00E0457B" w:rsidRPr="00B371BF">
        <w:rPr>
          <w:rFonts w:ascii="Times New Roman" w:hAnsi="Times New Roman" w:cs="Times New Roman"/>
          <w:sz w:val="24"/>
          <w:szCs w:val="24"/>
        </w:rPr>
        <w:t>decis</w:t>
      </w:r>
      <w:r w:rsidR="00756077" w:rsidRPr="00B371BF">
        <w:rPr>
          <w:rFonts w:ascii="Times New Roman" w:hAnsi="Times New Roman" w:cs="Times New Roman"/>
          <w:sz w:val="24"/>
          <w:szCs w:val="24"/>
        </w:rPr>
        <w:t>ão</w:t>
      </w:r>
      <w:r w:rsidR="00E0457B" w:rsidRPr="00B371BF">
        <w:rPr>
          <w:rFonts w:ascii="Times New Roman" w:hAnsi="Times New Roman" w:cs="Times New Roman"/>
          <w:sz w:val="24"/>
          <w:szCs w:val="24"/>
        </w:rPr>
        <w:t xml:space="preserve"> pela Alta Administração, visando ao aperfeiçoamento da governança e gestão de pessoas</w:t>
      </w:r>
      <w:r w:rsidR="00756077" w:rsidRPr="00B371BF">
        <w:rPr>
          <w:rFonts w:ascii="Times New Roman" w:hAnsi="Times New Roman" w:cs="Times New Roman"/>
          <w:sz w:val="24"/>
          <w:szCs w:val="24"/>
        </w:rPr>
        <w:t xml:space="preserve"> no âmbito organizacional.</w:t>
      </w:r>
    </w:p>
    <w:p w:rsidR="00E0457B" w:rsidRDefault="00E0457B" w:rsidP="00756077">
      <w:pPr>
        <w:pStyle w:val="TextosemFormatao"/>
        <w:numPr>
          <w:ilvl w:val="1"/>
          <w:numId w:val="1"/>
        </w:numPr>
        <w:spacing w:after="120"/>
        <w:ind w:left="426" w:hanging="568"/>
        <w:jc w:val="both"/>
        <w:rPr>
          <w:rFonts w:ascii="Times New Roman" w:hAnsi="Times New Roman" w:cs="Times New Roman"/>
          <w:color w:val="000000" w:themeColor="text1"/>
          <w:sz w:val="24"/>
          <w:szCs w:val="24"/>
        </w:rPr>
      </w:pPr>
      <w:r w:rsidRPr="00756077">
        <w:rPr>
          <w:rFonts w:ascii="Times New Roman" w:hAnsi="Times New Roman" w:cs="Times New Roman"/>
          <w:color w:val="000000" w:themeColor="text1"/>
          <w:sz w:val="24"/>
          <w:szCs w:val="24"/>
        </w:rPr>
        <w:t xml:space="preserve">Analisadas as fontes de informação selecionadas e interpretados os resultados dos testes aplicados ao longo </w:t>
      </w:r>
      <w:proofErr w:type="gramStart"/>
      <w:r w:rsidRPr="00756077">
        <w:rPr>
          <w:rFonts w:ascii="Times New Roman" w:hAnsi="Times New Roman" w:cs="Times New Roman"/>
          <w:color w:val="000000" w:themeColor="text1"/>
          <w:sz w:val="24"/>
          <w:szCs w:val="24"/>
        </w:rPr>
        <w:t>da presente</w:t>
      </w:r>
      <w:proofErr w:type="gramEnd"/>
      <w:r w:rsidRPr="00756077">
        <w:rPr>
          <w:rFonts w:ascii="Times New Roman" w:hAnsi="Times New Roman" w:cs="Times New Roman"/>
          <w:color w:val="000000" w:themeColor="text1"/>
          <w:sz w:val="24"/>
          <w:szCs w:val="24"/>
        </w:rPr>
        <w:t xml:space="preserve"> ação fiscalizatória, observadas questões de auditoria </w:t>
      </w:r>
      <w:r w:rsidR="008A572D" w:rsidRPr="00B371BF">
        <w:rPr>
          <w:rFonts w:ascii="Times New Roman" w:hAnsi="Times New Roman" w:cs="Times New Roman"/>
          <w:sz w:val="24"/>
          <w:szCs w:val="24"/>
        </w:rPr>
        <w:t>formuladas</w:t>
      </w:r>
      <w:r w:rsidRPr="00756077">
        <w:rPr>
          <w:rFonts w:ascii="Times New Roman" w:hAnsi="Times New Roman" w:cs="Times New Roman"/>
          <w:color w:val="000000" w:themeColor="text1"/>
          <w:sz w:val="24"/>
          <w:szCs w:val="24"/>
        </w:rPr>
        <w:t>, concluiu-se pela subsistência das seguintes fragilidades: parâmetros para priorização de unidades a serem dimensionadas dissociados da estratégia organizacional; deficiência de formalização de critérios referenciais e procedimentos para lotação inicial e movimentação de pessoal; inadequação do critério utilizado para lotação de servidores; ausência de mecanismos de monitoramento do DFT apurado; ausência de gerenciamento de riscos; deficiência de controles internos; tempo de duração de trabalhos de mapeamento/dimensionamento de unidades incompatível com cronograma estabelecido; deficiente implementação do gerenciamento do DFT; DFT inconsistente; movimentação de servidores em desconformidade com critérios convencionados ou normativamente estabelecidos; desalinhamento entre reestruturações administrativas e critérios convencionados ou normativamente estabelecidos; ausência de planejamento para fazer frente às lacunas de pessoal decorrentes de aposentadoria; e ausência de identificação, mapeamento de competências, bem como de plano de ação para formação de sucessores e reposição da força de trabalho associada a ocupações críticas.</w:t>
      </w:r>
    </w:p>
    <w:p w:rsidR="00E0457B" w:rsidRPr="005129A9" w:rsidRDefault="008B7449" w:rsidP="00756077">
      <w:pPr>
        <w:pStyle w:val="TextosemFormatao"/>
        <w:numPr>
          <w:ilvl w:val="1"/>
          <w:numId w:val="1"/>
        </w:numPr>
        <w:spacing w:after="120"/>
        <w:ind w:left="426" w:hanging="568"/>
        <w:jc w:val="both"/>
        <w:rPr>
          <w:rFonts w:ascii="Times New Roman" w:hAnsi="Times New Roman" w:cs="Times New Roman"/>
          <w:color w:val="0D0D0D" w:themeColor="text1" w:themeTint="F2"/>
          <w:sz w:val="24"/>
          <w:szCs w:val="24"/>
        </w:rPr>
      </w:pPr>
      <w:r w:rsidRPr="005129A9">
        <w:rPr>
          <w:rFonts w:ascii="Times New Roman" w:hAnsi="Times New Roman" w:cs="Times New Roman"/>
          <w:color w:val="0D0D0D" w:themeColor="text1" w:themeTint="F2"/>
          <w:sz w:val="24"/>
          <w:szCs w:val="24"/>
        </w:rPr>
        <w:t>Nesse sentido</w:t>
      </w:r>
      <w:r w:rsidR="00E0457B" w:rsidRPr="005129A9">
        <w:rPr>
          <w:rFonts w:ascii="Times New Roman" w:hAnsi="Times New Roman" w:cs="Times New Roman"/>
          <w:color w:val="0D0D0D" w:themeColor="text1" w:themeTint="F2"/>
          <w:sz w:val="24"/>
          <w:szCs w:val="24"/>
        </w:rPr>
        <w:t xml:space="preserve">, espera-se que os encaminhamentos propostos em seção delineada na sequência auxiliem a Alta Administração e </w:t>
      </w:r>
      <w:r w:rsidR="00A52E57" w:rsidRPr="005129A9">
        <w:rPr>
          <w:rFonts w:ascii="Times New Roman" w:hAnsi="Times New Roman" w:cs="Times New Roman"/>
          <w:color w:val="0D0D0D" w:themeColor="text1" w:themeTint="F2"/>
          <w:sz w:val="24"/>
          <w:szCs w:val="24"/>
        </w:rPr>
        <w:t>a SGP</w:t>
      </w:r>
      <w:r w:rsidR="00E0457B" w:rsidRPr="005129A9">
        <w:rPr>
          <w:rFonts w:ascii="Times New Roman" w:hAnsi="Times New Roman" w:cs="Times New Roman"/>
          <w:color w:val="0D0D0D" w:themeColor="text1" w:themeTint="F2"/>
          <w:sz w:val="24"/>
          <w:szCs w:val="24"/>
        </w:rPr>
        <w:t xml:space="preserve"> a sanear as fragilidades ora evidenciadas e ainda subsistentes, bem como a assegurar a realização, na prática, da</w:t>
      </w:r>
      <w:r w:rsidRPr="005129A9">
        <w:rPr>
          <w:rFonts w:ascii="Times New Roman" w:hAnsi="Times New Roman" w:cs="Times New Roman"/>
          <w:color w:val="0D0D0D" w:themeColor="text1" w:themeTint="F2"/>
          <w:sz w:val="24"/>
          <w:szCs w:val="24"/>
        </w:rPr>
        <w:t xml:space="preserve">s diretrizes </w:t>
      </w:r>
      <w:r w:rsidR="00BE3469" w:rsidRPr="005129A9">
        <w:rPr>
          <w:rFonts w:ascii="Times New Roman" w:hAnsi="Times New Roman" w:cs="Times New Roman"/>
          <w:color w:val="0D0D0D" w:themeColor="text1" w:themeTint="F2"/>
          <w:sz w:val="24"/>
          <w:szCs w:val="24"/>
        </w:rPr>
        <w:t xml:space="preserve">institucionais </w:t>
      </w:r>
      <w:r w:rsidR="00A52E57" w:rsidRPr="005129A9">
        <w:rPr>
          <w:rFonts w:ascii="Times New Roman" w:hAnsi="Times New Roman" w:cs="Times New Roman"/>
          <w:color w:val="0D0D0D" w:themeColor="text1" w:themeTint="F2"/>
          <w:sz w:val="24"/>
          <w:szCs w:val="24"/>
        </w:rPr>
        <w:t xml:space="preserve">afetas </w:t>
      </w:r>
      <w:r w:rsidR="00BE3469" w:rsidRPr="005129A9">
        <w:rPr>
          <w:rFonts w:ascii="Times New Roman" w:hAnsi="Times New Roman" w:cs="Times New Roman"/>
          <w:color w:val="0D0D0D" w:themeColor="text1" w:themeTint="F2"/>
          <w:sz w:val="24"/>
          <w:szCs w:val="24"/>
        </w:rPr>
        <w:t xml:space="preserve">à gestão de pessoas, de modo a viabilizar, por consequência, a concretização da </w:t>
      </w:r>
      <w:r w:rsidR="00E0457B" w:rsidRPr="005129A9">
        <w:rPr>
          <w:rFonts w:ascii="Times New Roman" w:hAnsi="Times New Roman" w:cs="Times New Roman"/>
          <w:color w:val="0D0D0D" w:themeColor="text1" w:themeTint="F2"/>
          <w:sz w:val="24"/>
          <w:szCs w:val="24"/>
        </w:rPr>
        <w:t xml:space="preserve">missão </w:t>
      </w:r>
      <w:r w:rsidR="00BE3469" w:rsidRPr="005129A9">
        <w:rPr>
          <w:rFonts w:ascii="Times New Roman" w:hAnsi="Times New Roman" w:cs="Times New Roman"/>
          <w:color w:val="0D0D0D" w:themeColor="text1" w:themeTint="F2"/>
          <w:sz w:val="24"/>
          <w:szCs w:val="24"/>
        </w:rPr>
        <w:t xml:space="preserve">e o alcance da visão de futuro </w:t>
      </w:r>
      <w:r w:rsidR="00E0457B" w:rsidRPr="005129A9">
        <w:rPr>
          <w:rFonts w:ascii="Times New Roman" w:hAnsi="Times New Roman" w:cs="Times New Roman"/>
          <w:color w:val="0D0D0D" w:themeColor="text1" w:themeTint="F2"/>
          <w:sz w:val="24"/>
          <w:szCs w:val="24"/>
        </w:rPr>
        <w:t>deste Regional.</w:t>
      </w:r>
    </w:p>
    <w:p w:rsidR="00EC46B1" w:rsidRPr="00F608EB" w:rsidRDefault="00EC46B1" w:rsidP="00C22113">
      <w:pPr>
        <w:pStyle w:val="PargrafodaLista"/>
        <w:spacing w:after="240"/>
        <w:ind w:left="357" w:hanging="357"/>
        <w:rPr>
          <w:sz w:val="24"/>
          <w:szCs w:val="24"/>
        </w:rPr>
      </w:pPr>
      <w:bookmarkStart w:id="105" w:name="_Toc520405234"/>
      <w:r w:rsidRPr="00F608EB">
        <w:rPr>
          <w:sz w:val="24"/>
          <w:szCs w:val="24"/>
        </w:rPr>
        <w:t>PROPOSTAS DE ENCAMINHAMENTO</w:t>
      </w:r>
      <w:bookmarkEnd w:id="104"/>
      <w:bookmarkEnd w:id="105"/>
    </w:p>
    <w:p w:rsidR="009E794C" w:rsidRDefault="00EC46B1" w:rsidP="00756077">
      <w:pPr>
        <w:pStyle w:val="TextosemFormatao"/>
        <w:numPr>
          <w:ilvl w:val="1"/>
          <w:numId w:val="1"/>
        </w:numPr>
        <w:spacing w:after="120"/>
        <w:ind w:left="426" w:hanging="568"/>
        <w:jc w:val="both"/>
        <w:rPr>
          <w:rFonts w:ascii="Times New Roman" w:hAnsi="Times New Roman" w:cs="Times New Roman"/>
          <w:color w:val="000000" w:themeColor="text1"/>
          <w:sz w:val="24"/>
          <w:szCs w:val="24"/>
        </w:rPr>
      </w:pPr>
      <w:r w:rsidRPr="00756077">
        <w:rPr>
          <w:rFonts w:ascii="Times New Roman" w:hAnsi="Times New Roman" w:cs="Times New Roman"/>
          <w:color w:val="000000" w:themeColor="text1"/>
          <w:sz w:val="24"/>
          <w:szCs w:val="24"/>
        </w:rPr>
        <w:t xml:space="preserve">No tocante às vulnerabilidades evidenciadas no item </w:t>
      </w:r>
      <w:proofErr w:type="gramStart"/>
      <w:r w:rsidRPr="00756077">
        <w:rPr>
          <w:rFonts w:ascii="Times New Roman" w:hAnsi="Times New Roman" w:cs="Times New Roman"/>
          <w:color w:val="000000" w:themeColor="text1"/>
          <w:sz w:val="24"/>
          <w:szCs w:val="24"/>
        </w:rPr>
        <w:t>2</w:t>
      </w:r>
      <w:proofErr w:type="gramEnd"/>
      <w:r w:rsidRPr="00756077">
        <w:rPr>
          <w:rFonts w:ascii="Times New Roman" w:hAnsi="Times New Roman" w:cs="Times New Roman"/>
          <w:color w:val="000000" w:themeColor="text1"/>
          <w:sz w:val="24"/>
          <w:szCs w:val="24"/>
        </w:rPr>
        <w:t>, submete-se ao exame superior, visando posterior apreciação pela Presidência desta Casa, as seguintes propostas de encaminhamento:</w:t>
      </w:r>
    </w:p>
    <w:p w:rsidR="00A964F4" w:rsidRPr="00756077" w:rsidRDefault="005C15F3" w:rsidP="00756077">
      <w:pPr>
        <w:pStyle w:val="TextosemFormatao"/>
        <w:numPr>
          <w:ilvl w:val="2"/>
          <w:numId w:val="1"/>
        </w:numPr>
        <w:spacing w:after="120"/>
        <w:ind w:hanging="862"/>
        <w:jc w:val="both"/>
        <w:rPr>
          <w:rFonts w:ascii="Times New Roman" w:hAnsi="Times New Roman" w:cs="Times New Roman"/>
          <w:color w:val="000000" w:themeColor="text1"/>
          <w:sz w:val="24"/>
          <w:szCs w:val="24"/>
        </w:rPr>
      </w:pPr>
      <w:r w:rsidRPr="00756077">
        <w:rPr>
          <w:rFonts w:ascii="Times New Roman" w:hAnsi="Times New Roman" w:cs="Times New Roman"/>
          <w:sz w:val="24"/>
          <w:szCs w:val="24"/>
        </w:rPr>
        <w:t>Recomendar à SGP que</w:t>
      </w:r>
      <w:r w:rsidR="004956FF" w:rsidRPr="00756077">
        <w:rPr>
          <w:rFonts w:ascii="Times New Roman" w:hAnsi="Times New Roman" w:cs="Times New Roman"/>
          <w:sz w:val="24"/>
          <w:szCs w:val="24"/>
        </w:rPr>
        <w:t>, o</w:t>
      </w:r>
      <w:r w:rsidRPr="00756077">
        <w:rPr>
          <w:rFonts w:ascii="Times New Roman" w:hAnsi="Times New Roman" w:cs="Times New Roman"/>
          <w:sz w:val="24"/>
          <w:szCs w:val="24"/>
        </w:rPr>
        <w:t xml:space="preserve">bservado o prazo de 90 dias, realize estudos e apresente proposta à Presidência e Diretoria-Geral contemplando medidas destinadas a contornar a reduzida capacidade operacional da unidade de modo a assegurar o dimensionamento da força de trabalho de todas as unidades administrativas e judiciárias do TRE-BA, preferencialmente, na primeira metade do ciclo do planejamento estratégico de referência, a exemplo de: formalização de critérios que assegurem dimensionamento prioritário às unidades responsáveis pelo cumprimento de maior número de objetivos e metas organizacionais ou desenvolvimento de atividades finalísticas; racionalização de procedimentos; normatização do processo de trabalho e </w:t>
      </w:r>
      <w:proofErr w:type="spellStart"/>
      <w:r w:rsidRPr="00756077">
        <w:rPr>
          <w:rFonts w:ascii="Times New Roman" w:hAnsi="Times New Roman" w:cs="Times New Roman"/>
          <w:sz w:val="24"/>
          <w:szCs w:val="24"/>
        </w:rPr>
        <w:t>manualização</w:t>
      </w:r>
      <w:proofErr w:type="spellEnd"/>
      <w:r w:rsidRPr="00756077">
        <w:rPr>
          <w:rFonts w:ascii="Times New Roman" w:hAnsi="Times New Roman" w:cs="Times New Roman"/>
          <w:sz w:val="24"/>
          <w:szCs w:val="24"/>
        </w:rPr>
        <w:t xml:space="preserve"> de rotinas e procedimentos; incremento do quadro de pessoal </w:t>
      </w:r>
      <w:proofErr w:type="gramStart"/>
      <w:r w:rsidRPr="00756077">
        <w:rPr>
          <w:rFonts w:ascii="Times New Roman" w:hAnsi="Times New Roman" w:cs="Times New Roman"/>
          <w:sz w:val="24"/>
          <w:szCs w:val="24"/>
        </w:rPr>
        <w:lastRenderedPageBreak/>
        <w:t>da SEDES</w:t>
      </w:r>
      <w:proofErr w:type="gramEnd"/>
      <w:r w:rsidRPr="00756077">
        <w:rPr>
          <w:rFonts w:ascii="Times New Roman" w:hAnsi="Times New Roman" w:cs="Times New Roman"/>
          <w:sz w:val="24"/>
          <w:szCs w:val="24"/>
        </w:rPr>
        <w:t>; e/ou aporte de capacitação dos servidores envolvidos com a execução da atividade</w:t>
      </w:r>
      <w:r w:rsidR="00E0038F" w:rsidRPr="00756077">
        <w:rPr>
          <w:rFonts w:ascii="Times New Roman" w:hAnsi="Times New Roman" w:cs="Times New Roman"/>
          <w:sz w:val="24"/>
          <w:szCs w:val="24"/>
        </w:rPr>
        <w:t xml:space="preserve"> (Ref. subite</w:t>
      </w:r>
      <w:r w:rsidR="005E53EC" w:rsidRPr="00756077">
        <w:rPr>
          <w:rFonts w:ascii="Times New Roman" w:hAnsi="Times New Roman" w:cs="Times New Roman"/>
          <w:sz w:val="24"/>
          <w:szCs w:val="24"/>
        </w:rPr>
        <w:t>ns</w:t>
      </w:r>
      <w:r w:rsidR="00E0038F" w:rsidRPr="00756077">
        <w:rPr>
          <w:rFonts w:ascii="Times New Roman" w:hAnsi="Times New Roman" w:cs="Times New Roman"/>
          <w:sz w:val="24"/>
          <w:szCs w:val="24"/>
        </w:rPr>
        <w:t xml:space="preserve"> </w:t>
      </w:r>
      <w:r w:rsidR="001A6404" w:rsidRPr="00756077">
        <w:rPr>
          <w:rFonts w:ascii="Times New Roman" w:hAnsi="Times New Roman" w:cs="Times New Roman"/>
          <w:sz w:val="24"/>
          <w:szCs w:val="24"/>
        </w:rPr>
        <w:t>8.1.1</w:t>
      </w:r>
      <w:r w:rsidR="00B371BF">
        <w:rPr>
          <w:rFonts w:ascii="Times New Roman" w:hAnsi="Times New Roman" w:cs="Times New Roman"/>
          <w:sz w:val="24"/>
          <w:szCs w:val="24"/>
        </w:rPr>
        <w:t xml:space="preserve"> </w:t>
      </w:r>
      <w:r w:rsidR="008A722E" w:rsidRPr="00756077">
        <w:rPr>
          <w:rFonts w:ascii="Times New Roman" w:hAnsi="Times New Roman" w:cs="Times New Roman"/>
          <w:sz w:val="24"/>
          <w:szCs w:val="24"/>
        </w:rPr>
        <w:t>e 8.1.7)</w:t>
      </w:r>
      <w:r w:rsidR="00756077">
        <w:rPr>
          <w:rFonts w:ascii="Times New Roman" w:hAnsi="Times New Roman" w:cs="Times New Roman"/>
          <w:sz w:val="24"/>
          <w:szCs w:val="24"/>
        </w:rPr>
        <w:t>;</w:t>
      </w:r>
    </w:p>
    <w:p w:rsidR="007D4D69" w:rsidRPr="007D4D69" w:rsidRDefault="007D4D69" w:rsidP="00756077">
      <w:pPr>
        <w:pStyle w:val="TextosemFormatao"/>
        <w:numPr>
          <w:ilvl w:val="2"/>
          <w:numId w:val="1"/>
        </w:numPr>
        <w:spacing w:after="120"/>
        <w:ind w:hanging="862"/>
        <w:jc w:val="both"/>
        <w:rPr>
          <w:rFonts w:ascii="Times New Roman" w:hAnsi="Times New Roman" w:cs="Times New Roman"/>
          <w:sz w:val="24"/>
          <w:szCs w:val="24"/>
        </w:rPr>
      </w:pPr>
      <w:r w:rsidRPr="007D4D69">
        <w:rPr>
          <w:rFonts w:ascii="Times New Roman" w:hAnsi="Times New Roman" w:cs="Times New Roman"/>
          <w:sz w:val="24"/>
          <w:szCs w:val="24"/>
        </w:rPr>
        <w:t xml:space="preserve">Recomendar à SGP que, observado o prazo de </w:t>
      </w:r>
      <w:r w:rsidR="00927D02">
        <w:rPr>
          <w:rFonts w:ascii="Times New Roman" w:hAnsi="Times New Roman" w:cs="Times New Roman"/>
          <w:sz w:val="24"/>
          <w:szCs w:val="24"/>
        </w:rPr>
        <w:t>12</w:t>
      </w:r>
      <w:r w:rsidRPr="007D4D69">
        <w:rPr>
          <w:rFonts w:ascii="Times New Roman" w:hAnsi="Times New Roman" w:cs="Times New Roman"/>
          <w:sz w:val="24"/>
          <w:szCs w:val="24"/>
        </w:rPr>
        <w:t>0 dias, submeta à apreciação da Presidência minuta de normativo destinado a regulamentar a distribuição e equalização da força de trabalho, no âmbito da Secretaria do Tribunal e Cartórios das Zonas Eleitorais, contemplando, inclusive, critérios referenciais ideais atinentes ao perfil quantitativo e qualitativo da força de trabalho, observados:</w:t>
      </w:r>
    </w:p>
    <w:p w:rsidR="00414CA7" w:rsidRDefault="007D4D69" w:rsidP="00414CA7">
      <w:pPr>
        <w:numPr>
          <w:ilvl w:val="4"/>
          <w:numId w:val="16"/>
        </w:numPr>
        <w:spacing w:after="0" w:line="240" w:lineRule="auto"/>
        <w:ind w:hanging="371"/>
        <w:jc w:val="both"/>
        <w:rPr>
          <w:rFonts w:ascii="Times New Roman" w:hAnsi="Times New Roman" w:cs="Times New Roman"/>
          <w:sz w:val="24"/>
          <w:szCs w:val="24"/>
        </w:rPr>
      </w:pPr>
      <w:proofErr w:type="gramStart"/>
      <w:r w:rsidRPr="00414CA7">
        <w:rPr>
          <w:rFonts w:ascii="Times New Roman" w:hAnsi="Times New Roman" w:cs="Times New Roman"/>
          <w:sz w:val="24"/>
          <w:szCs w:val="24"/>
        </w:rPr>
        <w:t>referenciais</w:t>
      </w:r>
      <w:proofErr w:type="gramEnd"/>
      <w:r w:rsidRPr="00414CA7">
        <w:rPr>
          <w:rFonts w:ascii="Times New Roman" w:hAnsi="Times New Roman" w:cs="Times New Roman"/>
          <w:sz w:val="24"/>
          <w:szCs w:val="24"/>
        </w:rPr>
        <w:t xml:space="preserve"> de força de trabalho normatizados;</w:t>
      </w:r>
      <w:r w:rsidR="00414CA7" w:rsidRPr="00414CA7">
        <w:rPr>
          <w:rFonts w:ascii="Times New Roman" w:hAnsi="Times New Roman" w:cs="Times New Roman"/>
          <w:sz w:val="24"/>
          <w:szCs w:val="24"/>
        </w:rPr>
        <w:t xml:space="preserve"> </w:t>
      </w:r>
    </w:p>
    <w:p w:rsidR="007D4D69" w:rsidRPr="00414CA7" w:rsidRDefault="007D4D69" w:rsidP="00414CA7">
      <w:pPr>
        <w:numPr>
          <w:ilvl w:val="4"/>
          <w:numId w:val="16"/>
        </w:numPr>
        <w:spacing w:after="0" w:line="240" w:lineRule="auto"/>
        <w:ind w:hanging="371"/>
        <w:jc w:val="both"/>
        <w:rPr>
          <w:rFonts w:ascii="Times New Roman" w:hAnsi="Times New Roman" w:cs="Times New Roman"/>
          <w:sz w:val="24"/>
          <w:szCs w:val="24"/>
        </w:rPr>
      </w:pPr>
      <w:proofErr w:type="gramStart"/>
      <w:r w:rsidRPr="00414CA7">
        <w:rPr>
          <w:rFonts w:ascii="Times New Roman" w:hAnsi="Times New Roman" w:cs="Times New Roman"/>
          <w:sz w:val="24"/>
          <w:szCs w:val="24"/>
        </w:rPr>
        <w:t>diversidade</w:t>
      </w:r>
      <w:proofErr w:type="gramEnd"/>
      <w:r w:rsidRPr="00414CA7">
        <w:rPr>
          <w:rFonts w:ascii="Times New Roman" w:hAnsi="Times New Roman" w:cs="Times New Roman"/>
          <w:sz w:val="24"/>
          <w:szCs w:val="24"/>
        </w:rPr>
        <w:t xml:space="preserve"> de cenários existentes (unidades com e sem DFT apurado);</w:t>
      </w:r>
    </w:p>
    <w:p w:rsidR="007D4D69" w:rsidRPr="004956FF" w:rsidRDefault="007D4D69" w:rsidP="00414CA7">
      <w:pPr>
        <w:numPr>
          <w:ilvl w:val="4"/>
          <w:numId w:val="16"/>
        </w:numPr>
        <w:spacing w:after="0" w:line="240" w:lineRule="auto"/>
        <w:ind w:hanging="371"/>
        <w:jc w:val="both"/>
        <w:rPr>
          <w:rFonts w:ascii="Times New Roman" w:hAnsi="Times New Roman" w:cs="Times New Roman"/>
          <w:sz w:val="24"/>
          <w:szCs w:val="24"/>
        </w:rPr>
      </w:pPr>
      <w:proofErr w:type="gramStart"/>
      <w:r w:rsidRPr="00867C75">
        <w:rPr>
          <w:rFonts w:ascii="Times New Roman" w:hAnsi="Times New Roman" w:cs="Times New Roman"/>
          <w:sz w:val="24"/>
          <w:szCs w:val="24"/>
        </w:rPr>
        <w:t>diretriz</w:t>
      </w:r>
      <w:proofErr w:type="gramEnd"/>
      <w:r w:rsidRPr="00867C75">
        <w:rPr>
          <w:rFonts w:ascii="Times New Roman" w:hAnsi="Times New Roman" w:cs="Times New Roman"/>
          <w:sz w:val="24"/>
          <w:szCs w:val="24"/>
        </w:rPr>
        <w:t xml:space="preserve"> para mitigação ou equalização de déficit de pessoal apurado, a exemplo de: deslocamento ou transformação de cargos vagos; redistribuição de cargo vago com cargo provido com perfil de atribuições demandado pelo Tribunal; equalização de déficit de forma nivelada; e mitigação  em maior grau, em áreas estratégicas</w:t>
      </w:r>
      <w:r w:rsidR="00414CA7">
        <w:rPr>
          <w:rFonts w:ascii="Times New Roman" w:hAnsi="Times New Roman" w:cs="Times New Roman"/>
          <w:sz w:val="24"/>
          <w:szCs w:val="24"/>
        </w:rPr>
        <w:t xml:space="preserve"> </w:t>
      </w:r>
      <w:r w:rsidR="0012743B" w:rsidRPr="00867C75">
        <w:rPr>
          <w:rFonts w:ascii="Times New Roman" w:hAnsi="Times New Roman" w:cs="Times New Roman"/>
          <w:sz w:val="24"/>
          <w:szCs w:val="24"/>
        </w:rPr>
        <w:t>(Ref. subite</w:t>
      </w:r>
      <w:r w:rsidR="005E53EC">
        <w:rPr>
          <w:rFonts w:ascii="Times New Roman" w:hAnsi="Times New Roman" w:cs="Times New Roman"/>
          <w:sz w:val="24"/>
          <w:szCs w:val="24"/>
        </w:rPr>
        <w:t>ns</w:t>
      </w:r>
      <w:r w:rsidR="0012743B" w:rsidRPr="00867C75">
        <w:rPr>
          <w:rFonts w:ascii="Times New Roman" w:hAnsi="Times New Roman" w:cs="Times New Roman"/>
          <w:sz w:val="24"/>
          <w:szCs w:val="24"/>
        </w:rPr>
        <w:t xml:space="preserve"> </w:t>
      </w:r>
      <w:r w:rsidR="001A6404" w:rsidRPr="00867C75">
        <w:rPr>
          <w:rFonts w:ascii="Times New Roman" w:hAnsi="Times New Roman" w:cs="Times New Roman"/>
          <w:sz w:val="24"/>
          <w:szCs w:val="24"/>
        </w:rPr>
        <w:t>8.1.2</w:t>
      </w:r>
      <w:r w:rsidR="005E53EC">
        <w:rPr>
          <w:rFonts w:ascii="Times New Roman" w:hAnsi="Times New Roman" w:cs="Times New Roman"/>
          <w:sz w:val="24"/>
          <w:szCs w:val="24"/>
        </w:rPr>
        <w:t xml:space="preserve">; </w:t>
      </w:r>
      <w:r w:rsidR="001A6404" w:rsidRPr="004956FF">
        <w:rPr>
          <w:rFonts w:ascii="Times New Roman" w:hAnsi="Times New Roman" w:cs="Times New Roman"/>
          <w:sz w:val="24"/>
          <w:szCs w:val="24"/>
        </w:rPr>
        <w:t>8.1.3</w:t>
      </w:r>
      <w:r w:rsidR="005E53EC">
        <w:rPr>
          <w:rFonts w:ascii="Times New Roman" w:hAnsi="Times New Roman" w:cs="Times New Roman"/>
          <w:sz w:val="24"/>
          <w:szCs w:val="24"/>
        </w:rPr>
        <w:t>e</w:t>
      </w:r>
      <w:r w:rsidR="00414CA7" w:rsidRPr="00414CA7">
        <w:rPr>
          <w:rFonts w:ascii="Times New Roman" w:hAnsi="Times New Roman" w:cs="Times New Roman"/>
          <w:sz w:val="24"/>
          <w:szCs w:val="24"/>
        </w:rPr>
        <w:t xml:space="preserve"> 8.1.10)</w:t>
      </w:r>
      <w:r w:rsidR="00BE3469">
        <w:rPr>
          <w:rFonts w:ascii="Times New Roman" w:hAnsi="Times New Roman" w:cs="Times New Roman"/>
          <w:sz w:val="24"/>
          <w:szCs w:val="24"/>
        </w:rPr>
        <w:t>.</w:t>
      </w:r>
    </w:p>
    <w:p w:rsidR="007D4D69" w:rsidRPr="00F608EB" w:rsidRDefault="007D4D69" w:rsidP="00756077">
      <w:pPr>
        <w:pStyle w:val="TextosemFormatao"/>
        <w:numPr>
          <w:ilvl w:val="2"/>
          <w:numId w:val="1"/>
        </w:numPr>
        <w:spacing w:after="120"/>
        <w:ind w:hanging="862"/>
        <w:jc w:val="both"/>
        <w:rPr>
          <w:rFonts w:ascii="Times New Roman" w:hAnsi="Times New Roman" w:cs="Times New Roman"/>
          <w:sz w:val="24"/>
          <w:szCs w:val="24"/>
        </w:rPr>
      </w:pPr>
      <w:r w:rsidRPr="00933F6E">
        <w:rPr>
          <w:rFonts w:ascii="Times New Roman" w:hAnsi="Times New Roman" w:cs="Times New Roman"/>
          <w:sz w:val="24"/>
          <w:szCs w:val="24"/>
        </w:rPr>
        <w:t xml:space="preserve">Recomendar à SGP que, observado o prazo de 60 dias, institua e </w:t>
      </w:r>
      <w:proofErr w:type="gramStart"/>
      <w:r w:rsidRPr="00933F6E">
        <w:rPr>
          <w:rFonts w:ascii="Times New Roman" w:hAnsi="Times New Roman" w:cs="Times New Roman"/>
          <w:sz w:val="24"/>
          <w:szCs w:val="24"/>
        </w:rPr>
        <w:t>implemente</w:t>
      </w:r>
      <w:proofErr w:type="gramEnd"/>
      <w:r w:rsidRPr="00933F6E">
        <w:rPr>
          <w:rFonts w:ascii="Times New Roman" w:hAnsi="Times New Roman" w:cs="Times New Roman"/>
          <w:sz w:val="24"/>
          <w:szCs w:val="24"/>
        </w:rPr>
        <w:t xml:space="preserve"> mecanismos de monitoramento periódico do DFT apurado e respectivas recomendações formuladas, de modo a instrumentalizar a gestão da força de trabalho organizacional por meio do fornecimento de informações gerenciais íntegras, tempestivas e atualizadas</w:t>
      </w:r>
      <w:r w:rsidR="0012743B">
        <w:rPr>
          <w:rFonts w:ascii="Times New Roman" w:hAnsi="Times New Roman" w:cs="Times New Roman"/>
          <w:sz w:val="24"/>
          <w:szCs w:val="24"/>
        </w:rPr>
        <w:t xml:space="preserve"> </w:t>
      </w:r>
      <w:r w:rsidR="0012743B" w:rsidRPr="001A6404">
        <w:rPr>
          <w:rFonts w:ascii="Times New Roman" w:hAnsi="Times New Roman" w:cs="Times New Roman"/>
          <w:sz w:val="24"/>
          <w:szCs w:val="24"/>
        </w:rPr>
        <w:t xml:space="preserve">(Ref. subitem </w:t>
      </w:r>
      <w:r w:rsidR="001A6404" w:rsidRPr="001A6404">
        <w:rPr>
          <w:rFonts w:ascii="Times New Roman" w:hAnsi="Times New Roman" w:cs="Times New Roman"/>
          <w:sz w:val="24"/>
          <w:szCs w:val="24"/>
        </w:rPr>
        <w:t>8.1.4</w:t>
      </w:r>
      <w:r w:rsidR="0012743B" w:rsidRPr="001A6404">
        <w:rPr>
          <w:rFonts w:ascii="Times New Roman" w:hAnsi="Times New Roman" w:cs="Times New Roman"/>
          <w:sz w:val="24"/>
          <w:szCs w:val="24"/>
        </w:rPr>
        <w:t>);</w:t>
      </w:r>
    </w:p>
    <w:p w:rsidR="001E49FB" w:rsidRDefault="001E49FB" w:rsidP="00756077">
      <w:pPr>
        <w:pStyle w:val="TextosemFormatao"/>
        <w:numPr>
          <w:ilvl w:val="2"/>
          <w:numId w:val="1"/>
        </w:numPr>
        <w:spacing w:after="120"/>
        <w:ind w:hanging="862"/>
        <w:jc w:val="both"/>
        <w:rPr>
          <w:rFonts w:ascii="Times New Roman" w:hAnsi="Times New Roman" w:cs="Times New Roman"/>
          <w:sz w:val="24"/>
          <w:szCs w:val="24"/>
        </w:rPr>
      </w:pPr>
      <w:r w:rsidRPr="000D0CAF">
        <w:rPr>
          <w:rFonts w:ascii="Times New Roman" w:hAnsi="Times New Roman" w:cs="Times New Roman"/>
          <w:sz w:val="24"/>
          <w:szCs w:val="24"/>
        </w:rPr>
        <w:t xml:space="preserve">Recomendar à SGP que, observado o prazo de 120 dias, contados da publicação do Manual de Gestão de Riscos organizacional, proceda à elaboração do Plano de Tratamento de Riscos a que se refere o art. 23 da Resolução Administrativa TRE-BA nº 16/2018, contemplando riscos associados ao processo de dimensionamento da força de trabalho, </w:t>
      </w:r>
      <w:r w:rsidR="008A722E" w:rsidRPr="00F20F54">
        <w:rPr>
          <w:rFonts w:ascii="Times New Roman" w:hAnsi="Times New Roman" w:cs="Times New Roman"/>
          <w:sz w:val="24"/>
          <w:szCs w:val="24"/>
        </w:rPr>
        <w:t xml:space="preserve">assegurando sua efetiva </w:t>
      </w:r>
      <w:proofErr w:type="gramStart"/>
      <w:r w:rsidR="008A722E" w:rsidRPr="00F20F54">
        <w:rPr>
          <w:rFonts w:ascii="Times New Roman" w:hAnsi="Times New Roman" w:cs="Times New Roman"/>
          <w:sz w:val="24"/>
          <w:szCs w:val="24"/>
        </w:rPr>
        <w:t>implementação</w:t>
      </w:r>
      <w:proofErr w:type="gramEnd"/>
      <w:r w:rsidR="0012743B" w:rsidRPr="008A722E">
        <w:rPr>
          <w:rFonts w:ascii="Times New Roman" w:hAnsi="Times New Roman" w:cs="Times New Roman"/>
          <w:sz w:val="24"/>
          <w:szCs w:val="24"/>
        </w:rPr>
        <w:t xml:space="preserve"> </w:t>
      </w:r>
      <w:r w:rsidR="0012743B" w:rsidRPr="001A6404">
        <w:rPr>
          <w:rFonts w:ascii="Times New Roman" w:hAnsi="Times New Roman" w:cs="Times New Roman"/>
          <w:sz w:val="24"/>
          <w:szCs w:val="24"/>
        </w:rPr>
        <w:t>(Ref. subite</w:t>
      </w:r>
      <w:r w:rsidR="005E53EC">
        <w:rPr>
          <w:rFonts w:ascii="Times New Roman" w:hAnsi="Times New Roman" w:cs="Times New Roman"/>
          <w:sz w:val="24"/>
          <w:szCs w:val="24"/>
        </w:rPr>
        <w:t>ns</w:t>
      </w:r>
      <w:r w:rsidR="0012743B" w:rsidRPr="001A6404">
        <w:rPr>
          <w:rFonts w:ascii="Times New Roman" w:hAnsi="Times New Roman" w:cs="Times New Roman"/>
          <w:sz w:val="24"/>
          <w:szCs w:val="24"/>
        </w:rPr>
        <w:t xml:space="preserve"> </w:t>
      </w:r>
      <w:r w:rsidR="001A6404" w:rsidRPr="001A6404">
        <w:rPr>
          <w:rFonts w:ascii="Times New Roman" w:hAnsi="Times New Roman" w:cs="Times New Roman"/>
          <w:sz w:val="24"/>
          <w:szCs w:val="24"/>
        </w:rPr>
        <w:t>8.1.5</w:t>
      </w:r>
      <w:r w:rsidR="00F20F54">
        <w:rPr>
          <w:rFonts w:ascii="Times New Roman" w:hAnsi="Times New Roman" w:cs="Times New Roman"/>
          <w:sz w:val="24"/>
          <w:szCs w:val="24"/>
        </w:rPr>
        <w:t xml:space="preserve"> </w:t>
      </w:r>
      <w:r w:rsidR="008A722E">
        <w:rPr>
          <w:rFonts w:ascii="Times New Roman" w:hAnsi="Times New Roman" w:cs="Times New Roman"/>
          <w:sz w:val="24"/>
          <w:szCs w:val="24"/>
        </w:rPr>
        <w:t xml:space="preserve">e </w:t>
      </w:r>
      <w:r w:rsidR="008A722E" w:rsidRPr="001A6404">
        <w:rPr>
          <w:rFonts w:ascii="Times New Roman" w:hAnsi="Times New Roman" w:cs="Times New Roman"/>
          <w:sz w:val="24"/>
          <w:szCs w:val="24"/>
        </w:rPr>
        <w:t>8.1.6)</w:t>
      </w:r>
      <w:r w:rsidR="00756077">
        <w:rPr>
          <w:rFonts w:ascii="Times New Roman" w:hAnsi="Times New Roman" w:cs="Times New Roman"/>
          <w:sz w:val="24"/>
          <w:szCs w:val="24"/>
        </w:rPr>
        <w:t>;</w:t>
      </w:r>
    </w:p>
    <w:p w:rsidR="00917565" w:rsidRPr="00756077" w:rsidRDefault="00917565" w:rsidP="00756077">
      <w:pPr>
        <w:pStyle w:val="TextosemFormatao"/>
        <w:numPr>
          <w:ilvl w:val="2"/>
          <w:numId w:val="1"/>
        </w:numPr>
        <w:spacing w:after="120"/>
        <w:ind w:hanging="862"/>
        <w:jc w:val="both"/>
        <w:rPr>
          <w:rFonts w:ascii="Times New Roman" w:hAnsi="Times New Roman" w:cs="Times New Roman"/>
          <w:sz w:val="24"/>
          <w:szCs w:val="24"/>
        </w:rPr>
      </w:pPr>
      <w:r w:rsidRPr="00756077">
        <w:rPr>
          <w:rFonts w:ascii="Times New Roman" w:hAnsi="Times New Roman" w:cs="Times New Roman"/>
          <w:sz w:val="24"/>
          <w:szCs w:val="24"/>
        </w:rPr>
        <w:t>Recomendar à SGP que, observado o prazo de 120 dias, documente a metodologia utilizada na realização do dimensionamento da força de trabalho, de modo a padronizar procedimentos e modelos pertinentes e formalizar controles instituídos</w:t>
      </w:r>
      <w:r w:rsidR="0012743B" w:rsidRPr="00756077">
        <w:rPr>
          <w:rFonts w:ascii="Times New Roman" w:hAnsi="Times New Roman" w:cs="Times New Roman"/>
          <w:sz w:val="24"/>
          <w:szCs w:val="24"/>
        </w:rPr>
        <w:t xml:space="preserve"> (Ref. subite</w:t>
      </w:r>
      <w:r w:rsidR="005E53EC" w:rsidRPr="00756077">
        <w:rPr>
          <w:rFonts w:ascii="Times New Roman" w:hAnsi="Times New Roman" w:cs="Times New Roman"/>
          <w:sz w:val="24"/>
          <w:szCs w:val="24"/>
        </w:rPr>
        <w:t>ns</w:t>
      </w:r>
      <w:r w:rsidR="0012743B" w:rsidRPr="00756077">
        <w:rPr>
          <w:rFonts w:ascii="Times New Roman" w:hAnsi="Times New Roman" w:cs="Times New Roman"/>
          <w:sz w:val="24"/>
          <w:szCs w:val="24"/>
        </w:rPr>
        <w:t xml:space="preserve"> </w:t>
      </w:r>
      <w:r w:rsidR="001A6404" w:rsidRPr="00756077">
        <w:rPr>
          <w:rFonts w:ascii="Times New Roman" w:hAnsi="Times New Roman" w:cs="Times New Roman"/>
          <w:sz w:val="24"/>
          <w:szCs w:val="24"/>
        </w:rPr>
        <w:t>8.1.6</w:t>
      </w:r>
      <w:r w:rsidR="00F20F54">
        <w:rPr>
          <w:rFonts w:ascii="Times New Roman" w:hAnsi="Times New Roman" w:cs="Times New Roman"/>
          <w:sz w:val="24"/>
          <w:szCs w:val="24"/>
        </w:rPr>
        <w:t xml:space="preserve"> </w:t>
      </w:r>
      <w:r w:rsidR="008A722E" w:rsidRPr="00756077">
        <w:rPr>
          <w:rFonts w:ascii="Times New Roman" w:hAnsi="Times New Roman" w:cs="Times New Roman"/>
          <w:sz w:val="24"/>
          <w:szCs w:val="24"/>
        </w:rPr>
        <w:t>e 8.1.9)</w:t>
      </w:r>
      <w:r w:rsidR="00756077">
        <w:rPr>
          <w:rFonts w:ascii="Times New Roman" w:hAnsi="Times New Roman" w:cs="Times New Roman"/>
          <w:sz w:val="24"/>
          <w:szCs w:val="24"/>
        </w:rPr>
        <w:t>;</w:t>
      </w:r>
    </w:p>
    <w:p w:rsidR="001E49FB" w:rsidRPr="00BE3469" w:rsidRDefault="001E49FB" w:rsidP="00756077">
      <w:pPr>
        <w:pStyle w:val="TextosemFormatao"/>
        <w:numPr>
          <w:ilvl w:val="2"/>
          <w:numId w:val="1"/>
        </w:numPr>
        <w:spacing w:after="120"/>
        <w:ind w:hanging="862"/>
        <w:jc w:val="both"/>
        <w:rPr>
          <w:rFonts w:ascii="Times New Roman" w:hAnsi="Times New Roman" w:cs="Times New Roman"/>
          <w:sz w:val="24"/>
          <w:szCs w:val="24"/>
        </w:rPr>
      </w:pPr>
      <w:r w:rsidRPr="000D0CAF">
        <w:rPr>
          <w:rFonts w:ascii="Times New Roman" w:hAnsi="Times New Roman" w:cs="Times New Roman"/>
          <w:sz w:val="24"/>
          <w:szCs w:val="24"/>
        </w:rPr>
        <w:t>Recomendar à SGP que, observado o prazo</w:t>
      </w:r>
      <w:r w:rsidR="004956FF">
        <w:rPr>
          <w:rFonts w:ascii="Times New Roman" w:hAnsi="Times New Roman" w:cs="Times New Roman"/>
          <w:sz w:val="24"/>
          <w:szCs w:val="24"/>
        </w:rPr>
        <w:t xml:space="preserve"> de </w:t>
      </w:r>
      <w:r w:rsidR="00514D45">
        <w:rPr>
          <w:rFonts w:ascii="Times New Roman" w:hAnsi="Times New Roman" w:cs="Times New Roman"/>
          <w:sz w:val="24"/>
          <w:szCs w:val="24"/>
        </w:rPr>
        <w:t>12</w:t>
      </w:r>
      <w:r w:rsidR="004956FF">
        <w:rPr>
          <w:rFonts w:ascii="Times New Roman" w:hAnsi="Times New Roman" w:cs="Times New Roman"/>
          <w:sz w:val="24"/>
          <w:szCs w:val="24"/>
        </w:rPr>
        <w:t xml:space="preserve">0 dias, formalize plano de </w:t>
      </w:r>
      <w:r w:rsidRPr="000D0CAF">
        <w:rPr>
          <w:rFonts w:ascii="Times New Roman" w:hAnsi="Times New Roman" w:cs="Times New Roman"/>
          <w:sz w:val="24"/>
          <w:szCs w:val="24"/>
        </w:rPr>
        <w:t xml:space="preserve">gestão do dimensionamento da força de trabalho, de modo a viabilizar o gerenciamento dos resultados e recomendações do DFT e a </w:t>
      </w:r>
      <w:proofErr w:type="gramStart"/>
      <w:r w:rsidRPr="000D0CAF">
        <w:rPr>
          <w:rFonts w:ascii="Times New Roman" w:hAnsi="Times New Roman" w:cs="Times New Roman"/>
          <w:sz w:val="24"/>
          <w:szCs w:val="24"/>
        </w:rPr>
        <w:t>implementação</w:t>
      </w:r>
      <w:proofErr w:type="gramEnd"/>
      <w:r w:rsidRPr="000D0CAF">
        <w:rPr>
          <w:rFonts w:ascii="Times New Roman" w:hAnsi="Times New Roman" w:cs="Times New Roman"/>
          <w:sz w:val="24"/>
          <w:szCs w:val="24"/>
        </w:rPr>
        <w:t xml:space="preserve"> de ações e intervenções necessárias ao aumento da eficiência, eficácia e efetividade organizacional, por meio de sua utilização como insumo </w:t>
      </w:r>
      <w:r w:rsidRPr="00BE3469">
        <w:rPr>
          <w:rFonts w:ascii="Times New Roman" w:hAnsi="Times New Roman" w:cs="Times New Roman"/>
          <w:sz w:val="24"/>
          <w:szCs w:val="24"/>
        </w:rPr>
        <w:t>para:</w:t>
      </w:r>
    </w:p>
    <w:p w:rsidR="001E49FB" w:rsidRPr="001E49FB" w:rsidRDefault="001E49FB" w:rsidP="00BE3469">
      <w:pPr>
        <w:pStyle w:val="PargrafodaLista"/>
        <w:numPr>
          <w:ilvl w:val="0"/>
          <w:numId w:val="17"/>
        </w:numPr>
        <w:spacing w:before="0" w:after="0"/>
        <w:ind w:left="1145" w:hanging="357"/>
        <w:jc w:val="both"/>
        <w:rPr>
          <w:rFonts w:eastAsiaTheme="minorHAnsi"/>
          <w:b w:val="0"/>
          <w:sz w:val="24"/>
          <w:szCs w:val="24"/>
          <w:lang w:eastAsia="en-US"/>
        </w:rPr>
      </w:pPr>
      <w:bookmarkStart w:id="106" w:name="_Toc520362090"/>
      <w:bookmarkStart w:id="107" w:name="_Toc520405235"/>
      <w:proofErr w:type="gramStart"/>
      <w:r w:rsidRPr="001E49FB">
        <w:rPr>
          <w:rFonts w:eastAsiaTheme="minorHAnsi"/>
          <w:b w:val="0"/>
          <w:sz w:val="24"/>
          <w:szCs w:val="24"/>
          <w:lang w:eastAsia="en-US"/>
        </w:rPr>
        <w:t>definição</w:t>
      </w:r>
      <w:proofErr w:type="gramEnd"/>
      <w:r w:rsidRPr="001E49FB">
        <w:rPr>
          <w:rFonts w:eastAsiaTheme="minorHAnsi"/>
          <w:b w:val="0"/>
          <w:sz w:val="24"/>
          <w:szCs w:val="24"/>
          <w:lang w:eastAsia="en-US"/>
        </w:rPr>
        <w:t xml:space="preserve"> de estratégias visando reduzir ou eliminar lacunas identificadas, notadamente por meio de ajuste do quadro de pessoal ou da demanda;</w:t>
      </w:r>
      <w:bookmarkEnd w:id="106"/>
      <w:bookmarkEnd w:id="107"/>
      <w:r w:rsidRPr="001E49FB">
        <w:rPr>
          <w:rFonts w:eastAsiaTheme="minorHAnsi"/>
          <w:b w:val="0"/>
          <w:sz w:val="24"/>
          <w:szCs w:val="24"/>
          <w:lang w:eastAsia="en-US"/>
        </w:rPr>
        <w:t xml:space="preserve"> </w:t>
      </w:r>
    </w:p>
    <w:p w:rsidR="001E49FB" w:rsidRPr="001E49FB" w:rsidRDefault="001E49FB" w:rsidP="00BE3469">
      <w:pPr>
        <w:pStyle w:val="PargrafodaLista"/>
        <w:numPr>
          <w:ilvl w:val="0"/>
          <w:numId w:val="17"/>
        </w:numPr>
        <w:jc w:val="both"/>
        <w:rPr>
          <w:rFonts w:eastAsiaTheme="minorHAnsi"/>
          <w:b w:val="0"/>
          <w:sz w:val="24"/>
          <w:szCs w:val="24"/>
          <w:lang w:eastAsia="en-US"/>
        </w:rPr>
      </w:pPr>
      <w:bookmarkStart w:id="108" w:name="_Toc520362091"/>
      <w:bookmarkStart w:id="109" w:name="_Toc520405236"/>
      <w:proofErr w:type="gramStart"/>
      <w:r w:rsidRPr="001E49FB">
        <w:rPr>
          <w:rFonts w:eastAsiaTheme="minorHAnsi"/>
          <w:b w:val="0"/>
          <w:sz w:val="24"/>
          <w:szCs w:val="24"/>
          <w:lang w:eastAsia="en-US"/>
        </w:rPr>
        <w:t>planejamento</w:t>
      </w:r>
      <w:proofErr w:type="gramEnd"/>
      <w:r w:rsidRPr="001E49FB">
        <w:rPr>
          <w:rFonts w:eastAsiaTheme="minorHAnsi"/>
          <w:b w:val="0"/>
          <w:sz w:val="24"/>
          <w:szCs w:val="24"/>
          <w:lang w:eastAsia="en-US"/>
        </w:rPr>
        <w:t xml:space="preserve"> de concurso público;</w:t>
      </w:r>
      <w:bookmarkEnd w:id="108"/>
      <w:bookmarkEnd w:id="109"/>
      <w:r w:rsidRPr="001E49FB">
        <w:rPr>
          <w:rFonts w:eastAsiaTheme="minorHAnsi"/>
          <w:b w:val="0"/>
          <w:sz w:val="24"/>
          <w:szCs w:val="24"/>
          <w:lang w:eastAsia="en-US"/>
        </w:rPr>
        <w:t xml:space="preserve"> </w:t>
      </w:r>
    </w:p>
    <w:p w:rsidR="001E49FB" w:rsidRPr="001E49FB" w:rsidRDefault="001E49FB" w:rsidP="00BE3469">
      <w:pPr>
        <w:pStyle w:val="PargrafodaLista"/>
        <w:numPr>
          <w:ilvl w:val="0"/>
          <w:numId w:val="17"/>
        </w:numPr>
        <w:jc w:val="both"/>
        <w:rPr>
          <w:rFonts w:eastAsiaTheme="minorHAnsi"/>
          <w:b w:val="0"/>
          <w:sz w:val="24"/>
          <w:szCs w:val="24"/>
          <w:lang w:eastAsia="en-US"/>
        </w:rPr>
      </w:pPr>
      <w:bookmarkStart w:id="110" w:name="_Toc520362092"/>
      <w:bookmarkStart w:id="111" w:name="_Toc520405237"/>
      <w:proofErr w:type="gramStart"/>
      <w:r w:rsidRPr="001E49FB">
        <w:rPr>
          <w:rFonts w:eastAsiaTheme="minorHAnsi"/>
          <w:b w:val="0"/>
          <w:sz w:val="24"/>
          <w:szCs w:val="24"/>
          <w:lang w:eastAsia="en-US"/>
        </w:rPr>
        <w:t>alocação</w:t>
      </w:r>
      <w:proofErr w:type="gramEnd"/>
      <w:r w:rsidRPr="001E49FB">
        <w:rPr>
          <w:rFonts w:eastAsiaTheme="minorHAnsi"/>
          <w:b w:val="0"/>
          <w:sz w:val="24"/>
          <w:szCs w:val="24"/>
          <w:lang w:eastAsia="en-US"/>
        </w:rPr>
        <w:t xml:space="preserve"> inicial;</w:t>
      </w:r>
      <w:bookmarkEnd w:id="110"/>
      <w:bookmarkEnd w:id="111"/>
      <w:r w:rsidRPr="001E49FB">
        <w:rPr>
          <w:rFonts w:eastAsiaTheme="minorHAnsi"/>
          <w:b w:val="0"/>
          <w:sz w:val="24"/>
          <w:szCs w:val="24"/>
          <w:lang w:eastAsia="en-US"/>
        </w:rPr>
        <w:t xml:space="preserve"> </w:t>
      </w:r>
    </w:p>
    <w:p w:rsidR="001E49FB" w:rsidRPr="001E49FB" w:rsidRDefault="001E49FB" w:rsidP="00BE3469">
      <w:pPr>
        <w:pStyle w:val="PargrafodaLista"/>
        <w:numPr>
          <w:ilvl w:val="0"/>
          <w:numId w:val="17"/>
        </w:numPr>
        <w:jc w:val="both"/>
        <w:rPr>
          <w:rFonts w:eastAsiaTheme="minorHAnsi"/>
          <w:b w:val="0"/>
          <w:sz w:val="24"/>
          <w:szCs w:val="24"/>
          <w:lang w:eastAsia="en-US"/>
        </w:rPr>
      </w:pPr>
      <w:bookmarkStart w:id="112" w:name="_Toc520362093"/>
      <w:bookmarkStart w:id="113" w:name="_Toc520405238"/>
      <w:proofErr w:type="gramStart"/>
      <w:r w:rsidRPr="001E49FB">
        <w:rPr>
          <w:rFonts w:eastAsiaTheme="minorHAnsi"/>
          <w:b w:val="0"/>
          <w:sz w:val="24"/>
          <w:szCs w:val="24"/>
          <w:lang w:eastAsia="en-US"/>
        </w:rPr>
        <w:t>movimentação</w:t>
      </w:r>
      <w:proofErr w:type="gramEnd"/>
      <w:r w:rsidRPr="001E49FB">
        <w:rPr>
          <w:rFonts w:eastAsiaTheme="minorHAnsi"/>
          <w:b w:val="0"/>
          <w:sz w:val="24"/>
          <w:szCs w:val="24"/>
          <w:lang w:eastAsia="en-US"/>
        </w:rPr>
        <w:t xml:space="preserve"> de pessoal;</w:t>
      </w:r>
      <w:bookmarkEnd w:id="112"/>
      <w:bookmarkEnd w:id="113"/>
    </w:p>
    <w:p w:rsidR="001E49FB" w:rsidRPr="001E49FB" w:rsidRDefault="001E49FB" w:rsidP="00BE3469">
      <w:pPr>
        <w:pStyle w:val="PargrafodaLista"/>
        <w:numPr>
          <w:ilvl w:val="0"/>
          <w:numId w:val="17"/>
        </w:numPr>
        <w:jc w:val="both"/>
        <w:rPr>
          <w:rFonts w:eastAsiaTheme="minorHAnsi"/>
          <w:b w:val="0"/>
          <w:sz w:val="24"/>
          <w:szCs w:val="24"/>
          <w:lang w:eastAsia="en-US"/>
        </w:rPr>
      </w:pPr>
      <w:bookmarkStart w:id="114" w:name="_Toc520362094"/>
      <w:bookmarkStart w:id="115" w:name="_Toc520405239"/>
      <w:proofErr w:type="gramStart"/>
      <w:r w:rsidRPr="001E49FB">
        <w:rPr>
          <w:rFonts w:eastAsiaTheme="minorHAnsi"/>
          <w:b w:val="0"/>
          <w:sz w:val="24"/>
          <w:szCs w:val="24"/>
          <w:lang w:eastAsia="en-US"/>
        </w:rPr>
        <w:t>reestruturação</w:t>
      </w:r>
      <w:proofErr w:type="gramEnd"/>
      <w:r w:rsidRPr="001E49FB">
        <w:rPr>
          <w:rFonts w:eastAsiaTheme="minorHAnsi"/>
          <w:b w:val="0"/>
          <w:sz w:val="24"/>
          <w:szCs w:val="24"/>
          <w:lang w:eastAsia="en-US"/>
        </w:rPr>
        <w:t xml:space="preserve"> administrativa; e</w:t>
      </w:r>
      <w:bookmarkEnd w:id="114"/>
      <w:bookmarkEnd w:id="115"/>
    </w:p>
    <w:p w:rsidR="001E49FB" w:rsidRDefault="001E49FB" w:rsidP="00BE3469">
      <w:pPr>
        <w:pStyle w:val="PargrafodaLista"/>
        <w:numPr>
          <w:ilvl w:val="0"/>
          <w:numId w:val="17"/>
        </w:numPr>
        <w:jc w:val="both"/>
        <w:rPr>
          <w:rFonts w:eastAsiaTheme="minorHAnsi"/>
          <w:b w:val="0"/>
          <w:sz w:val="24"/>
          <w:szCs w:val="24"/>
          <w:lang w:eastAsia="en-US"/>
        </w:rPr>
      </w:pPr>
      <w:bookmarkStart w:id="116" w:name="_Toc520362095"/>
      <w:bookmarkStart w:id="117" w:name="_Toc520405240"/>
      <w:proofErr w:type="gramStart"/>
      <w:r w:rsidRPr="001E49FB">
        <w:rPr>
          <w:rFonts w:eastAsiaTheme="minorHAnsi"/>
          <w:b w:val="0"/>
          <w:sz w:val="24"/>
          <w:szCs w:val="24"/>
          <w:lang w:eastAsia="en-US"/>
        </w:rPr>
        <w:t>rezoneamento</w:t>
      </w:r>
      <w:proofErr w:type="gramEnd"/>
      <w:r w:rsidR="00BE3469">
        <w:rPr>
          <w:rFonts w:eastAsiaTheme="minorHAnsi"/>
          <w:b w:val="0"/>
          <w:sz w:val="24"/>
          <w:szCs w:val="24"/>
          <w:lang w:eastAsia="en-US"/>
        </w:rPr>
        <w:t xml:space="preserve"> </w:t>
      </w:r>
      <w:r w:rsidR="00BE3469" w:rsidRPr="00BE3469">
        <w:rPr>
          <w:b w:val="0"/>
          <w:sz w:val="24"/>
          <w:szCs w:val="24"/>
        </w:rPr>
        <w:t>(Ref. subitens 8.1.8 e 8.1.11)</w:t>
      </w:r>
      <w:r w:rsidR="00BE3469" w:rsidRPr="00BE3469">
        <w:rPr>
          <w:rFonts w:eastAsiaTheme="minorHAnsi"/>
          <w:b w:val="0"/>
          <w:sz w:val="24"/>
          <w:szCs w:val="24"/>
          <w:lang w:eastAsia="en-US"/>
        </w:rPr>
        <w:t>.</w:t>
      </w:r>
      <w:bookmarkEnd w:id="116"/>
      <w:bookmarkEnd w:id="117"/>
    </w:p>
    <w:p w:rsidR="001E49FB" w:rsidRPr="00BE3469" w:rsidRDefault="001E49FB" w:rsidP="00756077">
      <w:pPr>
        <w:pStyle w:val="TextosemFormatao"/>
        <w:numPr>
          <w:ilvl w:val="2"/>
          <w:numId w:val="1"/>
        </w:numPr>
        <w:spacing w:after="120"/>
        <w:ind w:hanging="862"/>
        <w:jc w:val="both"/>
        <w:rPr>
          <w:rFonts w:ascii="Times New Roman" w:hAnsi="Times New Roman" w:cs="Times New Roman"/>
          <w:spacing w:val="-4"/>
          <w:sz w:val="24"/>
          <w:szCs w:val="24"/>
        </w:rPr>
      </w:pPr>
      <w:r w:rsidRPr="00BE3469">
        <w:rPr>
          <w:rFonts w:ascii="Times New Roman" w:hAnsi="Times New Roman" w:cs="Times New Roman"/>
          <w:spacing w:val="-4"/>
          <w:sz w:val="24"/>
          <w:szCs w:val="24"/>
        </w:rPr>
        <w:t>Recomendar à SGP que, observado o prazo de 30 dias, institua rotina de comunicação formal, às unidades dimensionadas, quanto aos resultados apurados em dimensionamento da força de trabalho, de modo a viabilizar a efetiva utilização das informações consignadas por todos os gestores das áreas envolvidas</w:t>
      </w:r>
      <w:r w:rsidR="0012743B" w:rsidRPr="00BE3469">
        <w:rPr>
          <w:rFonts w:ascii="Times New Roman" w:hAnsi="Times New Roman" w:cs="Times New Roman"/>
          <w:spacing w:val="-4"/>
          <w:sz w:val="24"/>
          <w:szCs w:val="24"/>
        </w:rPr>
        <w:t xml:space="preserve"> (Ref. subitem </w:t>
      </w:r>
      <w:r w:rsidR="001A6404" w:rsidRPr="00BE3469">
        <w:rPr>
          <w:rFonts w:ascii="Times New Roman" w:hAnsi="Times New Roman" w:cs="Times New Roman"/>
          <w:spacing w:val="-4"/>
          <w:sz w:val="24"/>
          <w:szCs w:val="24"/>
        </w:rPr>
        <w:t>8.1.8</w:t>
      </w:r>
      <w:r w:rsidR="0012743B" w:rsidRPr="00BE3469">
        <w:rPr>
          <w:rFonts w:ascii="Times New Roman" w:hAnsi="Times New Roman" w:cs="Times New Roman"/>
          <w:spacing w:val="-4"/>
          <w:sz w:val="24"/>
          <w:szCs w:val="24"/>
        </w:rPr>
        <w:t>);</w:t>
      </w:r>
      <w:r w:rsidR="00756077" w:rsidRPr="00BE3469">
        <w:rPr>
          <w:rFonts w:ascii="Times New Roman" w:hAnsi="Times New Roman" w:cs="Times New Roman"/>
          <w:spacing w:val="-4"/>
          <w:sz w:val="24"/>
          <w:szCs w:val="24"/>
        </w:rPr>
        <w:t xml:space="preserve"> </w:t>
      </w:r>
      <w:proofErr w:type="gramStart"/>
      <w:r w:rsidR="00756077" w:rsidRPr="00BE3469">
        <w:rPr>
          <w:rFonts w:ascii="Times New Roman" w:hAnsi="Times New Roman" w:cs="Times New Roman"/>
          <w:spacing w:val="-4"/>
          <w:sz w:val="24"/>
          <w:szCs w:val="24"/>
        </w:rPr>
        <w:t>e</w:t>
      </w:r>
      <w:proofErr w:type="gramEnd"/>
    </w:p>
    <w:p w:rsidR="00B46908" w:rsidRDefault="00B46908" w:rsidP="00756077">
      <w:pPr>
        <w:pStyle w:val="TextosemFormatao"/>
        <w:numPr>
          <w:ilvl w:val="2"/>
          <w:numId w:val="1"/>
        </w:numPr>
        <w:spacing w:after="120"/>
        <w:ind w:hanging="862"/>
        <w:jc w:val="both"/>
        <w:rPr>
          <w:rFonts w:ascii="Times New Roman" w:hAnsi="Times New Roman" w:cs="Times New Roman"/>
          <w:sz w:val="24"/>
          <w:szCs w:val="24"/>
        </w:rPr>
      </w:pPr>
      <w:r w:rsidRPr="00B46908">
        <w:rPr>
          <w:rFonts w:ascii="Times New Roman" w:hAnsi="Times New Roman" w:cs="Times New Roman"/>
          <w:sz w:val="24"/>
          <w:szCs w:val="24"/>
        </w:rPr>
        <w:t>Determinar à SGP que, observado o prazo de 30 dias, apresente plano de ação, contemplando medidas voltadas à</w:t>
      </w:r>
      <w:r w:rsidRPr="00BE3469">
        <w:rPr>
          <w:rFonts w:ascii="Times New Roman" w:hAnsi="Times New Roman" w:cs="Times New Roman"/>
          <w:sz w:val="24"/>
          <w:szCs w:val="24"/>
        </w:rPr>
        <w:t>:</w:t>
      </w:r>
      <w:r w:rsidRPr="00B46908">
        <w:rPr>
          <w:rFonts w:ascii="Times New Roman" w:hAnsi="Times New Roman" w:cs="Times New Roman"/>
          <w:sz w:val="24"/>
          <w:szCs w:val="24"/>
        </w:rPr>
        <w:t xml:space="preserve"> </w:t>
      </w:r>
    </w:p>
    <w:p w:rsidR="00B46908" w:rsidRPr="00BE3469" w:rsidRDefault="00B46908" w:rsidP="00BE3469">
      <w:pPr>
        <w:pStyle w:val="PargrafodaLista"/>
        <w:numPr>
          <w:ilvl w:val="0"/>
          <w:numId w:val="33"/>
        </w:numPr>
        <w:spacing w:before="0" w:after="0"/>
        <w:jc w:val="both"/>
        <w:rPr>
          <w:rFonts w:eastAsiaTheme="minorHAnsi"/>
          <w:b w:val="0"/>
          <w:sz w:val="24"/>
          <w:szCs w:val="24"/>
          <w:lang w:eastAsia="en-US"/>
        </w:rPr>
      </w:pPr>
      <w:bookmarkStart w:id="118" w:name="_Toc520405241"/>
      <w:proofErr w:type="gramStart"/>
      <w:r w:rsidRPr="00BE3469">
        <w:rPr>
          <w:rFonts w:eastAsiaTheme="minorHAnsi"/>
          <w:b w:val="0"/>
          <w:sz w:val="24"/>
          <w:szCs w:val="24"/>
          <w:lang w:eastAsia="en-US"/>
        </w:rPr>
        <w:lastRenderedPageBreak/>
        <w:t>reposição</w:t>
      </w:r>
      <w:proofErr w:type="gramEnd"/>
      <w:r w:rsidRPr="00BE3469">
        <w:rPr>
          <w:rFonts w:eastAsiaTheme="minorHAnsi"/>
          <w:b w:val="0"/>
          <w:sz w:val="24"/>
          <w:szCs w:val="24"/>
          <w:lang w:eastAsia="en-US"/>
        </w:rPr>
        <w:t xml:space="preserve"> da força de trabalho em virtude de vacância de cargo público decorrente de aposentadoria voluntária, compulsória ou por motivo de saúde; e</w:t>
      </w:r>
      <w:bookmarkEnd w:id="118"/>
      <w:r w:rsidRPr="00BE3469">
        <w:rPr>
          <w:rFonts w:eastAsiaTheme="minorHAnsi"/>
          <w:b w:val="0"/>
          <w:sz w:val="24"/>
          <w:szCs w:val="24"/>
          <w:lang w:eastAsia="en-US"/>
        </w:rPr>
        <w:t xml:space="preserve"> </w:t>
      </w:r>
    </w:p>
    <w:p w:rsidR="00A77084" w:rsidRPr="005129A9" w:rsidRDefault="00B46908" w:rsidP="00BE3469">
      <w:pPr>
        <w:pStyle w:val="PargrafodaLista"/>
        <w:numPr>
          <w:ilvl w:val="0"/>
          <w:numId w:val="33"/>
        </w:numPr>
        <w:spacing w:before="0"/>
        <w:ind w:left="1145" w:hanging="357"/>
        <w:contextualSpacing w:val="0"/>
        <w:jc w:val="both"/>
        <w:rPr>
          <w:rFonts w:eastAsiaTheme="minorHAnsi"/>
          <w:b w:val="0"/>
          <w:color w:val="0D0D0D" w:themeColor="text1" w:themeTint="F2"/>
          <w:sz w:val="24"/>
          <w:szCs w:val="24"/>
          <w:lang w:eastAsia="en-US"/>
        </w:rPr>
      </w:pPr>
      <w:bookmarkStart w:id="119" w:name="_Toc520405242"/>
      <w:proofErr w:type="gramStart"/>
      <w:r w:rsidRPr="00BE3469">
        <w:rPr>
          <w:rFonts w:eastAsiaTheme="minorHAnsi"/>
          <w:b w:val="0"/>
          <w:sz w:val="24"/>
          <w:szCs w:val="24"/>
          <w:lang w:eastAsia="en-US"/>
        </w:rPr>
        <w:t>identificação</w:t>
      </w:r>
      <w:proofErr w:type="gramEnd"/>
      <w:r w:rsidRPr="00BE3469">
        <w:rPr>
          <w:rFonts w:eastAsiaTheme="minorHAnsi"/>
          <w:b w:val="0"/>
          <w:sz w:val="24"/>
          <w:szCs w:val="24"/>
          <w:lang w:eastAsia="en-US"/>
        </w:rPr>
        <w:t>, mapeamento de competências e planejamento para formação de sucessores e reposição da força de trabalho associada a ocupações críticas</w:t>
      </w:r>
      <w:r w:rsidR="00BE3469">
        <w:rPr>
          <w:rFonts w:eastAsiaTheme="minorHAnsi"/>
          <w:b w:val="0"/>
          <w:sz w:val="24"/>
          <w:szCs w:val="24"/>
          <w:lang w:eastAsia="en-US"/>
        </w:rPr>
        <w:t xml:space="preserve"> </w:t>
      </w:r>
      <w:r w:rsidR="00BE3469" w:rsidRPr="00BE3469">
        <w:rPr>
          <w:rFonts w:eastAsiaTheme="minorHAnsi"/>
          <w:b w:val="0"/>
          <w:sz w:val="24"/>
          <w:szCs w:val="24"/>
          <w:lang w:eastAsia="en-US"/>
        </w:rPr>
        <w:t xml:space="preserve">(Ref. </w:t>
      </w:r>
      <w:r w:rsidR="00BE3469" w:rsidRPr="005129A9">
        <w:rPr>
          <w:rFonts w:eastAsiaTheme="minorHAnsi"/>
          <w:b w:val="0"/>
          <w:color w:val="0D0D0D" w:themeColor="text1" w:themeTint="F2"/>
          <w:sz w:val="24"/>
          <w:szCs w:val="24"/>
          <w:lang w:eastAsia="en-US"/>
        </w:rPr>
        <w:t>subitens 8.1.12 e 8.1.13).</w:t>
      </w:r>
      <w:bookmarkEnd w:id="119"/>
      <w:r w:rsidR="0012743B" w:rsidRPr="005129A9">
        <w:rPr>
          <w:rFonts w:eastAsiaTheme="minorHAnsi"/>
          <w:b w:val="0"/>
          <w:color w:val="0D0D0D" w:themeColor="text1" w:themeTint="F2"/>
          <w:sz w:val="24"/>
          <w:szCs w:val="24"/>
          <w:lang w:eastAsia="en-US"/>
        </w:rPr>
        <w:t xml:space="preserve"> </w:t>
      </w:r>
    </w:p>
    <w:p w:rsidR="00BE3469" w:rsidRPr="005129A9" w:rsidRDefault="00BE3469" w:rsidP="00BE3469">
      <w:pPr>
        <w:pStyle w:val="TextosemFormatao"/>
        <w:numPr>
          <w:ilvl w:val="1"/>
          <w:numId w:val="1"/>
        </w:numPr>
        <w:spacing w:after="120"/>
        <w:ind w:left="426" w:hanging="568"/>
        <w:jc w:val="both"/>
        <w:rPr>
          <w:rFonts w:ascii="Times New Roman" w:hAnsi="Times New Roman" w:cs="Times New Roman"/>
          <w:color w:val="0D0D0D" w:themeColor="text1" w:themeTint="F2"/>
          <w:spacing w:val="-4"/>
          <w:sz w:val="24"/>
          <w:szCs w:val="24"/>
        </w:rPr>
      </w:pPr>
      <w:r w:rsidRPr="005129A9">
        <w:rPr>
          <w:rFonts w:ascii="Times New Roman" w:hAnsi="Times New Roman" w:cs="Times New Roman"/>
          <w:color w:val="0D0D0D" w:themeColor="text1" w:themeTint="F2"/>
          <w:spacing w:val="-4"/>
          <w:sz w:val="24"/>
          <w:szCs w:val="24"/>
        </w:rPr>
        <w:t xml:space="preserve">Paralelamente, visando ao saneamento do achado não decorrente do escopo </w:t>
      </w:r>
      <w:proofErr w:type="gramStart"/>
      <w:r w:rsidRPr="005129A9">
        <w:rPr>
          <w:rFonts w:ascii="Times New Roman" w:hAnsi="Times New Roman" w:cs="Times New Roman"/>
          <w:color w:val="0D0D0D" w:themeColor="text1" w:themeTint="F2"/>
          <w:spacing w:val="-4"/>
          <w:sz w:val="24"/>
          <w:szCs w:val="24"/>
        </w:rPr>
        <w:t>da presente</w:t>
      </w:r>
      <w:proofErr w:type="gramEnd"/>
      <w:r w:rsidRPr="005129A9">
        <w:rPr>
          <w:rFonts w:ascii="Times New Roman" w:hAnsi="Times New Roman" w:cs="Times New Roman"/>
          <w:color w:val="0D0D0D" w:themeColor="text1" w:themeTint="F2"/>
          <w:spacing w:val="-4"/>
          <w:sz w:val="24"/>
          <w:szCs w:val="24"/>
        </w:rPr>
        <w:t xml:space="preserve"> auditoria, evidenciado no item 9, submete-se ao exame superior, visando posterior apreciação pela Presidência desta Casa, adicionalmente, a seguinte proposta de encaminhamento:</w:t>
      </w:r>
    </w:p>
    <w:p w:rsidR="00BE3469" w:rsidRPr="005129A9" w:rsidRDefault="00BE3469" w:rsidP="00BE3469">
      <w:pPr>
        <w:pStyle w:val="TextosemFormatao"/>
        <w:numPr>
          <w:ilvl w:val="2"/>
          <w:numId w:val="1"/>
        </w:numPr>
        <w:spacing w:after="120"/>
        <w:ind w:hanging="862"/>
        <w:jc w:val="both"/>
        <w:rPr>
          <w:rFonts w:ascii="Times New Roman" w:hAnsi="Times New Roman" w:cs="Times New Roman"/>
          <w:color w:val="0D0D0D" w:themeColor="text1" w:themeTint="F2"/>
          <w:sz w:val="24"/>
          <w:szCs w:val="24"/>
        </w:rPr>
      </w:pPr>
      <w:r w:rsidRPr="005129A9">
        <w:rPr>
          <w:rFonts w:ascii="Times New Roman" w:hAnsi="Times New Roman" w:cs="Times New Roman"/>
          <w:color w:val="0D0D0D" w:themeColor="text1" w:themeTint="F2"/>
          <w:sz w:val="24"/>
          <w:szCs w:val="24"/>
        </w:rPr>
        <w:t>Recomendar à SGP que, observado o prazo de 90 dias, identifique servidores que exercem atividade laboral em unidade diversa daquela de lotação, realizando os ajustes necessários. (Ref. subitem 9.1.1).</w:t>
      </w:r>
    </w:p>
    <w:p w:rsidR="00FB7226" w:rsidRPr="00F608EB" w:rsidRDefault="005B2F00" w:rsidP="0049685E">
      <w:pPr>
        <w:pStyle w:val="Default"/>
        <w:spacing w:before="240" w:after="360"/>
        <w:jc w:val="both"/>
        <w:rPr>
          <w:color w:val="auto"/>
        </w:rPr>
      </w:pPr>
      <w:r w:rsidRPr="00F608EB">
        <w:rPr>
          <w:color w:val="auto"/>
        </w:rPr>
        <w:t>Salvador</w:t>
      </w:r>
      <w:r w:rsidR="00C00669" w:rsidRPr="00F608EB">
        <w:rPr>
          <w:color w:val="auto"/>
        </w:rPr>
        <w:t xml:space="preserve"> </w:t>
      </w:r>
      <w:r w:rsidR="00A77084">
        <w:rPr>
          <w:color w:val="auto"/>
        </w:rPr>
        <w:t>–</w:t>
      </w:r>
      <w:r w:rsidR="00C00669" w:rsidRPr="00F608EB">
        <w:rPr>
          <w:color w:val="auto"/>
        </w:rPr>
        <w:t xml:space="preserve"> BA</w:t>
      </w:r>
      <w:r w:rsidR="00A77084">
        <w:rPr>
          <w:color w:val="auto"/>
        </w:rPr>
        <w:t xml:space="preserve">, </w:t>
      </w:r>
      <w:proofErr w:type="gramStart"/>
      <w:r w:rsidR="008B584C">
        <w:rPr>
          <w:color w:val="auto"/>
        </w:rPr>
        <w:t>6</w:t>
      </w:r>
      <w:proofErr w:type="gramEnd"/>
      <w:r w:rsidR="00A77084">
        <w:rPr>
          <w:color w:val="auto"/>
        </w:rPr>
        <w:t xml:space="preserve"> </w:t>
      </w:r>
      <w:r w:rsidRPr="00F608EB">
        <w:rPr>
          <w:color w:val="auto"/>
        </w:rPr>
        <w:t xml:space="preserve">de </w:t>
      </w:r>
      <w:r w:rsidR="008B584C">
        <w:rPr>
          <w:color w:val="auto"/>
        </w:rPr>
        <w:t>agosto</w:t>
      </w:r>
      <w:r w:rsidR="006A4542" w:rsidRPr="00F608EB">
        <w:rPr>
          <w:color w:val="auto"/>
        </w:rPr>
        <w:t xml:space="preserve"> </w:t>
      </w:r>
      <w:r w:rsidRPr="00F608EB">
        <w:rPr>
          <w:color w:val="auto"/>
        </w:rPr>
        <w:t>de 201</w:t>
      </w:r>
      <w:r w:rsidR="006B2C59" w:rsidRPr="00F608EB">
        <w:rPr>
          <w:color w:val="auto"/>
        </w:rPr>
        <w:t>8</w:t>
      </w:r>
      <w:r w:rsidRPr="00F608EB">
        <w:rPr>
          <w:color w:val="auto"/>
        </w:rPr>
        <w:t>.</w:t>
      </w:r>
    </w:p>
    <w:tbl>
      <w:tblPr>
        <w:tblW w:w="9356" w:type="dxa"/>
        <w:tblInd w:w="-176" w:type="dxa"/>
        <w:tblLook w:val="04A0" w:firstRow="1" w:lastRow="0" w:firstColumn="1" w:lastColumn="0" w:noHBand="0" w:noVBand="1"/>
      </w:tblPr>
      <w:tblGrid>
        <w:gridCol w:w="4678"/>
        <w:gridCol w:w="4678"/>
      </w:tblGrid>
      <w:tr w:rsidR="00F608EB" w:rsidRPr="00F608EB" w:rsidTr="00B22293">
        <w:tc>
          <w:tcPr>
            <w:tcW w:w="4678" w:type="dxa"/>
          </w:tcPr>
          <w:p w:rsidR="005B2F00" w:rsidRPr="00F608EB" w:rsidRDefault="00A77084" w:rsidP="001725B5">
            <w:pPr>
              <w:pStyle w:val="Corpodetexto"/>
              <w:jc w:val="center"/>
              <w:rPr>
                <w:szCs w:val="24"/>
              </w:rPr>
            </w:pPr>
            <w:r>
              <w:rPr>
                <w:szCs w:val="24"/>
              </w:rPr>
              <w:t>ZAIDE CHECCUCCI JUNQUEIRA AYRES</w:t>
            </w:r>
          </w:p>
          <w:p w:rsidR="005B2F00" w:rsidRPr="0049685E" w:rsidRDefault="000E5FBB" w:rsidP="00A92A1D">
            <w:pPr>
              <w:pStyle w:val="Corpodetexto"/>
              <w:jc w:val="center"/>
              <w:rPr>
                <w:spacing w:val="-8"/>
                <w:szCs w:val="24"/>
              </w:rPr>
            </w:pPr>
            <w:r w:rsidRPr="0049685E">
              <w:rPr>
                <w:spacing w:val="-8"/>
                <w:szCs w:val="24"/>
              </w:rPr>
              <w:t>Auditor</w:t>
            </w:r>
            <w:r w:rsidR="00A92A1D" w:rsidRPr="0049685E">
              <w:rPr>
                <w:spacing w:val="-8"/>
                <w:szCs w:val="24"/>
              </w:rPr>
              <w:t>a</w:t>
            </w:r>
            <w:r w:rsidRPr="0049685E">
              <w:rPr>
                <w:spacing w:val="-8"/>
                <w:szCs w:val="24"/>
              </w:rPr>
              <w:t xml:space="preserve"> Intern</w:t>
            </w:r>
            <w:r w:rsidR="00A92A1D" w:rsidRPr="0049685E">
              <w:rPr>
                <w:spacing w:val="-8"/>
                <w:szCs w:val="24"/>
              </w:rPr>
              <w:t>a</w:t>
            </w:r>
            <w:r w:rsidR="00117463" w:rsidRPr="0049685E">
              <w:rPr>
                <w:spacing w:val="-8"/>
                <w:szCs w:val="24"/>
              </w:rPr>
              <w:t xml:space="preserve"> e Chefe </w:t>
            </w:r>
            <w:r w:rsidR="00BE3469" w:rsidRPr="0049685E">
              <w:rPr>
                <w:spacing w:val="-8"/>
                <w:szCs w:val="24"/>
              </w:rPr>
              <w:t>da</w:t>
            </w:r>
          </w:p>
          <w:p w:rsidR="002338C0" w:rsidRPr="00F608EB" w:rsidRDefault="00BD3C7D" w:rsidP="0049685E">
            <w:pPr>
              <w:pStyle w:val="Corpodetexto"/>
              <w:jc w:val="center"/>
              <w:rPr>
                <w:rFonts w:eastAsia="Calibri"/>
                <w:b/>
                <w:szCs w:val="24"/>
              </w:rPr>
            </w:pPr>
            <w:r w:rsidRPr="0049685E">
              <w:rPr>
                <w:rFonts w:eastAsia="Calibri"/>
                <w:spacing w:val="-8"/>
                <w:szCs w:val="24"/>
              </w:rPr>
              <w:t>SEA</w:t>
            </w:r>
            <w:r w:rsidR="0049685E">
              <w:rPr>
                <w:rFonts w:eastAsia="Calibri"/>
                <w:spacing w:val="-8"/>
                <w:szCs w:val="24"/>
              </w:rPr>
              <w:t>PE</w:t>
            </w:r>
          </w:p>
        </w:tc>
        <w:tc>
          <w:tcPr>
            <w:tcW w:w="4678" w:type="dxa"/>
          </w:tcPr>
          <w:p w:rsidR="005B2F00" w:rsidRPr="00F608EB" w:rsidRDefault="00117463" w:rsidP="001725B5">
            <w:pPr>
              <w:pStyle w:val="Corpodetexto"/>
              <w:jc w:val="center"/>
              <w:rPr>
                <w:spacing w:val="-8"/>
                <w:szCs w:val="24"/>
              </w:rPr>
            </w:pPr>
            <w:r w:rsidRPr="00F608EB">
              <w:rPr>
                <w:spacing w:val="-8"/>
                <w:szCs w:val="24"/>
              </w:rPr>
              <w:t>RICARDO NASCIMENTO CANTHARINO</w:t>
            </w:r>
          </w:p>
          <w:p w:rsidR="002338C0" w:rsidRPr="00F608EB" w:rsidRDefault="00117463" w:rsidP="00C00669">
            <w:pPr>
              <w:pStyle w:val="Corpodetexto"/>
              <w:jc w:val="center"/>
              <w:rPr>
                <w:rFonts w:eastAsia="Calibri"/>
                <w:b/>
                <w:szCs w:val="24"/>
              </w:rPr>
            </w:pPr>
            <w:r w:rsidRPr="00F608EB">
              <w:rPr>
                <w:szCs w:val="24"/>
              </w:rPr>
              <w:t>Auditor Interno e Chefe</w:t>
            </w:r>
            <w:r w:rsidR="00BD3C7D" w:rsidRPr="00F608EB">
              <w:rPr>
                <w:szCs w:val="24"/>
              </w:rPr>
              <w:t xml:space="preserve"> Substituto</w:t>
            </w:r>
            <w:r w:rsidRPr="00F608EB">
              <w:rPr>
                <w:szCs w:val="24"/>
              </w:rPr>
              <w:t xml:space="preserve"> da </w:t>
            </w:r>
            <w:r w:rsidR="00BD3C7D" w:rsidRPr="00F608EB">
              <w:rPr>
                <w:szCs w:val="24"/>
              </w:rPr>
              <w:t>SEAGO</w:t>
            </w:r>
          </w:p>
        </w:tc>
      </w:tr>
      <w:tr w:rsidR="00F608EB" w:rsidRPr="00F608EB" w:rsidTr="00B22293">
        <w:tc>
          <w:tcPr>
            <w:tcW w:w="4678" w:type="dxa"/>
          </w:tcPr>
          <w:p w:rsidR="00A77084" w:rsidRPr="00A77084" w:rsidRDefault="00A77084" w:rsidP="00C420A2">
            <w:pPr>
              <w:pStyle w:val="Corpodetexto"/>
              <w:spacing w:before="120"/>
              <w:jc w:val="center"/>
              <w:rPr>
                <w:szCs w:val="24"/>
              </w:rPr>
            </w:pPr>
            <w:r w:rsidRPr="00A77084">
              <w:rPr>
                <w:szCs w:val="24"/>
              </w:rPr>
              <w:t>CAMILLE PEDREIRA BASTOS</w:t>
            </w:r>
          </w:p>
          <w:p w:rsidR="002338C0" w:rsidRPr="00F608EB" w:rsidRDefault="002338C0" w:rsidP="0000212C">
            <w:pPr>
              <w:pStyle w:val="Corpodetexto"/>
              <w:jc w:val="center"/>
              <w:rPr>
                <w:rFonts w:eastAsia="Calibri"/>
                <w:szCs w:val="24"/>
              </w:rPr>
            </w:pPr>
            <w:r w:rsidRPr="00F608EB">
              <w:rPr>
                <w:szCs w:val="24"/>
              </w:rPr>
              <w:t>Auditora Interna</w:t>
            </w:r>
          </w:p>
        </w:tc>
        <w:tc>
          <w:tcPr>
            <w:tcW w:w="4678" w:type="dxa"/>
          </w:tcPr>
          <w:p w:rsidR="002338C0" w:rsidRPr="00F608EB" w:rsidRDefault="00BD3C7D" w:rsidP="00C420A2">
            <w:pPr>
              <w:pStyle w:val="Corpodetexto"/>
              <w:spacing w:before="120"/>
              <w:jc w:val="center"/>
              <w:rPr>
                <w:rFonts w:eastAsia="Calibri"/>
                <w:szCs w:val="24"/>
              </w:rPr>
            </w:pPr>
            <w:r w:rsidRPr="00F608EB">
              <w:rPr>
                <w:szCs w:val="24"/>
              </w:rPr>
              <w:t>ANDRÉA BARBOSA DE ARGÔLO</w:t>
            </w:r>
          </w:p>
          <w:p w:rsidR="002338C0" w:rsidRPr="00F608EB" w:rsidRDefault="002338C0" w:rsidP="0000212C">
            <w:pPr>
              <w:pStyle w:val="Corpodetexto"/>
              <w:jc w:val="center"/>
              <w:rPr>
                <w:rFonts w:eastAsia="Calibri"/>
                <w:szCs w:val="24"/>
              </w:rPr>
            </w:pPr>
            <w:r w:rsidRPr="00F608EB">
              <w:rPr>
                <w:szCs w:val="24"/>
              </w:rPr>
              <w:t>Auditora Interna</w:t>
            </w:r>
          </w:p>
        </w:tc>
      </w:tr>
      <w:tr w:rsidR="00F608EB" w:rsidRPr="00F608EB" w:rsidTr="00B22293">
        <w:tc>
          <w:tcPr>
            <w:tcW w:w="4678" w:type="dxa"/>
          </w:tcPr>
          <w:p w:rsidR="005B2F00" w:rsidRPr="00F608EB" w:rsidRDefault="005B2F00" w:rsidP="001622CA">
            <w:pPr>
              <w:pStyle w:val="Corpodetexto"/>
              <w:jc w:val="center"/>
              <w:rPr>
                <w:rFonts w:eastAsia="Calibri"/>
                <w:b/>
                <w:szCs w:val="24"/>
              </w:rPr>
            </w:pPr>
          </w:p>
        </w:tc>
        <w:tc>
          <w:tcPr>
            <w:tcW w:w="4678" w:type="dxa"/>
          </w:tcPr>
          <w:p w:rsidR="005B2F00" w:rsidRPr="00F608EB" w:rsidRDefault="005B2F00" w:rsidP="00196096">
            <w:pPr>
              <w:pStyle w:val="Corpodetexto"/>
              <w:jc w:val="center"/>
              <w:rPr>
                <w:rFonts w:eastAsia="Calibri"/>
                <w:b/>
                <w:szCs w:val="24"/>
              </w:rPr>
            </w:pPr>
          </w:p>
        </w:tc>
      </w:tr>
      <w:tr w:rsidR="00F608EB" w:rsidRPr="00F608EB" w:rsidTr="00B22293">
        <w:tc>
          <w:tcPr>
            <w:tcW w:w="4678" w:type="dxa"/>
          </w:tcPr>
          <w:p w:rsidR="000E5FBB" w:rsidRPr="00F608EB" w:rsidRDefault="000E5FBB" w:rsidP="000E5FBB">
            <w:pPr>
              <w:pStyle w:val="Corpodetexto"/>
              <w:jc w:val="center"/>
              <w:rPr>
                <w:rFonts w:eastAsia="Calibri"/>
                <w:szCs w:val="24"/>
              </w:rPr>
            </w:pPr>
          </w:p>
        </w:tc>
        <w:tc>
          <w:tcPr>
            <w:tcW w:w="4678" w:type="dxa"/>
          </w:tcPr>
          <w:p w:rsidR="000E5FBB" w:rsidRPr="00F608EB" w:rsidRDefault="000E5FBB" w:rsidP="000E5FBB">
            <w:pPr>
              <w:pStyle w:val="Corpodetexto"/>
              <w:jc w:val="center"/>
              <w:rPr>
                <w:rFonts w:eastAsia="Calibri"/>
                <w:szCs w:val="24"/>
              </w:rPr>
            </w:pPr>
          </w:p>
        </w:tc>
      </w:tr>
      <w:tr w:rsidR="00F608EB" w:rsidRPr="00F608EB" w:rsidTr="00B22293">
        <w:tc>
          <w:tcPr>
            <w:tcW w:w="4678" w:type="dxa"/>
          </w:tcPr>
          <w:p w:rsidR="00A77084" w:rsidRDefault="00A77084" w:rsidP="002338C0">
            <w:pPr>
              <w:pStyle w:val="Corpodetexto"/>
              <w:jc w:val="center"/>
              <w:rPr>
                <w:szCs w:val="24"/>
              </w:rPr>
            </w:pPr>
            <w:r>
              <w:rPr>
                <w:szCs w:val="24"/>
              </w:rPr>
              <w:t>ZULENE DE CARVALHO ALVES</w:t>
            </w:r>
          </w:p>
          <w:p w:rsidR="000E5FBB" w:rsidRPr="00F608EB" w:rsidRDefault="00A92A1D" w:rsidP="00525B93">
            <w:pPr>
              <w:pStyle w:val="Corpodetexto"/>
              <w:jc w:val="center"/>
              <w:rPr>
                <w:rFonts w:eastAsia="Calibri"/>
                <w:szCs w:val="24"/>
              </w:rPr>
            </w:pPr>
            <w:r w:rsidRPr="00F608EB">
              <w:rPr>
                <w:szCs w:val="24"/>
              </w:rPr>
              <w:t>Auditor</w:t>
            </w:r>
            <w:r w:rsidR="00525B93">
              <w:rPr>
                <w:szCs w:val="24"/>
              </w:rPr>
              <w:t>a</w:t>
            </w:r>
            <w:r w:rsidRPr="00F608EB">
              <w:rPr>
                <w:szCs w:val="24"/>
              </w:rPr>
              <w:t xml:space="preserve"> Intern</w:t>
            </w:r>
            <w:r w:rsidR="00525B93">
              <w:rPr>
                <w:szCs w:val="24"/>
              </w:rPr>
              <w:t>a</w:t>
            </w:r>
          </w:p>
        </w:tc>
        <w:tc>
          <w:tcPr>
            <w:tcW w:w="4678" w:type="dxa"/>
          </w:tcPr>
          <w:p w:rsidR="000E5FBB" w:rsidRPr="00F608EB" w:rsidRDefault="00BD3C7D" w:rsidP="0000212C">
            <w:pPr>
              <w:pStyle w:val="Corpodetexto"/>
              <w:jc w:val="center"/>
              <w:rPr>
                <w:rFonts w:eastAsia="Calibri"/>
                <w:szCs w:val="24"/>
              </w:rPr>
            </w:pPr>
            <w:r w:rsidRPr="00F608EB">
              <w:rPr>
                <w:szCs w:val="24"/>
              </w:rPr>
              <w:t xml:space="preserve">ARLETE ALVES R. DE </w:t>
            </w:r>
            <w:proofErr w:type="gramStart"/>
            <w:r w:rsidRPr="00F608EB">
              <w:rPr>
                <w:szCs w:val="24"/>
              </w:rPr>
              <w:t>CARVALHO</w:t>
            </w:r>
            <w:proofErr w:type="gramEnd"/>
          </w:p>
          <w:p w:rsidR="000E5FBB" w:rsidRPr="00F608EB" w:rsidRDefault="002338C0" w:rsidP="0000212C">
            <w:pPr>
              <w:pStyle w:val="Corpodetexto"/>
              <w:jc w:val="center"/>
              <w:rPr>
                <w:rFonts w:eastAsia="Calibri"/>
                <w:szCs w:val="24"/>
              </w:rPr>
            </w:pPr>
            <w:r w:rsidRPr="00F608EB">
              <w:rPr>
                <w:szCs w:val="24"/>
              </w:rPr>
              <w:t>Auditora Interna</w:t>
            </w:r>
          </w:p>
        </w:tc>
      </w:tr>
      <w:tr w:rsidR="00F608EB" w:rsidRPr="00F608EB" w:rsidTr="00B22293">
        <w:tc>
          <w:tcPr>
            <w:tcW w:w="4678" w:type="dxa"/>
          </w:tcPr>
          <w:p w:rsidR="002338C0" w:rsidRPr="00F608EB" w:rsidRDefault="002338C0" w:rsidP="000E5FBB">
            <w:pPr>
              <w:pStyle w:val="Corpodetexto"/>
              <w:jc w:val="center"/>
              <w:rPr>
                <w:rFonts w:eastAsia="Calibri"/>
                <w:szCs w:val="24"/>
              </w:rPr>
            </w:pPr>
          </w:p>
        </w:tc>
        <w:tc>
          <w:tcPr>
            <w:tcW w:w="4678" w:type="dxa"/>
          </w:tcPr>
          <w:p w:rsidR="000E5FBB" w:rsidRPr="00F608EB" w:rsidRDefault="000E5FBB" w:rsidP="000E5FBB">
            <w:pPr>
              <w:pStyle w:val="Corpodetexto"/>
              <w:jc w:val="center"/>
              <w:rPr>
                <w:rFonts w:eastAsia="Calibri"/>
                <w:szCs w:val="24"/>
              </w:rPr>
            </w:pPr>
          </w:p>
        </w:tc>
      </w:tr>
      <w:tr w:rsidR="0049685E" w:rsidRPr="00F608EB" w:rsidTr="00B22293">
        <w:tc>
          <w:tcPr>
            <w:tcW w:w="9356" w:type="dxa"/>
            <w:gridSpan w:val="2"/>
          </w:tcPr>
          <w:p w:rsidR="0049685E" w:rsidRPr="00F608EB" w:rsidRDefault="0049685E" w:rsidP="00C00669">
            <w:pPr>
              <w:pStyle w:val="Corpodetexto"/>
              <w:jc w:val="center"/>
              <w:rPr>
                <w:rFonts w:eastAsia="Calibri"/>
                <w:szCs w:val="24"/>
              </w:rPr>
            </w:pPr>
            <w:r>
              <w:rPr>
                <w:rFonts w:eastAsia="Calibri"/>
                <w:szCs w:val="24"/>
              </w:rPr>
              <w:t>FERNANDA COSTA GUIMARÃES</w:t>
            </w:r>
          </w:p>
        </w:tc>
      </w:tr>
      <w:tr w:rsidR="0049685E" w:rsidRPr="00F608EB" w:rsidTr="00B22293">
        <w:tc>
          <w:tcPr>
            <w:tcW w:w="9356" w:type="dxa"/>
            <w:gridSpan w:val="2"/>
          </w:tcPr>
          <w:p w:rsidR="0049685E" w:rsidRPr="00F608EB" w:rsidRDefault="0049685E" w:rsidP="0000212C">
            <w:pPr>
              <w:pStyle w:val="Corpodetexto"/>
              <w:jc w:val="center"/>
              <w:rPr>
                <w:rFonts w:eastAsia="Calibri"/>
                <w:szCs w:val="24"/>
              </w:rPr>
            </w:pPr>
            <w:r>
              <w:rPr>
                <w:rFonts w:eastAsia="Calibri"/>
                <w:szCs w:val="24"/>
              </w:rPr>
              <w:t>Coordenadora da COAUD</w:t>
            </w:r>
          </w:p>
        </w:tc>
      </w:tr>
    </w:tbl>
    <w:p w:rsidR="000E5FBB" w:rsidRPr="00F608EB" w:rsidRDefault="000E5FBB" w:rsidP="00A92A1D">
      <w:pPr>
        <w:autoSpaceDE w:val="0"/>
        <w:autoSpaceDN w:val="0"/>
        <w:adjustRightInd w:val="0"/>
        <w:spacing w:after="0" w:line="240" w:lineRule="auto"/>
        <w:ind w:left="4111"/>
        <w:jc w:val="both"/>
        <w:rPr>
          <w:rFonts w:ascii="Times New Roman" w:hAnsi="Times New Roman" w:cs="Times New Roman"/>
          <w:sz w:val="24"/>
          <w:szCs w:val="24"/>
        </w:rPr>
      </w:pPr>
    </w:p>
    <w:sectPr w:rsidR="000E5FBB" w:rsidRPr="00F608EB" w:rsidSect="002808EC">
      <w:headerReference w:type="default" r:id="rId19"/>
      <w:headerReference w:type="first" r:id="rId20"/>
      <w:pgSz w:w="11906" w:h="16838"/>
      <w:pgMar w:top="1418" w:right="1418" w:bottom="1701" w:left="1418" w:header="284" w:footer="87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DAD" w:rsidRDefault="00244DAD" w:rsidP="000B5B8F">
      <w:pPr>
        <w:spacing w:after="0" w:line="240" w:lineRule="auto"/>
      </w:pPr>
      <w:r>
        <w:separator/>
      </w:r>
    </w:p>
  </w:endnote>
  <w:endnote w:type="continuationSeparator" w:id="0">
    <w:p w:rsidR="00244DAD" w:rsidRDefault="00244DAD" w:rsidP="000B5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AD" w:rsidRDefault="00244DAD">
    <w:pPr>
      <w:pStyle w:val="Rodap"/>
      <w:jc w:val="right"/>
    </w:pPr>
  </w:p>
  <w:p w:rsidR="00244DAD" w:rsidRDefault="00244DA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0523529"/>
      <w:docPartObj>
        <w:docPartGallery w:val="Page Numbers (Bottom of Page)"/>
        <w:docPartUnique/>
      </w:docPartObj>
    </w:sdtPr>
    <w:sdtEndPr/>
    <w:sdtContent>
      <w:p w:rsidR="00244DAD" w:rsidRDefault="00244DAD">
        <w:pPr>
          <w:pStyle w:val="Rodap"/>
          <w:jc w:val="right"/>
        </w:pPr>
        <w:r>
          <w:fldChar w:fldCharType="begin"/>
        </w:r>
        <w:r>
          <w:instrText>PAGE   \* MERGEFORMAT</w:instrText>
        </w:r>
        <w:r>
          <w:fldChar w:fldCharType="separate"/>
        </w:r>
        <w:r>
          <w:rPr>
            <w:noProof/>
          </w:rPr>
          <w:t>9</w:t>
        </w:r>
        <w:r>
          <w:fldChar w:fldCharType="end"/>
        </w:r>
      </w:p>
    </w:sdtContent>
  </w:sdt>
  <w:p w:rsidR="00244DAD" w:rsidRDefault="00244DAD">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127936"/>
      <w:docPartObj>
        <w:docPartGallery w:val="Page Numbers (Bottom of Page)"/>
        <w:docPartUnique/>
      </w:docPartObj>
    </w:sdtPr>
    <w:sdtEndPr>
      <w:rPr>
        <w:rFonts w:ascii="Times New Roman" w:hAnsi="Times New Roman" w:cs="Times New Roman"/>
      </w:rPr>
    </w:sdtEndPr>
    <w:sdtContent>
      <w:p w:rsidR="00244DAD" w:rsidRPr="00693C45" w:rsidRDefault="00244DAD">
        <w:pPr>
          <w:pStyle w:val="Rodap"/>
          <w:jc w:val="right"/>
          <w:rPr>
            <w:rFonts w:ascii="Times New Roman" w:hAnsi="Times New Roman" w:cs="Times New Roman"/>
          </w:rPr>
        </w:pPr>
        <w:r w:rsidRPr="00693C45">
          <w:rPr>
            <w:rFonts w:ascii="Times New Roman" w:hAnsi="Times New Roman" w:cs="Times New Roman"/>
          </w:rPr>
          <w:fldChar w:fldCharType="begin"/>
        </w:r>
        <w:r w:rsidRPr="00693C45">
          <w:rPr>
            <w:rFonts w:ascii="Times New Roman" w:hAnsi="Times New Roman" w:cs="Times New Roman"/>
          </w:rPr>
          <w:instrText>PAGE   \* MERGEFORMAT</w:instrText>
        </w:r>
        <w:r w:rsidRPr="00693C45">
          <w:rPr>
            <w:rFonts w:ascii="Times New Roman" w:hAnsi="Times New Roman" w:cs="Times New Roman"/>
          </w:rPr>
          <w:fldChar w:fldCharType="separate"/>
        </w:r>
        <w:r w:rsidR="007F1BA1">
          <w:rPr>
            <w:rFonts w:ascii="Times New Roman" w:hAnsi="Times New Roman" w:cs="Times New Roman"/>
            <w:noProof/>
          </w:rPr>
          <w:t>5</w:t>
        </w:r>
        <w:r w:rsidRPr="00693C45">
          <w:rPr>
            <w:rFonts w:ascii="Times New Roman" w:hAnsi="Times New Roman" w:cs="Times New Roman"/>
          </w:rPr>
          <w:fldChar w:fldCharType="end"/>
        </w:r>
      </w:p>
    </w:sdtContent>
  </w:sdt>
  <w:p w:rsidR="00244DAD" w:rsidRDefault="00244DAD">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AD" w:rsidRDefault="00244DAD">
    <w:pPr>
      <w:pStyle w:val="Rodap"/>
      <w:jc w:val="right"/>
    </w:pPr>
  </w:p>
  <w:p w:rsidR="00244DAD" w:rsidRPr="00113123" w:rsidRDefault="00244DAD">
    <w:pPr>
      <w:pStyle w:val="Rodap"/>
      <w:rPr>
        <w:rFonts w:ascii="Times New Roman" w:hAnsi="Times New Roman" w:cs="Times New Roma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5645563"/>
      <w:docPartObj>
        <w:docPartGallery w:val="Page Numbers (Bottom of Page)"/>
        <w:docPartUnique/>
      </w:docPartObj>
    </w:sdtPr>
    <w:sdtEndPr>
      <w:rPr>
        <w:rFonts w:ascii="Times New Roman" w:hAnsi="Times New Roman" w:cs="Times New Roman"/>
      </w:rPr>
    </w:sdtEndPr>
    <w:sdtContent>
      <w:p w:rsidR="00244DAD" w:rsidRPr="00971AD9" w:rsidRDefault="00244DAD">
        <w:pPr>
          <w:pStyle w:val="Rodap"/>
          <w:jc w:val="right"/>
          <w:rPr>
            <w:rFonts w:ascii="Times New Roman" w:hAnsi="Times New Roman" w:cs="Times New Roman"/>
          </w:rPr>
        </w:pPr>
        <w:r w:rsidRPr="00971AD9">
          <w:rPr>
            <w:rFonts w:ascii="Times New Roman" w:hAnsi="Times New Roman" w:cs="Times New Roman"/>
          </w:rPr>
          <w:fldChar w:fldCharType="begin"/>
        </w:r>
        <w:r w:rsidRPr="00971AD9">
          <w:rPr>
            <w:rFonts w:ascii="Times New Roman" w:hAnsi="Times New Roman" w:cs="Times New Roman"/>
          </w:rPr>
          <w:instrText>PAGE   \* MERGEFORMAT</w:instrText>
        </w:r>
        <w:r w:rsidRPr="00971AD9">
          <w:rPr>
            <w:rFonts w:ascii="Times New Roman" w:hAnsi="Times New Roman" w:cs="Times New Roman"/>
          </w:rPr>
          <w:fldChar w:fldCharType="separate"/>
        </w:r>
        <w:r w:rsidR="007F1BA1">
          <w:rPr>
            <w:rFonts w:ascii="Times New Roman" w:hAnsi="Times New Roman" w:cs="Times New Roman"/>
            <w:noProof/>
          </w:rPr>
          <w:t>5</w:t>
        </w:r>
        <w:r w:rsidRPr="00971AD9">
          <w:rPr>
            <w:rFonts w:ascii="Times New Roman" w:hAnsi="Times New Roman" w:cs="Times New Roman"/>
          </w:rPr>
          <w:fldChar w:fldCharType="end"/>
        </w:r>
      </w:p>
    </w:sdtContent>
  </w:sdt>
  <w:p w:rsidR="00244DAD" w:rsidRPr="00113123" w:rsidRDefault="00244DAD">
    <w:pPr>
      <w:pStyle w:val="Rodap"/>
      <w:rPr>
        <w:rFonts w:ascii="Times New Roman" w:hAnsi="Times New Roman" w:cs="Times New Roma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3527231"/>
      <w:docPartObj>
        <w:docPartGallery w:val="Page Numbers (Bottom of Page)"/>
        <w:docPartUnique/>
      </w:docPartObj>
    </w:sdtPr>
    <w:sdtEndPr/>
    <w:sdtContent>
      <w:p w:rsidR="00244DAD" w:rsidRDefault="00244DAD">
        <w:pPr>
          <w:pStyle w:val="Rodap"/>
          <w:jc w:val="right"/>
        </w:pPr>
        <w:r w:rsidRPr="006137DA">
          <w:rPr>
            <w:rFonts w:ascii="Times New Roman" w:hAnsi="Times New Roman" w:cs="Times New Roman"/>
          </w:rPr>
          <w:fldChar w:fldCharType="begin"/>
        </w:r>
        <w:r w:rsidRPr="006137DA">
          <w:rPr>
            <w:rFonts w:ascii="Times New Roman" w:hAnsi="Times New Roman" w:cs="Times New Roman"/>
          </w:rPr>
          <w:instrText>PAGE   \* MERGEFORMAT</w:instrText>
        </w:r>
        <w:r w:rsidRPr="006137DA">
          <w:rPr>
            <w:rFonts w:ascii="Times New Roman" w:hAnsi="Times New Roman" w:cs="Times New Roman"/>
          </w:rPr>
          <w:fldChar w:fldCharType="separate"/>
        </w:r>
        <w:r w:rsidR="007F1BA1">
          <w:rPr>
            <w:rFonts w:ascii="Times New Roman" w:hAnsi="Times New Roman" w:cs="Times New Roman"/>
            <w:noProof/>
          </w:rPr>
          <w:t>49</w:t>
        </w:r>
        <w:r w:rsidRPr="006137DA">
          <w:rPr>
            <w:rFonts w:ascii="Times New Roman" w:hAnsi="Times New Roman" w:cs="Times New Roman"/>
          </w:rPr>
          <w:fldChar w:fldCharType="end"/>
        </w:r>
      </w:p>
    </w:sdtContent>
  </w:sdt>
  <w:p w:rsidR="00244DAD" w:rsidRDefault="00244DA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DAD" w:rsidRDefault="00244DAD" w:rsidP="000B5B8F">
      <w:pPr>
        <w:spacing w:after="0" w:line="240" w:lineRule="auto"/>
      </w:pPr>
      <w:r>
        <w:separator/>
      </w:r>
    </w:p>
  </w:footnote>
  <w:footnote w:type="continuationSeparator" w:id="0">
    <w:p w:rsidR="00244DAD" w:rsidRDefault="00244DAD" w:rsidP="000B5B8F">
      <w:pPr>
        <w:spacing w:after="0" w:line="240" w:lineRule="auto"/>
      </w:pPr>
      <w:r>
        <w:continuationSeparator/>
      </w:r>
    </w:p>
  </w:footnote>
  <w:footnote w:id="1">
    <w:p w:rsidR="00244DAD" w:rsidRPr="003A74CE" w:rsidRDefault="00244DAD" w:rsidP="00A863EF">
      <w:pPr>
        <w:pStyle w:val="Textodenotaderodap"/>
        <w:rPr>
          <w:rFonts w:ascii="Times New Roman" w:hAnsi="Times New Roman" w:cs="Times New Roman"/>
        </w:rPr>
      </w:pPr>
      <w:r w:rsidRPr="003A74CE">
        <w:rPr>
          <w:rStyle w:val="Refdenotaderodap"/>
          <w:rFonts w:ascii="Times New Roman" w:hAnsi="Times New Roman" w:cs="Times New Roman"/>
        </w:rPr>
        <w:footnoteRef/>
      </w:r>
      <w:r w:rsidRPr="003A74CE">
        <w:rPr>
          <w:rFonts w:ascii="Times New Roman" w:hAnsi="Times New Roman" w:cs="Times New Roman"/>
        </w:rPr>
        <w:t xml:space="preserve"> ABNT NBR nº 5427 – Nível de inspeção: requisito que permite equilibrar o custo da inspeção e a proteção da qualidade requerida. Cabendo registrar a existência de recomendação específica de adoção do nível II, exceto no caso em que o histórico de qualidade indique adoção de outros níveis.</w:t>
      </w:r>
    </w:p>
  </w:footnote>
  <w:footnote w:id="2">
    <w:p w:rsidR="00244DAD" w:rsidRDefault="00244DAD" w:rsidP="00A863EF">
      <w:pPr>
        <w:pStyle w:val="Textodenotaderodap"/>
      </w:pPr>
      <w:r w:rsidRPr="003A74CE">
        <w:rPr>
          <w:rStyle w:val="Refdenotaderodap"/>
          <w:rFonts w:ascii="Times New Roman" w:hAnsi="Times New Roman" w:cs="Times New Roman"/>
        </w:rPr>
        <w:footnoteRef/>
      </w:r>
      <w:r w:rsidRPr="003A74CE">
        <w:rPr>
          <w:rFonts w:ascii="Times New Roman" w:hAnsi="Times New Roman" w:cs="Times New Roman"/>
        </w:rPr>
        <w:t xml:space="preserve"> ABNT NBR nº 5426 – Plano de amostragem: determina o número de unidades de produto de cada lote a ser inspecionado (tamanho da amostra ou série de tamanhos da amostra) e o critério para aceitação do lote (números de aceitação e de rejeição).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0" w:name="_MON_1568140790"/>
  <w:bookmarkEnd w:id="0"/>
  <w:p w:rsidR="00244DAD" w:rsidRDefault="00244DAD" w:rsidP="003835E2">
    <w:pPr>
      <w:pStyle w:val="Cabealho"/>
      <w:framePr w:w="1361" w:h="1134" w:hRule="exact" w:wrap="around" w:vAnchor="page" w:hAnchor="page" w:x="5293" w:y="409"/>
      <w:ind w:right="8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57.35pt" o:ole="" fillcolor="window">
          <v:imagedata r:id="rId1" o:title="" cropbottom="15491f" cropleft="9679f" cropright="9679f"/>
        </v:shape>
        <o:OLEObject Type="Embed" ProgID="Word.Picture.8" ShapeID="_x0000_i1025" DrawAspect="Content" ObjectID="_1682178345" r:id="rId2"/>
      </w:object>
    </w:r>
  </w:p>
  <w:p w:rsidR="00244DAD" w:rsidRDefault="00244DAD">
    <w:pPr>
      <w:pStyle w:val="Cabealho"/>
    </w:pPr>
  </w:p>
  <w:p w:rsidR="00244DAD" w:rsidRDefault="00244DAD">
    <w:pPr>
      <w:pStyle w:val="Cabealho"/>
    </w:pPr>
  </w:p>
  <w:p w:rsidR="00244DAD" w:rsidRPr="00222C6A" w:rsidRDefault="00244DAD">
    <w:pPr>
      <w:pStyle w:val="Cabealho"/>
      <w:rPr>
        <w:sz w:val="28"/>
        <w:szCs w:val="28"/>
        <w:vertAlign w:val="subscript"/>
      </w:rPr>
    </w:pPr>
  </w:p>
  <w:p w:rsidR="00244DAD" w:rsidRPr="005B60BB" w:rsidRDefault="00244DAD" w:rsidP="003835E2">
    <w:pPr>
      <w:pStyle w:val="Cabealho"/>
      <w:jc w:val="center"/>
      <w:rPr>
        <w:rFonts w:ascii="Times New Roman" w:hAnsi="Times New Roman" w:cs="Times New Roman"/>
        <w:b/>
        <w:sz w:val="24"/>
        <w:szCs w:val="24"/>
      </w:rPr>
    </w:pPr>
    <w:r w:rsidRPr="005B60BB">
      <w:rPr>
        <w:rFonts w:ascii="Times New Roman" w:hAnsi="Times New Roman" w:cs="Times New Roman"/>
        <w:b/>
        <w:sz w:val="24"/>
        <w:szCs w:val="24"/>
      </w:rPr>
      <w:t>TRIBUNAL REGIONAL ELEITORAL DA BAHIA</w:t>
    </w:r>
  </w:p>
  <w:p w:rsidR="00244DAD" w:rsidRDefault="00244DAD" w:rsidP="003835E2">
    <w:pPr>
      <w:pStyle w:val="Cabealho"/>
      <w:rPr>
        <w:rFonts w:ascii="Times New Roman" w:hAnsi="Times New Roman" w:cs="Times New Roman"/>
        <w:sz w:val="24"/>
        <w:szCs w:val="24"/>
      </w:rPr>
    </w:pPr>
    <w:r>
      <w:rPr>
        <w:rFonts w:ascii="Times New Roman" w:hAnsi="Times New Roman" w:cs="Times New Roman"/>
        <w:sz w:val="24"/>
        <w:szCs w:val="24"/>
      </w:rPr>
      <w:tab/>
    </w:r>
    <w:r w:rsidRPr="005B60BB">
      <w:rPr>
        <w:rFonts w:ascii="Times New Roman" w:hAnsi="Times New Roman" w:cs="Times New Roman"/>
        <w:sz w:val="24"/>
        <w:szCs w:val="24"/>
      </w:rPr>
      <w:t>Secretaria de Auditoria</w:t>
    </w:r>
    <w:r>
      <w:rPr>
        <w:rFonts w:ascii="Times New Roman" w:hAnsi="Times New Roman" w:cs="Times New Roman"/>
        <w:sz w:val="24"/>
        <w:szCs w:val="24"/>
      </w:rPr>
      <w:t xml:space="preserve"> Interna</w:t>
    </w:r>
  </w:p>
  <w:p w:rsidR="00244DAD" w:rsidRDefault="00244DAD">
    <w:pPr>
      <w:pStyle w:val="Cabealho"/>
      <w:rPr>
        <w:rFonts w:ascii="Times New Roman" w:hAnsi="Times New Roman" w:cs="Times New Roman"/>
        <w:sz w:val="24"/>
        <w:szCs w:val="24"/>
      </w:rPr>
    </w:pPr>
  </w:p>
  <w:p w:rsidR="00244DAD" w:rsidRPr="003835E2" w:rsidRDefault="00244DAD">
    <w:pPr>
      <w:pStyle w:val="Cabealho"/>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AD" w:rsidRPr="0080171E" w:rsidRDefault="00244DAD" w:rsidP="0080171E">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AD" w:rsidRDefault="00244DAD" w:rsidP="001439DC">
    <w:pPr>
      <w:pStyle w:val="Cabealho"/>
    </w:pPr>
  </w:p>
  <w:p w:rsidR="00244DAD" w:rsidRDefault="00244DAD" w:rsidP="00D1766F">
    <w:pPr>
      <w:pStyle w:val="Cabealho"/>
      <w:framePr w:w="1361" w:h="1134" w:hRule="exact" w:wrap="around" w:vAnchor="page" w:hAnchor="page" w:x="5293" w:y="409"/>
      <w:ind w:right="8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5.25pt;height:57.35pt" o:ole="" fillcolor="window">
          <v:imagedata r:id="rId1" o:title="" cropbottom="15491f" cropleft="9679f" cropright="9679f"/>
        </v:shape>
        <o:OLEObject Type="Embed" ProgID="Word.Picture.8" ShapeID="_x0000_i1026" DrawAspect="Content" ObjectID="_1682178346" r:id="rId2"/>
      </w:object>
    </w:r>
  </w:p>
  <w:p w:rsidR="00244DAD" w:rsidRDefault="00244DAD" w:rsidP="001439DC">
    <w:pPr>
      <w:pStyle w:val="Cabealho"/>
    </w:pPr>
  </w:p>
  <w:p w:rsidR="00244DAD" w:rsidRDefault="00244DAD" w:rsidP="001439DC">
    <w:pPr>
      <w:pStyle w:val="Cabealho"/>
    </w:pPr>
  </w:p>
  <w:p w:rsidR="00244DAD" w:rsidRPr="009F1813" w:rsidRDefault="00244DAD" w:rsidP="009F1813">
    <w:pPr>
      <w:pStyle w:val="Cabealho"/>
      <w:jc w:val="center"/>
      <w:rPr>
        <w:rFonts w:ascii="Times New Roman" w:hAnsi="Times New Roman" w:cs="Times New Roman"/>
        <w:sz w:val="24"/>
        <w:szCs w:val="24"/>
      </w:rPr>
    </w:pPr>
    <w:r w:rsidRPr="009F1813">
      <w:rPr>
        <w:rFonts w:ascii="Times New Roman" w:hAnsi="Times New Roman" w:cs="Times New Roman"/>
        <w:sz w:val="24"/>
        <w:szCs w:val="24"/>
      </w:rPr>
      <w:t>TRIBUNAL REGIONAL ELEITORAL DA BAHIA</w:t>
    </w:r>
  </w:p>
  <w:p w:rsidR="00244DAD" w:rsidRPr="009F1813" w:rsidRDefault="00244DAD" w:rsidP="009F1813">
    <w:pPr>
      <w:pStyle w:val="Cabealho"/>
      <w:jc w:val="center"/>
      <w:rPr>
        <w:rFonts w:ascii="Times New Roman" w:hAnsi="Times New Roman" w:cs="Times New Roman"/>
        <w:sz w:val="24"/>
        <w:szCs w:val="24"/>
      </w:rPr>
    </w:pPr>
    <w:r w:rsidRPr="009F1813">
      <w:rPr>
        <w:rFonts w:ascii="Times New Roman" w:hAnsi="Times New Roman" w:cs="Times New Roman"/>
        <w:sz w:val="24"/>
        <w:szCs w:val="24"/>
      </w:rPr>
      <w:t>Secretaria de Auditoria</w:t>
    </w:r>
    <w:r>
      <w:rPr>
        <w:rFonts w:ascii="Times New Roman" w:hAnsi="Times New Roman" w:cs="Times New Roman"/>
        <w:sz w:val="24"/>
        <w:szCs w:val="24"/>
      </w:rPr>
      <w:t xml:space="preserve"> Interna</w:t>
    </w:r>
  </w:p>
  <w:p w:rsidR="00244DAD" w:rsidRDefault="00244DAD" w:rsidP="009F1813">
    <w:pPr>
      <w:pStyle w:val="Cabealho"/>
      <w:jc w:val="center"/>
      <w:rPr>
        <w:rFonts w:ascii="Times New Roman" w:hAnsi="Times New Roman" w:cs="Times New Roman"/>
      </w:rPr>
    </w:pPr>
  </w:p>
  <w:p w:rsidR="00244DAD" w:rsidRPr="009F1813" w:rsidRDefault="00244DAD" w:rsidP="009F1813">
    <w:pPr>
      <w:pStyle w:val="Cabealho"/>
      <w:jc w:val="center"/>
      <w:rPr>
        <w:rFonts w:ascii="Times New Roman" w:hAnsi="Times New Roman" w:cs="Times New Roma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AD" w:rsidRDefault="00244DAD" w:rsidP="004B46F4">
    <w:pPr>
      <w:pStyle w:val="Cabealho"/>
      <w:framePr w:w="1361" w:h="1134" w:hRule="exact" w:wrap="around" w:vAnchor="page" w:hAnchor="page" w:x="5293" w:y="409"/>
      <w:ind w:right="8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5.25pt;height:57.35pt" o:ole="" fillcolor="window">
          <v:imagedata r:id="rId1" o:title="" cropbottom="15491f" cropleft="9679f" cropright="9679f"/>
        </v:shape>
        <o:OLEObject Type="Embed" ProgID="Word.Picture.8" ShapeID="_x0000_i1027" DrawAspect="Content" ObjectID="_1682178347" r:id="rId2"/>
      </w:object>
    </w:r>
  </w:p>
  <w:p w:rsidR="00244DAD" w:rsidRDefault="00244DAD" w:rsidP="008511F8">
    <w:pPr>
      <w:pStyle w:val="Cabealho"/>
    </w:pPr>
  </w:p>
  <w:p w:rsidR="00244DAD" w:rsidRDefault="00244DAD" w:rsidP="008511F8">
    <w:pPr>
      <w:pStyle w:val="Cabealho"/>
    </w:pPr>
  </w:p>
  <w:p w:rsidR="00244DAD" w:rsidRDefault="00244DAD" w:rsidP="008511F8">
    <w:pPr>
      <w:pStyle w:val="Cabealho"/>
    </w:pPr>
  </w:p>
  <w:p w:rsidR="00244DAD" w:rsidRDefault="00244DAD" w:rsidP="008511F8">
    <w:pPr>
      <w:pStyle w:val="Cabealho"/>
    </w:pPr>
  </w:p>
  <w:p w:rsidR="00244DAD" w:rsidRDefault="00244DAD" w:rsidP="008511F8">
    <w:pPr>
      <w:pStyle w:val="Cabealho"/>
    </w:pPr>
  </w:p>
  <w:p w:rsidR="00244DAD" w:rsidRPr="009F1813" w:rsidRDefault="00244DAD" w:rsidP="004B46F4">
    <w:pPr>
      <w:pStyle w:val="Cabealho"/>
      <w:jc w:val="center"/>
      <w:rPr>
        <w:rFonts w:ascii="Times New Roman" w:hAnsi="Times New Roman" w:cs="Times New Roman"/>
        <w:sz w:val="24"/>
        <w:szCs w:val="24"/>
      </w:rPr>
    </w:pPr>
    <w:r w:rsidRPr="009F1813">
      <w:rPr>
        <w:rFonts w:ascii="Times New Roman" w:hAnsi="Times New Roman" w:cs="Times New Roman"/>
        <w:sz w:val="24"/>
        <w:szCs w:val="24"/>
      </w:rPr>
      <w:t>TRIBUNAL REGIONAL ELEITORAL DA BAHIA</w:t>
    </w:r>
  </w:p>
  <w:p w:rsidR="00244DAD" w:rsidRPr="009F1813" w:rsidRDefault="00244DAD" w:rsidP="004B46F4">
    <w:pPr>
      <w:pStyle w:val="Cabealho"/>
      <w:jc w:val="center"/>
      <w:rPr>
        <w:rFonts w:ascii="Times New Roman" w:hAnsi="Times New Roman" w:cs="Times New Roman"/>
        <w:sz w:val="24"/>
        <w:szCs w:val="24"/>
      </w:rPr>
    </w:pPr>
    <w:r w:rsidRPr="009F1813">
      <w:rPr>
        <w:rFonts w:ascii="Times New Roman" w:hAnsi="Times New Roman" w:cs="Times New Roman"/>
        <w:sz w:val="24"/>
        <w:szCs w:val="24"/>
      </w:rPr>
      <w:t>Secretaria de Auditoria</w:t>
    </w:r>
    <w:r>
      <w:rPr>
        <w:rFonts w:ascii="Times New Roman" w:hAnsi="Times New Roman" w:cs="Times New Roman"/>
        <w:sz w:val="24"/>
        <w:szCs w:val="24"/>
      </w:rPr>
      <w:t xml:space="preserve"> Interna</w:t>
    </w:r>
  </w:p>
  <w:p w:rsidR="00244DAD" w:rsidRPr="004B46F4" w:rsidRDefault="00244DAD" w:rsidP="004B46F4">
    <w:pPr>
      <w:pStyle w:val="Cabealho"/>
      <w:jc w:val="center"/>
      <w:rPr>
        <w:rFonts w:ascii="Times New Roman" w:hAnsi="Times New Roman" w:cs="Times New Roman"/>
        <w:sz w:val="24"/>
        <w:szCs w:val="24"/>
      </w:rPr>
    </w:pPr>
  </w:p>
  <w:p w:rsidR="00244DAD" w:rsidRPr="008511F8" w:rsidRDefault="00244DAD" w:rsidP="008511F8">
    <w:pPr>
      <w:pStyle w:val="Cabealh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AD" w:rsidRPr="008511F8" w:rsidRDefault="00244DAD" w:rsidP="008511F8">
    <w:pPr>
      <w:pStyle w:val="Cabealh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DAD" w:rsidRDefault="00244DAD" w:rsidP="001439DC">
    <w:pPr>
      <w:pStyle w:val="Cabealho"/>
    </w:pPr>
  </w:p>
  <w:p w:rsidR="00244DAD" w:rsidRDefault="00244DAD" w:rsidP="00D1766F">
    <w:pPr>
      <w:pStyle w:val="Cabealho"/>
      <w:framePr w:w="1361" w:h="1134" w:hRule="exact" w:wrap="around" w:vAnchor="page" w:hAnchor="page" w:x="5293" w:y="409"/>
      <w:ind w:right="8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5.25pt;height:57.35pt" o:ole="" fillcolor="window">
          <v:imagedata r:id="rId1" o:title="" cropbottom="15491f" cropleft="9679f" cropright="9679f"/>
        </v:shape>
        <o:OLEObject Type="Embed" ProgID="Word.Picture.8" ShapeID="_x0000_i1028" DrawAspect="Content" ObjectID="_1682178348" r:id="rId2"/>
      </w:object>
    </w:r>
  </w:p>
  <w:p w:rsidR="00244DAD" w:rsidRDefault="00244DAD" w:rsidP="001439DC">
    <w:pPr>
      <w:pStyle w:val="Cabealho"/>
    </w:pPr>
  </w:p>
  <w:p w:rsidR="00244DAD" w:rsidRDefault="00244DAD" w:rsidP="001439DC">
    <w:pPr>
      <w:pStyle w:val="Cabealho"/>
    </w:pPr>
  </w:p>
  <w:p w:rsidR="00244DAD" w:rsidRDefault="00244DAD" w:rsidP="009F1813">
    <w:pPr>
      <w:pStyle w:val="Cabealho"/>
      <w:jc w:val="center"/>
      <w:rPr>
        <w:rFonts w:ascii="Times New Roman" w:hAnsi="Times New Roman" w:cs="Times New Roman"/>
        <w:sz w:val="24"/>
        <w:szCs w:val="24"/>
      </w:rPr>
    </w:pPr>
  </w:p>
  <w:p w:rsidR="00244DAD" w:rsidRDefault="00244DAD" w:rsidP="009F1813">
    <w:pPr>
      <w:pStyle w:val="Cabealho"/>
      <w:jc w:val="center"/>
      <w:rPr>
        <w:rFonts w:ascii="Times New Roman" w:hAnsi="Times New Roman" w:cs="Times New Roman"/>
        <w:sz w:val="24"/>
        <w:szCs w:val="24"/>
      </w:rPr>
    </w:pPr>
  </w:p>
  <w:p w:rsidR="00244DAD" w:rsidRPr="009F1813" w:rsidRDefault="00244DAD" w:rsidP="009F1813">
    <w:pPr>
      <w:pStyle w:val="Cabealho"/>
      <w:jc w:val="center"/>
      <w:rPr>
        <w:rFonts w:ascii="Times New Roman" w:hAnsi="Times New Roman" w:cs="Times New Roman"/>
        <w:sz w:val="24"/>
        <w:szCs w:val="24"/>
      </w:rPr>
    </w:pPr>
    <w:r w:rsidRPr="009F1813">
      <w:rPr>
        <w:rFonts w:ascii="Times New Roman" w:hAnsi="Times New Roman" w:cs="Times New Roman"/>
        <w:sz w:val="24"/>
        <w:szCs w:val="24"/>
      </w:rPr>
      <w:t>TRIBUNAL REGIONAL ELEITORAL DA BAHIA</w:t>
    </w:r>
  </w:p>
  <w:p w:rsidR="00244DAD" w:rsidRPr="009F1813" w:rsidRDefault="00244DAD" w:rsidP="009F1813">
    <w:pPr>
      <w:pStyle w:val="Cabealho"/>
      <w:jc w:val="center"/>
      <w:rPr>
        <w:rFonts w:ascii="Times New Roman" w:hAnsi="Times New Roman" w:cs="Times New Roman"/>
        <w:sz w:val="24"/>
        <w:szCs w:val="24"/>
      </w:rPr>
    </w:pPr>
    <w:r w:rsidRPr="009F1813">
      <w:rPr>
        <w:rFonts w:ascii="Times New Roman" w:hAnsi="Times New Roman" w:cs="Times New Roman"/>
        <w:sz w:val="24"/>
        <w:szCs w:val="24"/>
      </w:rPr>
      <w:t>Secretaria de Auditoria</w:t>
    </w:r>
    <w:r>
      <w:rPr>
        <w:rFonts w:ascii="Times New Roman" w:hAnsi="Times New Roman" w:cs="Times New Roman"/>
        <w:sz w:val="24"/>
        <w:szCs w:val="24"/>
      </w:rPr>
      <w:t xml:space="preserve"> Interna</w:t>
    </w:r>
  </w:p>
  <w:p w:rsidR="00244DAD" w:rsidRDefault="00244DAD" w:rsidP="009F1813">
    <w:pPr>
      <w:pStyle w:val="Cabealho"/>
      <w:jc w:val="center"/>
      <w:rPr>
        <w:rFonts w:ascii="Times New Roman" w:hAnsi="Times New Roman" w:cs="Times New Roman"/>
      </w:rPr>
    </w:pPr>
  </w:p>
  <w:p w:rsidR="00244DAD" w:rsidRPr="009F1813" w:rsidRDefault="00244DAD" w:rsidP="009F1813">
    <w:pPr>
      <w:pStyle w:val="Cabealho"/>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14ED"/>
    <w:multiLevelType w:val="multilevel"/>
    <w:tmpl w:val="EA44E98E"/>
    <w:lvl w:ilvl="0">
      <w:start w:val="1"/>
      <w:numFmt w:val="lowerLetter"/>
      <w:lvlText w:val="%1)"/>
      <w:lvlJc w:val="left"/>
      <w:pPr>
        <w:ind w:left="1353" w:hanging="360"/>
      </w:pPr>
      <w:rPr>
        <w:rFonts w:hint="default"/>
      </w:rPr>
    </w:lvl>
    <w:lvl w:ilvl="1">
      <w:start w:val="1"/>
      <w:numFmt w:val="decimal"/>
      <w:isLgl/>
      <w:lvlText w:val="%1.%2"/>
      <w:lvlJc w:val="left"/>
      <w:pPr>
        <w:ind w:left="360" w:hanging="360"/>
      </w:pPr>
      <w:rPr>
        <w:rFonts w:ascii="Times New Roman" w:hAnsi="Times New Roman" w:cs="Times New Roman" w:hint="default"/>
        <w:sz w:val="24"/>
        <w:szCs w:val="24"/>
      </w:rPr>
    </w:lvl>
    <w:lvl w:ilvl="2">
      <w:start w:val="1"/>
      <w:numFmt w:val="decimal"/>
      <w:isLgl/>
      <w:lvlText w:val="%1.%2.%3"/>
      <w:lvlJc w:val="left"/>
      <w:pPr>
        <w:ind w:left="720" w:hanging="720"/>
      </w:pPr>
      <w:rPr>
        <w:rFonts w:hint="default"/>
        <w:i w:val="0"/>
        <w:strike w:val="0"/>
        <w:color w:val="auto"/>
      </w:rPr>
    </w:lvl>
    <w:lvl w:ilvl="3">
      <w:start w:val="1"/>
      <w:numFmt w:val="decimal"/>
      <w:isLgl/>
      <w:lvlText w:val="%1.%2.%3.%4"/>
      <w:lvlJc w:val="left"/>
      <w:pPr>
        <w:ind w:left="1080" w:hanging="1080"/>
      </w:pPr>
      <w:rPr>
        <w:rFonts w:hint="default"/>
        <w:i w:val="0"/>
      </w:rPr>
    </w:lvl>
    <w:lvl w:ilvl="4">
      <w:start w:val="1"/>
      <w:numFmt w:val="decimal"/>
      <w:isLgl/>
      <w:lvlText w:val="%1.%2.%3.%4.%5"/>
      <w:lvlJc w:val="left"/>
      <w:pPr>
        <w:ind w:left="1080" w:hanging="1080"/>
      </w:pPr>
      <w:rPr>
        <w:rFonts w:hint="default"/>
        <w:b w:val="0"/>
        <w:i w:val="0"/>
        <w:strike w:val="0"/>
        <w:color w:val="auto"/>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
    <w:nsid w:val="067C73AF"/>
    <w:multiLevelType w:val="multilevel"/>
    <w:tmpl w:val="BDB8B420"/>
    <w:lvl w:ilvl="0">
      <w:start w:val="1"/>
      <w:numFmt w:val="bullet"/>
      <w:lvlText w:val=""/>
      <w:lvlJc w:val="left"/>
      <w:pPr>
        <w:ind w:left="360" w:hanging="360"/>
      </w:pPr>
      <w:rPr>
        <w:rFonts w:ascii="Wingdings" w:hAnsi="Wingdings"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
    <w:nsid w:val="1661309E"/>
    <w:multiLevelType w:val="multilevel"/>
    <w:tmpl w:val="A0824B60"/>
    <w:lvl w:ilvl="0">
      <w:start w:val="1"/>
      <w:numFmt w:val="decimal"/>
      <w:lvlText w:val="%1"/>
      <w:lvlJc w:val="left"/>
      <w:pPr>
        <w:ind w:left="786" w:hanging="360"/>
      </w:pPr>
      <w:rPr>
        <w:rFonts w:hint="default"/>
      </w:rPr>
    </w:lvl>
    <w:lvl w:ilvl="1">
      <w:start w:val="1"/>
      <w:numFmt w:val="decimal"/>
      <w:isLgl/>
      <w:lvlText w:val="%1.%2"/>
      <w:lvlJc w:val="left"/>
      <w:pPr>
        <w:ind w:left="360" w:hanging="360"/>
      </w:pPr>
      <w:rPr>
        <w:rFonts w:ascii="Times New Roman" w:hAnsi="Times New Roman" w:cs="Times New Roman" w:hint="default"/>
        <w:sz w:val="24"/>
        <w:szCs w:val="24"/>
      </w:rPr>
    </w:lvl>
    <w:lvl w:ilvl="2">
      <w:start w:val="1"/>
      <w:numFmt w:val="decimal"/>
      <w:isLgl/>
      <w:lvlText w:val="%1.%2.%3"/>
      <w:lvlJc w:val="left"/>
      <w:pPr>
        <w:ind w:left="720" w:hanging="720"/>
      </w:pPr>
      <w:rPr>
        <w:rFonts w:hint="default"/>
        <w:i w:val="0"/>
        <w:strike w:val="0"/>
        <w:color w:val="auto"/>
      </w:rPr>
    </w:lvl>
    <w:lvl w:ilvl="3">
      <w:start w:val="1"/>
      <w:numFmt w:val="decimal"/>
      <w:isLgl/>
      <w:lvlText w:val="%1.%2.%3.%4"/>
      <w:lvlJc w:val="left"/>
      <w:pPr>
        <w:ind w:left="1080" w:hanging="1080"/>
      </w:pPr>
      <w:rPr>
        <w:rFonts w:hint="default"/>
        <w:i w:val="0"/>
      </w:rPr>
    </w:lvl>
    <w:lvl w:ilvl="4">
      <w:start w:val="1"/>
      <w:numFmt w:val="lowerLetter"/>
      <w:lvlText w:val="%5)"/>
      <w:lvlJc w:val="left"/>
      <w:pPr>
        <w:ind w:left="1080" w:hanging="1080"/>
      </w:pPr>
      <w:rPr>
        <w:rFonts w:hint="default"/>
        <w:b w:val="0"/>
        <w:i w:val="0"/>
        <w:strike w:val="0"/>
        <w:color w:val="auto"/>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
    <w:nsid w:val="1676597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0C14E9E"/>
    <w:multiLevelType w:val="hybridMultilevel"/>
    <w:tmpl w:val="B1DAA6E8"/>
    <w:lvl w:ilvl="0" w:tplc="0B22772C">
      <w:start w:val="1"/>
      <w:numFmt w:val="lowerLetter"/>
      <w:lvlText w:val="%1)"/>
      <w:lvlJc w:val="left"/>
      <w:pPr>
        <w:ind w:left="1800" w:hanging="360"/>
      </w:pPr>
      <w:rPr>
        <w:rFonts w:hint="default"/>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7BD46E9"/>
    <w:multiLevelType w:val="hybridMultilevel"/>
    <w:tmpl w:val="2DF453D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BB2E33"/>
    <w:multiLevelType w:val="hybridMultilevel"/>
    <w:tmpl w:val="42BC978A"/>
    <w:lvl w:ilvl="0" w:tplc="04160017">
      <w:start w:val="1"/>
      <w:numFmt w:val="lowerLetter"/>
      <w:lvlText w:val="%1)"/>
      <w:lvlJc w:val="left"/>
      <w:pPr>
        <w:ind w:left="2912" w:hanging="360"/>
      </w:pPr>
    </w:lvl>
    <w:lvl w:ilvl="1" w:tplc="04160019" w:tentative="1">
      <w:start w:val="1"/>
      <w:numFmt w:val="lowerLetter"/>
      <w:lvlText w:val="%2."/>
      <w:lvlJc w:val="left"/>
      <w:pPr>
        <w:ind w:left="3632" w:hanging="360"/>
      </w:pPr>
    </w:lvl>
    <w:lvl w:ilvl="2" w:tplc="0416001B" w:tentative="1">
      <w:start w:val="1"/>
      <w:numFmt w:val="lowerRoman"/>
      <w:lvlText w:val="%3."/>
      <w:lvlJc w:val="right"/>
      <w:pPr>
        <w:ind w:left="4352" w:hanging="180"/>
      </w:pPr>
    </w:lvl>
    <w:lvl w:ilvl="3" w:tplc="0416000F" w:tentative="1">
      <w:start w:val="1"/>
      <w:numFmt w:val="decimal"/>
      <w:lvlText w:val="%4."/>
      <w:lvlJc w:val="left"/>
      <w:pPr>
        <w:ind w:left="5072" w:hanging="360"/>
      </w:pPr>
    </w:lvl>
    <w:lvl w:ilvl="4" w:tplc="04160019" w:tentative="1">
      <w:start w:val="1"/>
      <w:numFmt w:val="lowerLetter"/>
      <w:lvlText w:val="%5."/>
      <w:lvlJc w:val="left"/>
      <w:pPr>
        <w:ind w:left="5792" w:hanging="360"/>
      </w:pPr>
    </w:lvl>
    <w:lvl w:ilvl="5" w:tplc="0416001B" w:tentative="1">
      <w:start w:val="1"/>
      <w:numFmt w:val="lowerRoman"/>
      <w:lvlText w:val="%6."/>
      <w:lvlJc w:val="right"/>
      <w:pPr>
        <w:ind w:left="6512" w:hanging="180"/>
      </w:pPr>
    </w:lvl>
    <w:lvl w:ilvl="6" w:tplc="0416000F" w:tentative="1">
      <w:start w:val="1"/>
      <w:numFmt w:val="decimal"/>
      <w:lvlText w:val="%7."/>
      <w:lvlJc w:val="left"/>
      <w:pPr>
        <w:ind w:left="7232" w:hanging="360"/>
      </w:pPr>
    </w:lvl>
    <w:lvl w:ilvl="7" w:tplc="04160019" w:tentative="1">
      <w:start w:val="1"/>
      <w:numFmt w:val="lowerLetter"/>
      <w:lvlText w:val="%8."/>
      <w:lvlJc w:val="left"/>
      <w:pPr>
        <w:ind w:left="7952" w:hanging="360"/>
      </w:pPr>
    </w:lvl>
    <w:lvl w:ilvl="8" w:tplc="0416001B" w:tentative="1">
      <w:start w:val="1"/>
      <w:numFmt w:val="lowerRoman"/>
      <w:lvlText w:val="%9."/>
      <w:lvlJc w:val="right"/>
      <w:pPr>
        <w:ind w:left="8672" w:hanging="180"/>
      </w:pPr>
    </w:lvl>
  </w:abstractNum>
  <w:abstractNum w:abstractNumId="7">
    <w:nsid w:val="2ADE4E02"/>
    <w:multiLevelType w:val="hybridMultilevel"/>
    <w:tmpl w:val="F058E45E"/>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8">
    <w:nsid w:val="32E234A0"/>
    <w:multiLevelType w:val="hybridMultilevel"/>
    <w:tmpl w:val="16C2668C"/>
    <w:lvl w:ilvl="0" w:tplc="04160017">
      <w:start w:val="1"/>
      <w:numFmt w:val="lowerLetter"/>
      <w:lvlText w:val="%1)"/>
      <w:lvlJc w:val="left"/>
      <w:pPr>
        <w:ind w:left="1146" w:hanging="360"/>
      </w:pPr>
    </w:lvl>
    <w:lvl w:ilvl="1" w:tplc="04160019">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9">
    <w:nsid w:val="369833A3"/>
    <w:multiLevelType w:val="hybridMultilevel"/>
    <w:tmpl w:val="26F261AE"/>
    <w:lvl w:ilvl="0" w:tplc="A988305C">
      <w:start w:val="1"/>
      <w:numFmt w:val="decimal"/>
      <w:lvlText w:val="%1."/>
      <w:lvlJc w:val="left"/>
      <w:pPr>
        <w:ind w:left="1778" w:hanging="360"/>
      </w:pPr>
      <w:rPr>
        <w:i w:val="0"/>
        <w:color w:val="auto"/>
        <w:sz w:val="24"/>
        <w:szCs w:val="24"/>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6CF55A9"/>
    <w:multiLevelType w:val="hybridMultilevel"/>
    <w:tmpl w:val="E25C75F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nsid w:val="4773595B"/>
    <w:multiLevelType w:val="multilevel"/>
    <w:tmpl w:val="277E8878"/>
    <w:lvl w:ilvl="0">
      <w:start w:val="1"/>
      <w:numFmt w:val="decimal"/>
      <w:pStyle w:val="PargrafodaLista"/>
      <w:lvlText w:val="%1"/>
      <w:lvlJc w:val="left"/>
      <w:pPr>
        <w:ind w:left="786" w:hanging="360"/>
      </w:pPr>
      <w:rPr>
        <w:rFonts w:hint="default"/>
      </w:rPr>
    </w:lvl>
    <w:lvl w:ilvl="1">
      <w:start w:val="1"/>
      <w:numFmt w:val="decimal"/>
      <w:isLgl/>
      <w:lvlText w:val="%1.%2"/>
      <w:lvlJc w:val="left"/>
      <w:pPr>
        <w:ind w:left="360" w:hanging="360"/>
      </w:pPr>
      <w:rPr>
        <w:rFonts w:ascii="Times New Roman" w:hAnsi="Times New Roman" w:cs="Times New Roman" w:hint="default"/>
        <w:i w:val="0"/>
        <w:color w:val="auto"/>
        <w:sz w:val="24"/>
        <w:szCs w:val="24"/>
      </w:rPr>
    </w:lvl>
    <w:lvl w:ilvl="2">
      <w:start w:val="1"/>
      <w:numFmt w:val="decimal"/>
      <w:isLgl/>
      <w:lvlText w:val="%1.%2.%3"/>
      <w:lvlJc w:val="left"/>
      <w:pPr>
        <w:ind w:left="720" w:hanging="720"/>
      </w:pPr>
      <w:rPr>
        <w:rFonts w:hint="default"/>
        <w:i w:val="0"/>
        <w:strike w:val="0"/>
        <w:color w:val="auto"/>
      </w:rPr>
    </w:lvl>
    <w:lvl w:ilvl="3">
      <w:start w:val="1"/>
      <w:numFmt w:val="decimal"/>
      <w:isLgl/>
      <w:lvlText w:val="%1.%2.%3.%4"/>
      <w:lvlJc w:val="left"/>
      <w:pPr>
        <w:ind w:left="1080" w:hanging="1080"/>
      </w:pPr>
      <w:rPr>
        <w:rFonts w:hint="default"/>
        <w:i w:val="0"/>
      </w:rPr>
    </w:lvl>
    <w:lvl w:ilvl="4">
      <w:start w:val="1"/>
      <w:numFmt w:val="decimal"/>
      <w:isLgl/>
      <w:lvlText w:val="%1.%2.%3.%4.%5"/>
      <w:lvlJc w:val="left"/>
      <w:pPr>
        <w:ind w:left="1080" w:hanging="1080"/>
      </w:pPr>
      <w:rPr>
        <w:rFonts w:ascii="Times New Roman" w:hAnsi="Times New Roman" w:cs="Times New Roman" w:hint="default"/>
        <w:b w:val="0"/>
        <w:i w:val="0"/>
        <w:strike w:val="0"/>
        <w:color w:val="auto"/>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
    <w:nsid w:val="4856410A"/>
    <w:multiLevelType w:val="hybridMultilevel"/>
    <w:tmpl w:val="A000BFE0"/>
    <w:lvl w:ilvl="0" w:tplc="04160017">
      <w:start w:val="1"/>
      <w:numFmt w:val="lowerLetter"/>
      <w:lvlText w:val="%1)"/>
      <w:lvlJc w:val="left"/>
      <w:pPr>
        <w:ind w:left="1494" w:hanging="360"/>
      </w:p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3">
    <w:nsid w:val="48BB7806"/>
    <w:multiLevelType w:val="multilevel"/>
    <w:tmpl w:val="86F63690"/>
    <w:lvl w:ilvl="0">
      <w:start w:val="1"/>
      <w:numFmt w:val="decimal"/>
      <w:lvlText w:val="%1"/>
      <w:lvlJc w:val="left"/>
      <w:pPr>
        <w:ind w:left="786" w:hanging="360"/>
      </w:pPr>
      <w:rPr>
        <w:rFonts w:hint="default"/>
      </w:rPr>
    </w:lvl>
    <w:lvl w:ilvl="1">
      <w:start w:val="1"/>
      <w:numFmt w:val="decimal"/>
      <w:isLgl/>
      <w:lvlText w:val="%1.%2"/>
      <w:lvlJc w:val="left"/>
      <w:pPr>
        <w:ind w:left="360" w:hanging="360"/>
      </w:pPr>
      <w:rPr>
        <w:rFonts w:ascii="Times New Roman" w:hAnsi="Times New Roman" w:cs="Times New Roman" w:hint="default"/>
        <w:sz w:val="24"/>
        <w:szCs w:val="24"/>
      </w:rPr>
    </w:lvl>
    <w:lvl w:ilvl="2">
      <w:start w:val="1"/>
      <w:numFmt w:val="decimal"/>
      <w:isLgl/>
      <w:lvlText w:val="%1.%2.%3"/>
      <w:lvlJc w:val="left"/>
      <w:pPr>
        <w:ind w:left="720" w:hanging="720"/>
      </w:pPr>
      <w:rPr>
        <w:rFonts w:hint="default"/>
        <w:i w:val="0"/>
        <w:strike w:val="0"/>
        <w:color w:val="auto"/>
      </w:rPr>
    </w:lvl>
    <w:lvl w:ilvl="3">
      <w:start w:val="1"/>
      <w:numFmt w:val="decimal"/>
      <w:isLgl/>
      <w:lvlText w:val="%1.%2.%3.%4"/>
      <w:lvlJc w:val="left"/>
      <w:pPr>
        <w:ind w:left="1364" w:hanging="1080"/>
      </w:pPr>
      <w:rPr>
        <w:rFonts w:hint="default"/>
        <w:i w:val="0"/>
      </w:rPr>
    </w:lvl>
    <w:lvl w:ilvl="4">
      <w:start w:val="1"/>
      <w:numFmt w:val="lowerLetter"/>
      <w:lvlText w:val="%5)"/>
      <w:lvlJc w:val="left"/>
      <w:pPr>
        <w:ind w:left="1080" w:hanging="1080"/>
      </w:pPr>
      <w:rPr>
        <w:rFonts w:hint="default"/>
        <w:b w:val="0"/>
        <w:i w:val="0"/>
        <w:strike w:val="0"/>
        <w:color w:val="auto"/>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nsid w:val="61D32C89"/>
    <w:multiLevelType w:val="hybridMultilevel"/>
    <w:tmpl w:val="70EEE836"/>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15">
    <w:nsid w:val="65151198"/>
    <w:multiLevelType w:val="multilevel"/>
    <w:tmpl w:val="6346EBF2"/>
    <w:lvl w:ilvl="0">
      <w:start w:val="1"/>
      <w:numFmt w:val="decimal"/>
      <w:lvlText w:val="%1"/>
      <w:lvlJc w:val="left"/>
      <w:pPr>
        <w:ind w:left="786" w:hanging="360"/>
      </w:pPr>
      <w:rPr>
        <w:rFonts w:hint="default"/>
      </w:rPr>
    </w:lvl>
    <w:lvl w:ilvl="1">
      <w:start w:val="1"/>
      <w:numFmt w:val="decimal"/>
      <w:isLgl/>
      <w:lvlText w:val="%1.%2"/>
      <w:lvlJc w:val="left"/>
      <w:pPr>
        <w:ind w:left="360" w:hanging="360"/>
      </w:pPr>
      <w:rPr>
        <w:rFonts w:ascii="Times New Roman" w:hAnsi="Times New Roman" w:cs="Times New Roman" w:hint="default"/>
        <w:sz w:val="24"/>
        <w:szCs w:val="24"/>
      </w:rPr>
    </w:lvl>
    <w:lvl w:ilvl="2">
      <w:start w:val="1"/>
      <w:numFmt w:val="decimal"/>
      <w:isLgl/>
      <w:lvlText w:val="%1.%2.%3"/>
      <w:lvlJc w:val="left"/>
      <w:pPr>
        <w:ind w:left="720" w:hanging="720"/>
      </w:pPr>
      <w:rPr>
        <w:rFonts w:hint="default"/>
        <w:i w:val="0"/>
        <w:strike w:val="0"/>
        <w:color w:val="auto"/>
      </w:rPr>
    </w:lvl>
    <w:lvl w:ilvl="3">
      <w:start w:val="1"/>
      <w:numFmt w:val="decimal"/>
      <w:isLgl/>
      <w:lvlText w:val="%1.%2.%3.%4"/>
      <w:lvlJc w:val="left"/>
      <w:pPr>
        <w:ind w:left="1364" w:hanging="1080"/>
      </w:pPr>
      <w:rPr>
        <w:rFonts w:hint="default"/>
        <w:i w:val="0"/>
      </w:rPr>
    </w:lvl>
    <w:lvl w:ilvl="4">
      <w:start w:val="1"/>
      <w:numFmt w:val="lowerLetter"/>
      <w:lvlText w:val="%5)"/>
      <w:lvlJc w:val="left"/>
      <w:pPr>
        <w:ind w:left="1080" w:hanging="1080"/>
      </w:pPr>
      <w:rPr>
        <w:rFonts w:hint="default"/>
        <w:b w:val="0"/>
        <w:i w:val="0"/>
        <w:strike w:val="0"/>
        <w:color w:val="auto"/>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
    <w:nsid w:val="67964420"/>
    <w:multiLevelType w:val="hybridMultilevel"/>
    <w:tmpl w:val="996AF3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C1A7274"/>
    <w:multiLevelType w:val="hybridMultilevel"/>
    <w:tmpl w:val="4ABEE8C0"/>
    <w:lvl w:ilvl="0" w:tplc="04160017">
      <w:start w:val="1"/>
      <w:numFmt w:val="lowerLetter"/>
      <w:lvlText w:val="%1)"/>
      <w:lvlJc w:val="left"/>
      <w:pPr>
        <w:ind w:left="2912" w:hanging="360"/>
      </w:pPr>
    </w:lvl>
    <w:lvl w:ilvl="1" w:tplc="04160019" w:tentative="1">
      <w:start w:val="1"/>
      <w:numFmt w:val="lowerLetter"/>
      <w:lvlText w:val="%2."/>
      <w:lvlJc w:val="left"/>
      <w:pPr>
        <w:ind w:left="3632" w:hanging="360"/>
      </w:pPr>
    </w:lvl>
    <w:lvl w:ilvl="2" w:tplc="0416001B" w:tentative="1">
      <w:start w:val="1"/>
      <w:numFmt w:val="lowerRoman"/>
      <w:lvlText w:val="%3."/>
      <w:lvlJc w:val="right"/>
      <w:pPr>
        <w:ind w:left="4352" w:hanging="180"/>
      </w:pPr>
    </w:lvl>
    <w:lvl w:ilvl="3" w:tplc="0416000F" w:tentative="1">
      <w:start w:val="1"/>
      <w:numFmt w:val="decimal"/>
      <w:lvlText w:val="%4."/>
      <w:lvlJc w:val="left"/>
      <w:pPr>
        <w:ind w:left="5072" w:hanging="360"/>
      </w:pPr>
    </w:lvl>
    <w:lvl w:ilvl="4" w:tplc="04160019" w:tentative="1">
      <w:start w:val="1"/>
      <w:numFmt w:val="lowerLetter"/>
      <w:lvlText w:val="%5."/>
      <w:lvlJc w:val="left"/>
      <w:pPr>
        <w:ind w:left="5792" w:hanging="360"/>
      </w:pPr>
    </w:lvl>
    <w:lvl w:ilvl="5" w:tplc="0416001B" w:tentative="1">
      <w:start w:val="1"/>
      <w:numFmt w:val="lowerRoman"/>
      <w:lvlText w:val="%6."/>
      <w:lvlJc w:val="right"/>
      <w:pPr>
        <w:ind w:left="6512" w:hanging="180"/>
      </w:pPr>
    </w:lvl>
    <w:lvl w:ilvl="6" w:tplc="0416000F" w:tentative="1">
      <w:start w:val="1"/>
      <w:numFmt w:val="decimal"/>
      <w:lvlText w:val="%7."/>
      <w:lvlJc w:val="left"/>
      <w:pPr>
        <w:ind w:left="7232" w:hanging="360"/>
      </w:pPr>
    </w:lvl>
    <w:lvl w:ilvl="7" w:tplc="04160019" w:tentative="1">
      <w:start w:val="1"/>
      <w:numFmt w:val="lowerLetter"/>
      <w:lvlText w:val="%8."/>
      <w:lvlJc w:val="left"/>
      <w:pPr>
        <w:ind w:left="7952" w:hanging="360"/>
      </w:pPr>
    </w:lvl>
    <w:lvl w:ilvl="8" w:tplc="0416001B" w:tentative="1">
      <w:start w:val="1"/>
      <w:numFmt w:val="lowerRoman"/>
      <w:lvlText w:val="%9."/>
      <w:lvlJc w:val="right"/>
      <w:pPr>
        <w:ind w:left="8672" w:hanging="180"/>
      </w:pPr>
    </w:lvl>
  </w:abstractNum>
  <w:abstractNum w:abstractNumId="18">
    <w:nsid w:val="737E67F8"/>
    <w:multiLevelType w:val="multilevel"/>
    <w:tmpl w:val="C7A476C8"/>
    <w:lvl w:ilvl="0">
      <w:start w:val="1"/>
      <w:numFmt w:val="decimal"/>
      <w:lvlText w:val="%1"/>
      <w:lvlJc w:val="left"/>
      <w:pPr>
        <w:ind w:left="786" w:hanging="360"/>
      </w:pPr>
      <w:rPr>
        <w:rFonts w:hint="default"/>
      </w:rPr>
    </w:lvl>
    <w:lvl w:ilvl="1">
      <w:start w:val="1"/>
      <w:numFmt w:val="decimal"/>
      <w:isLgl/>
      <w:lvlText w:val="%1.%2"/>
      <w:lvlJc w:val="left"/>
      <w:pPr>
        <w:ind w:left="360" w:hanging="360"/>
      </w:pPr>
      <w:rPr>
        <w:rFonts w:ascii="Times New Roman" w:hAnsi="Times New Roman" w:cs="Times New Roman" w:hint="default"/>
        <w:sz w:val="24"/>
        <w:szCs w:val="24"/>
      </w:rPr>
    </w:lvl>
    <w:lvl w:ilvl="2">
      <w:start w:val="1"/>
      <w:numFmt w:val="decimal"/>
      <w:isLgl/>
      <w:lvlText w:val="%1.%2.%3"/>
      <w:lvlJc w:val="left"/>
      <w:pPr>
        <w:ind w:left="720" w:hanging="720"/>
      </w:pPr>
      <w:rPr>
        <w:rFonts w:hint="default"/>
        <w:i w:val="0"/>
        <w:strike w:val="0"/>
        <w:color w:val="auto"/>
      </w:rPr>
    </w:lvl>
    <w:lvl w:ilvl="3">
      <w:start w:val="1"/>
      <w:numFmt w:val="decimal"/>
      <w:isLgl/>
      <w:lvlText w:val="%1.%2.%3.%4"/>
      <w:lvlJc w:val="left"/>
      <w:pPr>
        <w:ind w:left="1364" w:hanging="1080"/>
      </w:pPr>
      <w:rPr>
        <w:rFonts w:hint="default"/>
        <w:i w:val="0"/>
      </w:rPr>
    </w:lvl>
    <w:lvl w:ilvl="4">
      <w:start w:val="1"/>
      <w:numFmt w:val="lowerLetter"/>
      <w:lvlText w:val="%5)"/>
      <w:lvlJc w:val="left"/>
      <w:pPr>
        <w:ind w:left="1080" w:hanging="1080"/>
      </w:pPr>
      <w:rPr>
        <w:rFonts w:hint="default"/>
        <w:b w:val="0"/>
        <w:i w:val="0"/>
        <w:strike w:val="0"/>
        <w:color w:val="auto"/>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9">
    <w:nsid w:val="783551AA"/>
    <w:multiLevelType w:val="multilevel"/>
    <w:tmpl w:val="6B702C0A"/>
    <w:lvl w:ilvl="0">
      <w:start w:val="1"/>
      <w:numFmt w:val="decimal"/>
      <w:lvlText w:val="%1"/>
      <w:lvlJc w:val="left"/>
      <w:pPr>
        <w:ind w:left="786" w:hanging="360"/>
      </w:pPr>
      <w:rPr>
        <w:rFonts w:hint="default"/>
      </w:rPr>
    </w:lvl>
    <w:lvl w:ilvl="1">
      <w:start w:val="1"/>
      <w:numFmt w:val="decimal"/>
      <w:isLgl/>
      <w:lvlText w:val="%1.%2"/>
      <w:lvlJc w:val="left"/>
      <w:pPr>
        <w:ind w:left="360" w:hanging="360"/>
      </w:pPr>
      <w:rPr>
        <w:rFonts w:ascii="Times New Roman" w:hAnsi="Times New Roman" w:cs="Times New Roman" w:hint="default"/>
        <w:sz w:val="24"/>
        <w:szCs w:val="24"/>
      </w:rPr>
    </w:lvl>
    <w:lvl w:ilvl="2">
      <w:start w:val="1"/>
      <w:numFmt w:val="decimal"/>
      <w:isLgl/>
      <w:lvlText w:val="%1.%2.%3"/>
      <w:lvlJc w:val="left"/>
      <w:pPr>
        <w:ind w:left="720" w:hanging="720"/>
      </w:pPr>
      <w:rPr>
        <w:rFonts w:hint="default"/>
        <w:i w:val="0"/>
        <w:strike w:val="0"/>
        <w:color w:val="auto"/>
      </w:rPr>
    </w:lvl>
    <w:lvl w:ilvl="3">
      <w:start w:val="1"/>
      <w:numFmt w:val="decimal"/>
      <w:isLgl/>
      <w:lvlText w:val="%1.%2.%3.%4"/>
      <w:lvlJc w:val="left"/>
      <w:pPr>
        <w:ind w:left="1364" w:hanging="1080"/>
      </w:pPr>
      <w:rPr>
        <w:rFonts w:hint="default"/>
        <w:i w:val="0"/>
      </w:rPr>
    </w:lvl>
    <w:lvl w:ilvl="4">
      <w:start w:val="1"/>
      <w:numFmt w:val="lowerLetter"/>
      <w:lvlText w:val="%5)"/>
      <w:lvlJc w:val="left"/>
      <w:pPr>
        <w:ind w:left="1080" w:hanging="1080"/>
      </w:pPr>
      <w:rPr>
        <w:rFonts w:hint="default"/>
        <w:b w:val="0"/>
        <w:i w:val="0"/>
        <w:strike w:val="0"/>
        <w:color w:val="auto"/>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0">
    <w:nsid w:val="7D8A5848"/>
    <w:multiLevelType w:val="hybridMultilevel"/>
    <w:tmpl w:val="F058E45E"/>
    <w:lvl w:ilvl="0" w:tplc="04160017">
      <w:start w:val="1"/>
      <w:numFmt w:val="lowerLetter"/>
      <w:lvlText w:val="%1)"/>
      <w:lvlJc w:val="left"/>
      <w:pPr>
        <w:ind w:left="1146" w:hanging="360"/>
      </w:pPr>
    </w:lvl>
    <w:lvl w:ilvl="1" w:tplc="04160019">
      <w:start w:val="1"/>
      <w:numFmt w:val="lowerLetter"/>
      <w:lvlText w:val="%2."/>
      <w:lvlJc w:val="left"/>
      <w:pPr>
        <w:ind w:left="1866" w:hanging="360"/>
      </w:pPr>
    </w:lvl>
    <w:lvl w:ilvl="2" w:tplc="0416001B">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num w:numId="1">
    <w:abstractNumId w:val="11"/>
  </w:num>
  <w:num w:numId="2">
    <w:abstractNumId w:val="9"/>
  </w:num>
  <w:num w:numId="3">
    <w:abstractNumId w:val="19"/>
  </w:num>
  <w:num w:numId="4">
    <w:abstractNumId w:val="15"/>
  </w:num>
  <w:num w:numId="5">
    <w:abstractNumId w:val="18"/>
  </w:num>
  <w:num w:numId="6">
    <w:abstractNumId w:val="13"/>
  </w:num>
  <w:num w:numId="7">
    <w:abstractNumId w:val="3"/>
  </w:num>
  <w:num w:numId="8">
    <w:abstractNumId w:val="4"/>
  </w:num>
  <w:num w:numId="9">
    <w:abstractNumId w:val="6"/>
  </w:num>
  <w:num w:numId="10">
    <w:abstractNumId w:val="0"/>
  </w:num>
  <w:num w:numId="11">
    <w:abstractNumId w:val="12"/>
  </w:num>
  <w:num w:numId="12">
    <w:abstractNumId w:val="16"/>
  </w:num>
  <w:num w:numId="13">
    <w:abstractNumId w:val="5"/>
  </w:num>
  <w:num w:numId="14">
    <w:abstractNumId w:val="8"/>
  </w:num>
  <w:num w:numId="15">
    <w:abstractNumId w:val="17"/>
  </w:num>
  <w:num w:numId="16">
    <w:abstractNumId w:val="2"/>
  </w:num>
  <w:num w:numId="17">
    <w:abstractNumId w:val="7"/>
  </w:num>
  <w:num w:numId="18">
    <w:abstractNumId w:val="14"/>
  </w:num>
  <w:num w:numId="19">
    <w:abstractNumId w:val="10"/>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11"/>
  </w:num>
  <w:num w:numId="33">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characterSpacingControl w:val="doNotCompress"/>
  <w:hdrShapeDefaults>
    <o:shapedefaults v:ext="edit" spidmax="3369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225"/>
    <w:rsid w:val="0000127C"/>
    <w:rsid w:val="0000212C"/>
    <w:rsid w:val="00002D0B"/>
    <w:rsid w:val="00002F1E"/>
    <w:rsid w:val="0000339D"/>
    <w:rsid w:val="00003874"/>
    <w:rsid w:val="00003884"/>
    <w:rsid w:val="0000428C"/>
    <w:rsid w:val="000043A3"/>
    <w:rsid w:val="00005452"/>
    <w:rsid w:val="000054AC"/>
    <w:rsid w:val="00007163"/>
    <w:rsid w:val="00007E59"/>
    <w:rsid w:val="00010170"/>
    <w:rsid w:val="00010E9C"/>
    <w:rsid w:val="000112F2"/>
    <w:rsid w:val="000115E4"/>
    <w:rsid w:val="0001445A"/>
    <w:rsid w:val="00014BB8"/>
    <w:rsid w:val="00014CB1"/>
    <w:rsid w:val="000153C9"/>
    <w:rsid w:val="000164DB"/>
    <w:rsid w:val="00016EDE"/>
    <w:rsid w:val="00017386"/>
    <w:rsid w:val="000209D8"/>
    <w:rsid w:val="00021399"/>
    <w:rsid w:val="0002188B"/>
    <w:rsid w:val="00023C13"/>
    <w:rsid w:val="000249FC"/>
    <w:rsid w:val="000252EA"/>
    <w:rsid w:val="00025324"/>
    <w:rsid w:val="00026B93"/>
    <w:rsid w:val="00027F44"/>
    <w:rsid w:val="0003145F"/>
    <w:rsid w:val="00031475"/>
    <w:rsid w:val="00032674"/>
    <w:rsid w:val="00032DA9"/>
    <w:rsid w:val="00032F74"/>
    <w:rsid w:val="00033039"/>
    <w:rsid w:val="00033ACE"/>
    <w:rsid w:val="000353EB"/>
    <w:rsid w:val="00036ADF"/>
    <w:rsid w:val="00036EF5"/>
    <w:rsid w:val="00036FD0"/>
    <w:rsid w:val="00037370"/>
    <w:rsid w:val="00040764"/>
    <w:rsid w:val="0004179A"/>
    <w:rsid w:val="000449E5"/>
    <w:rsid w:val="00044E00"/>
    <w:rsid w:val="0004546D"/>
    <w:rsid w:val="00046A5B"/>
    <w:rsid w:val="000478D5"/>
    <w:rsid w:val="000519AA"/>
    <w:rsid w:val="00054C0C"/>
    <w:rsid w:val="0005631B"/>
    <w:rsid w:val="00056DD1"/>
    <w:rsid w:val="000577D8"/>
    <w:rsid w:val="0005787A"/>
    <w:rsid w:val="000600BB"/>
    <w:rsid w:val="00062261"/>
    <w:rsid w:val="000625C1"/>
    <w:rsid w:val="000629FD"/>
    <w:rsid w:val="00063340"/>
    <w:rsid w:val="000638C9"/>
    <w:rsid w:val="00064B8B"/>
    <w:rsid w:val="00064FBB"/>
    <w:rsid w:val="000652D0"/>
    <w:rsid w:val="00070B87"/>
    <w:rsid w:val="000713D2"/>
    <w:rsid w:val="00071568"/>
    <w:rsid w:val="000731DD"/>
    <w:rsid w:val="00073263"/>
    <w:rsid w:val="00074735"/>
    <w:rsid w:val="00074A1A"/>
    <w:rsid w:val="00074D5C"/>
    <w:rsid w:val="00075221"/>
    <w:rsid w:val="0007557B"/>
    <w:rsid w:val="00075807"/>
    <w:rsid w:val="00076FC6"/>
    <w:rsid w:val="00076FF0"/>
    <w:rsid w:val="00077092"/>
    <w:rsid w:val="00077193"/>
    <w:rsid w:val="00077D71"/>
    <w:rsid w:val="00081961"/>
    <w:rsid w:val="00081B18"/>
    <w:rsid w:val="00082920"/>
    <w:rsid w:val="00082929"/>
    <w:rsid w:val="000832C4"/>
    <w:rsid w:val="000848DE"/>
    <w:rsid w:val="00085899"/>
    <w:rsid w:val="00086218"/>
    <w:rsid w:val="00086AAF"/>
    <w:rsid w:val="00087548"/>
    <w:rsid w:val="000904BE"/>
    <w:rsid w:val="0009054C"/>
    <w:rsid w:val="000916B1"/>
    <w:rsid w:val="000916B4"/>
    <w:rsid w:val="00091ED5"/>
    <w:rsid w:val="00094159"/>
    <w:rsid w:val="00094FB1"/>
    <w:rsid w:val="00095558"/>
    <w:rsid w:val="00096EB7"/>
    <w:rsid w:val="000976B6"/>
    <w:rsid w:val="000A17BF"/>
    <w:rsid w:val="000A36AF"/>
    <w:rsid w:val="000A37EE"/>
    <w:rsid w:val="000A3875"/>
    <w:rsid w:val="000A3DE8"/>
    <w:rsid w:val="000A45FD"/>
    <w:rsid w:val="000A5262"/>
    <w:rsid w:val="000A66BD"/>
    <w:rsid w:val="000A737E"/>
    <w:rsid w:val="000A7463"/>
    <w:rsid w:val="000B1C21"/>
    <w:rsid w:val="000B42F0"/>
    <w:rsid w:val="000B4674"/>
    <w:rsid w:val="000B4907"/>
    <w:rsid w:val="000B582F"/>
    <w:rsid w:val="000B5B8F"/>
    <w:rsid w:val="000B6885"/>
    <w:rsid w:val="000B6E93"/>
    <w:rsid w:val="000B7830"/>
    <w:rsid w:val="000C0C83"/>
    <w:rsid w:val="000C1329"/>
    <w:rsid w:val="000C2576"/>
    <w:rsid w:val="000C4109"/>
    <w:rsid w:val="000C42E6"/>
    <w:rsid w:val="000C481C"/>
    <w:rsid w:val="000C4A4B"/>
    <w:rsid w:val="000C4F8E"/>
    <w:rsid w:val="000C6202"/>
    <w:rsid w:val="000C67B8"/>
    <w:rsid w:val="000C6D10"/>
    <w:rsid w:val="000C74B0"/>
    <w:rsid w:val="000C7660"/>
    <w:rsid w:val="000D05CD"/>
    <w:rsid w:val="000D07A2"/>
    <w:rsid w:val="000D0CAF"/>
    <w:rsid w:val="000D0FF5"/>
    <w:rsid w:val="000D177E"/>
    <w:rsid w:val="000D29CA"/>
    <w:rsid w:val="000D37C1"/>
    <w:rsid w:val="000D3CCE"/>
    <w:rsid w:val="000D4C54"/>
    <w:rsid w:val="000D506F"/>
    <w:rsid w:val="000D57A7"/>
    <w:rsid w:val="000D59DA"/>
    <w:rsid w:val="000D612B"/>
    <w:rsid w:val="000D618B"/>
    <w:rsid w:val="000D66F5"/>
    <w:rsid w:val="000D76B4"/>
    <w:rsid w:val="000D7917"/>
    <w:rsid w:val="000D7979"/>
    <w:rsid w:val="000E04C3"/>
    <w:rsid w:val="000E1806"/>
    <w:rsid w:val="000E18CC"/>
    <w:rsid w:val="000E2633"/>
    <w:rsid w:val="000E2E3C"/>
    <w:rsid w:val="000E4502"/>
    <w:rsid w:val="000E51EA"/>
    <w:rsid w:val="000E527F"/>
    <w:rsid w:val="000E536D"/>
    <w:rsid w:val="000E5FBB"/>
    <w:rsid w:val="000E66F8"/>
    <w:rsid w:val="000F0B40"/>
    <w:rsid w:val="000F0DAD"/>
    <w:rsid w:val="000F109F"/>
    <w:rsid w:val="000F3F94"/>
    <w:rsid w:val="000F506F"/>
    <w:rsid w:val="000F53D4"/>
    <w:rsid w:val="000F5D61"/>
    <w:rsid w:val="000F6626"/>
    <w:rsid w:val="000F6FAD"/>
    <w:rsid w:val="000F7624"/>
    <w:rsid w:val="000F7746"/>
    <w:rsid w:val="000F7FD5"/>
    <w:rsid w:val="00100E5C"/>
    <w:rsid w:val="00101537"/>
    <w:rsid w:val="001015BB"/>
    <w:rsid w:val="00101D65"/>
    <w:rsid w:val="00102269"/>
    <w:rsid w:val="00102AC5"/>
    <w:rsid w:val="0010333B"/>
    <w:rsid w:val="001033C3"/>
    <w:rsid w:val="001035F0"/>
    <w:rsid w:val="001049A8"/>
    <w:rsid w:val="001068FD"/>
    <w:rsid w:val="00106993"/>
    <w:rsid w:val="00106C08"/>
    <w:rsid w:val="00110612"/>
    <w:rsid w:val="001114B6"/>
    <w:rsid w:val="0011167B"/>
    <w:rsid w:val="00111C08"/>
    <w:rsid w:val="00112E18"/>
    <w:rsid w:val="00113123"/>
    <w:rsid w:val="00113866"/>
    <w:rsid w:val="001139EA"/>
    <w:rsid w:val="00113E6B"/>
    <w:rsid w:val="00114170"/>
    <w:rsid w:val="001158DB"/>
    <w:rsid w:val="001158E4"/>
    <w:rsid w:val="001165F9"/>
    <w:rsid w:val="00116BCA"/>
    <w:rsid w:val="00116E60"/>
    <w:rsid w:val="00116FE5"/>
    <w:rsid w:val="001173E0"/>
    <w:rsid w:val="00117463"/>
    <w:rsid w:val="0012137D"/>
    <w:rsid w:val="00121876"/>
    <w:rsid w:val="00122297"/>
    <w:rsid w:val="001230CF"/>
    <w:rsid w:val="001237CD"/>
    <w:rsid w:val="001255A5"/>
    <w:rsid w:val="00125B44"/>
    <w:rsid w:val="00125CA1"/>
    <w:rsid w:val="00127080"/>
    <w:rsid w:val="0012743B"/>
    <w:rsid w:val="00130838"/>
    <w:rsid w:val="00132FD8"/>
    <w:rsid w:val="001331A4"/>
    <w:rsid w:val="00133774"/>
    <w:rsid w:val="0013420D"/>
    <w:rsid w:val="001347BE"/>
    <w:rsid w:val="00135E04"/>
    <w:rsid w:val="00136217"/>
    <w:rsid w:val="00136A3B"/>
    <w:rsid w:val="0013766F"/>
    <w:rsid w:val="00140589"/>
    <w:rsid w:val="001412A2"/>
    <w:rsid w:val="00141578"/>
    <w:rsid w:val="0014297F"/>
    <w:rsid w:val="00142BD3"/>
    <w:rsid w:val="001439DC"/>
    <w:rsid w:val="00143A29"/>
    <w:rsid w:val="0014420D"/>
    <w:rsid w:val="00144C9A"/>
    <w:rsid w:val="00145A84"/>
    <w:rsid w:val="0015040E"/>
    <w:rsid w:val="00152799"/>
    <w:rsid w:val="00153CFA"/>
    <w:rsid w:val="00154199"/>
    <w:rsid w:val="00155122"/>
    <w:rsid w:val="00155E4E"/>
    <w:rsid w:val="00157052"/>
    <w:rsid w:val="00157886"/>
    <w:rsid w:val="001605E0"/>
    <w:rsid w:val="00160939"/>
    <w:rsid w:val="00161B67"/>
    <w:rsid w:val="001622CA"/>
    <w:rsid w:val="001625F3"/>
    <w:rsid w:val="00162B73"/>
    <w:rsid w:val="00162D47"/>
    <w:rsid w:val="0016314A"/>
    <w:rsid w:val="00163BAF"/>
    <w:rsid w:val="00164FB2"/>
    <w:rsid w:val="001653B4"/>
    <w:rsid w:val="001655AE"/>
    <w:rsid w:val="00165AD6"/>
    <w:rsid w:val="00165C2F"/>
    <w:rsid w:val="00166632"/>
    <w:rsid w:val="00166A01"/>
    <w:rsid w:val="00166F11"/>
    <w:rsid w:val="00167280"/>
    <w:rsid w:val="00167932"/>
    <w:rsid w:val="00167BCB"/>
    <w:rsid w:val="001701F1"/>
    <w:rsid w:val="00171632"/>
    <w:rsid w:val="00171743"/>
    <w:rsid w:val="001725B5"/>
    <w:rsid w:val="00172D83"/>
    <w:rsid w:val="001731AA"/>
    <w:rsid w:val="00173483"/>
    <w:rsid w:val="00173D3D"/>
    <w:rsid w:val="00173FC1"/>
    <w:rsid w:val="001744F2"/>
    <w:rsid w:val="001761D8"/>
    <w:rsid w:val="0017659F"/>
    <w:rsid w:val="00176711"/>
    <w:rsid w:val="00176783"/>
    <w:rsid w:val="00177F2B"/>
    <w:rsid w:val="00181A75"/>
    <w:rsid w:val="001824CB"/>
    <w:rsid w:val="00182F92"/>
    <w:rsid w:val="001839E7"/>
    <w:rsid w:val="00185014"/>
    <w:rsid w:val="0018541A"/>
    <w:rsid w:val="001860F2"/>
    <w:rsid w:val="00187535"/>
    <w:rsid w:val="0018755F"/>
    <w:rsid w:val="0019054C"/>
    <w:rsid w:val="00190BB0"/>
    <w:rsid w:val="001913FD"/>
    <w:rsid w:val="001918C8"/>
    <w:rsid w:val="00193CB2"/>
    <w:rsid w:val="00193D3B"/>
    <w:rsid w:val="00195000"/>
    <w:rsid w:val="00196096"/>
    <w:rsid w:val="001960B7"/>
    <w:rsid w:val="001967B9"/>
    <w:rsid w:val="00196880"/>
    <w:rsid w:val="00196E39"/>
    <w:rsid w:val="001A0167"/>
    <w:rsid w:val="001A048B"/>
    <w:rsid w:val="001A10AA"/>
    <w:rsid w:val="001A126F"/>
    <w:rsid w:val="001A17F9"/>
    <w:rsid w:val="001A1AE0"/>
    <w:rsid w:val="001A3753"/>
    <w:rsid w:val="001A4F70"/>
    <w:rsid w:val="001A5507"/>
    <w:rsid w:val="001A55F4"/>
    <w:rsid w:val="001A62A0"/>
    <w:rsid w:val="001A6404"/>
    <w:rsid w:val="001A657C"/>
    <w:rsid w:val="001A6A5A"/>
    <w:rsid w:val="001A6A69"/>
    <w:rsid w:val="001A7B3F"/>
    <w:rsid w:val="001B0125"/>
    <w:rsid w:val="001B03D8"/>
    <w:rsid w:val="001B36CC"/>
    <w:rsid w:val="001B3B39"/>
    <w:rsid w:val="001B4929"/>
    <w:rsid w:val="001B4E7B"/>
    <w:rsid w:val="001B5474"/>
    <w:rsid w:val="001B5E64"/>
    <w:rsid w:val="001B6210"/>
    <w:rsid w:val="001B6608"/>
    <w:rsid w:val="001B66D2"/>
    <w:rsid w:val="001B7467"/>
    <w:rsid w:val="001B7533"/>
    <w:rsid w:val="001B7E8B"/>
    <w:rsid w:val="001C0985"/>
    <w:rsid w:val="001C1859"/>
    <w:rsid w:val="001C2BB5"/>
    <w:rsid w:val="001C2C5A"/>
    <w:rsid w:val="001C3F94"/>
    <w:rsid w:val="001C3FDD"/>
    <w:rsid w:val="001C41B0"/>
    <w:rsid w:val="001C492B"/>
    <w:rsid w:val="001C4B05"/>
    <w:rsid w:val="001C5BEA"/>
    <w:rsid w:val="001C627F"/>
    <w:rsid w:val="001C7577"/>
    <w:rsid w:val="001D07B2"/>
    <w:rsid w:val="001D2A90"/>
    <w:rsid w:val="001D2C8F"/>
    <w:rsid w:val="001D3224"/>
    <w:rsid w:val="001D3CB7"/>
    <w:rsid w:val="001D3F59"/>
    <w:rsid w:val="001D5199"/>
    <w:rsid w:val="001D72D4"/>
    <w:rsid w:val="001E0441"/>
    <w:rsid w:val="001E35B3"/>
    <w:rsid w:val="001E3863"/>
    <w:rsid w:val="001E3B23"/>
    <w:rsid w:val="001E4675"/>
    <w:rsid w:val="001E49FB"/>
    <w:rsid w:val="001E5CC7"/>
    <w:rsid w:val="001F05D2"/>
    <w:rsid w:val="001F1E28"/>
    <w:rsid w:val="001F1F83"/>
    <w:rsid w:val="001F256C"/>
    <w:rsid w:val="001F3A79"/>
    <w:rsid w:val="001F5360"/>
    <w:rsid w:val="00201F21"/>
    <w:rsid w:val="00202031"/>
    <w:rsid w:val="0020259F"/>
    <w:rsid w:val="00202C02"/>
    <w:rsid w:val="00202D83"/>
    <w:rsid w:val="0020406F"/>
    <w:rsid w:val="00204485"/>
    <w:rsid w:val="002055B7"/>
    <w:rsid w:val="00207803"/>
    <w:rsid w:val="002078EA"/>
    <w:rsid w:val="00210006"/>
    <w:rsid w:val="002108AC"/>
    <w:rsid w:val="00211796"/>
    <w:rsid w:val="00211AC2"/>
    <w:rsid w:val="00213D0D"/>
    <w:rsid w:val="002145D7"/>
    <w:rsid w:val="00214B74"/>
    <w:rsid w:val="00215014"/>
    <w:rsid w:val="00215797"/>
    <w:rsid w:val="002173D2"/>
    <w:rsid w:val="002174B8"/>
    <w:rsid w:val="00217686"/>
    <w:rsid w:val="00217AF9"/>
    <w:rsid w:val="00220A42"/>
    <w:rsid w:val="002213C9"/>
    <w:rsid w:val="00221581"/>
    <w:rsid w:val="0022165F"/>
    <w:rsid w:val="0022231F"/>
    <w:rsid w:val="002228C6"/>
    <w:rsid w:val="00222B25"/>
    <w:rsid w:val="00222C6A"/>
    <w:rsid w:val="00222E47"/>
    <w:rsid w:val="0022325E"/>
    <w:rsid w:val="002244DA"/>
    <w:rsid w:val="0022587C"/>
    <w:rsid w:val="002263ED"/>
    <w:rsid w:val="002272ED"/>
    <w:rsid w:val="002300F2"/>
    <w:rsid w:val="00231326"/>
    <w:rsid w:val="002327FD"/>
    <w:rsid w:val="0023316D"/>
    <w:rsid w:val="00233866"/>
    <w:rsid w:val="002338C0"/>
    <w:rsid w:val="00233DE9"/>
    <w:rsid w:val="002344D9"/>
    <w:rsid w:val="0023464B"/>
    <w:rsid w:val="0023469C"/>
    <w:rsid w:val="002378AA"/>
    <w:rsid w:val="00241070"/>
    <w:rsid w:val="002411CA"/>
    <w:rsid w:val="00241664"/>
    <w:rsid w:val="002421E0"/>
    <w:rsid w:val="002440AB"/>
    <w:rsid w:val="00244AB7"/>
    <w:rsid w:val="00244B8A"/>
    <w:rsid w:val="00244DAD"/>
    <w:rsid w:val="00245C41"/>
    <w:rsid w:val="00245DC9"/>
    <w:rsid w:val="002461F0"/>
    <w:rsid w:val="002465D3"/>
    <w:rsid w:val="00250761"/>
    <w:rsid w:val="00250A27"/>
    <w:rsid w:val="00250CB6"/>
    <w:rsid w:val="00250E34"/>
    <w:rsid w:val="002512F5"/>
    <w:rsid w:val="00251543"/>
    <w:rsid w:val="002518D1"/>
    <w:rsid w:val="00251B8A"/>
    <w:rsid w:val="00251BF8"/>
    <w:rsid w:val="0025238C"/>
    <w:rsid w:val="00252A45"/>
    <w:rsid w:val="00252B48"/>
    <w:rsid w:val="0025309E"/>
    <w:rsid w:val="00254849"/>
    <w:rsid w:val="00254D1B"/>
    <w:rsid w:val="00254E98"/>
    <w:rsid w:val="00254EE8"/>
    <w:rsid w:val="00254F84"/>
    <w:rsid w:val="0025520B"/>
    <w:rsid w:val="00255E11"/>
    <w:rsid w:val="002561CF"/>
    <w:rsid w:val="00256405"/>
    <w:rsid w:val="00257517"/>
    <w:rsid w:val="00257AD0"/>
    <w:rsid w:val="0026015A"/>
    <w:rsid w:val="0026030A"/>
    <w:rsid w:val="002610BC"/>
    <w:rsid w:val="002629DA"/>
    <w:rsid w:val="002631B6"/>
    <w:rsid w:val="0026364C"/>
    <w:rsid w:val="002644D7"/>
    <w:rsid w:val="002650FE"/>
    <w:rsid w:val="002659A7"/>
    <w:rsid w:val="00267A37"/>
    <w:rsid w:val="00270ED3"/>
    <w:rsid w:val="00271D92"/>
    <w:rsid w:val="002727D8"/>
    <w:rsid w:val="00273029"/>
    <w:rsid w:val="00273205"/>
    <w:rsid w:val="002743F0"/>
    <w:rsid w:val="00274987"/>
    <w:rsid w:val="00274F93"/>
    <w:rsid w:val="00275C25"/>
    <w:rsid w:val="00276221"/>
    <w:rsid w:val="002766F6"/>
    <w:rsid w:val="00277704"/>
    <w:rsid w:val="002807BD"/>
    <w:rsid w:val="002808EC"/>
    <w:rsid w:val="00283C68"/>
    <w:rsid w:val="0028455A"/>
    <w:rsid w:val="00284AAF"/>
    <w:rsid w:val="00284EA3"/>
    <w:rsid w:val="0028609F"/>
    <w:rsid w:val="0028618A"/>
    <w:rsid w:val="00287454"/>
    <w:rsid w:val="00290A7E"/>
    <w:rsid w:val="002932C5"/>
    <w:rsid w:val="002935C5"/>
    <w:rsid w:val="002936D5"/>
    <w:rsid w:val="00293E13"/>
    <w:rsid w:val="002950F7"/>
    <w:rsid w:val="0029541A"/>
    <w:rsid w:val="0029581B"/>
    <w:rsid w:val="002958B9"/>
    <w:rsid w:val="0029640E"/>
    <w:rsid w:val="00296AA6"/>
    <w:rsid w:val="00297BD2"/>
    <w:rsid w:val="002A1332"/>
    <w:rsid w:val="002A1BA3"/>
    <w:rsid w:val="002A1BC3"/>
    <w:rsid w:val="002A2B47"/>
    <w:rsid w:val="002A356B"/>
    <w:rsid w:val="002A420E"/>
    <w:rsid w:val="002A4A70"/>
    <w:rsid w:val="002A4FA1"/>
    <w:rsid w:val="002A5D40"/>
    <w:rsid w:val="002A6CA4"/>
    <w:rsid w:val="002A6EBF"/>
    <w:rsid w:val="002A7259"/>
    <w:rsid w:val="002A792B"/>
    <w:rsid w:val="002B041C"/>
    <w:rsid w:val="002B124D"/>
    <w:rsid w:val="002B35E8"/>
    <w:rsid w:val="002B4F83"/>
    <w:rsid w:val="002B5060"/>
    <w:rsid w:val="002B58AC"/>
    <w:rsid w:val="002B6FFE"/>
    <w:rsid w:val="002B7B29"/>
    <w:rsid w:val="002C000A"/>
    <w:rsid w:val="002C287F"/>
    <w:rsid w:val="002C4F5D"/>
    <w:rsid w:val="002C6174"/>
    <w:rsid w:val="002C68C5"/>
    <w:rsid w:val="002C7127"/>
    <w:rsid w:val="002D06AB"/>
    <w:rsid w:val="002D0D51"/>
    <w:rsid w:val="002D1178"/>
    <w:rsid w:val="002D2410"/>
    <w:rsid w:val="002D2D81"/>
    <w:rsid w:val="002D306D"/>
    <w:rsid w:val="002D5858"/>
    <w:rsid w:val="002D590D"/>
    <w:rsid w:val="002D6A01"/>
    <w:rsid w:val="002D75D2"/>
    <w:rsid w:val="002D7F6F"/>
    <w:rsid w:val="002E08B7"/>
    <w:rsid w:val="002E1A8A"/>
    <w:rsid w:val="002E24C1"/>
    <w:rsid w:val="002E2CCA"/>
    <w:rsid w:val="002E625A"/>
    <w:rsid w:val="002E679C"/>
    <w:rsid w:val="002E7056"/>
    <w:rsid w:val="002F0FBE"/>
    <w:rsid w:val="002F1035"/>
    <w:rsid w:val="002F188C"/>
    <w:rsid w:val="002F1E9B"/>
    <w:rsid w:val="002F374B"/>
    <w:rsid w:val="002F4C57"/>
    <w:rsid w:val="002F5202"/>
    <w:rsid w:val="002F5E30"/>
    <w:rsid w:val="002F7AFF"/>
    <w:rsid w:val="002F7DCE"/>
    <w:rsid w:val="003027A9"/>
    <w:rsid w:val="00304720"/>
    <w:rsid w:val="00304E15"/>
    <w:rsid w:val="00305CF8"/>
    <w:rsid w:val="00306AD0"/>
    <w:rsid w:val="0031055F"/>
    <w:rsid w:val="003118BB"/>
    <w:rsid w:val="00311EF2"/>
    <w:rsid w:val="00312248"/>
    <w:rsid w:val="00313111"/>
    <w:rsid w:val="003145B5"/>
    <w:rsid w:val="003146BC"/>
    <w:rsid w:val="0031664F"/>
    <w:rsid w:val="00316960"/>
    <w:rsid w:val="00316BF2"/>
    <w:rsid w:val="00317A27"/>
    <w:rsid w:val="00317E37"/>
    <w:rsid w:val="0032037B"/>
    <w:rsid w:val="00320A73"/>
    <w:rsid w:val="00321205"/>
    <w:rsid w:val="003240B4"/>
    <w:rsid w:val="00325B47"/>
    <w:rsid w:val="00325D26"/>
    <w:rsid w:val="00325DCB"/>
    <w:rsid w:val="003269AC"/>
    <w:rsid w:val="00327CBA"/>
    <w:rsid w:val="00330CC6"/>
    <w:rsid w:val="00331C27"/>
    <w:rsid w:val="00331CBF"/>
    <w:rsid w:val="00332454"/>
    <w:rsid w:val="00332C3F"/>
    <w:rsid w:val="00334238"/>
    <w:rsid w:val="00336873"/>
    <w:rsid w:val="00337236"/>
    <w:rsid w:val="0033726D"/>
    <w:rsid w:val="00337419"/>
    <w:rsid w:val="00340398"/>
    <w:rsid w:val="00340B0E"/>
    <w:rsid w:val="00344371"/>
    <w:rsid w:val="00344515"/>
    <w:rsid w:val="003447B9"/>
    <w:rsid w:val="00344802"/>
    <w:rsid w:val="00344A1A"/>
    <w:rsid w:val="00344CCC"/>
    <w:rsid w:val="0034639A"/>
    <w:rsid w:val="00346713"/>
    <w:rsid w:val="003472D1"/>
    <w:rsid w:val="003475DA"/>
    <w:rsid w:val="00351143"/>
    <w:rsid w:val="00353D65"/>
    <w:rsid w:val="00355E37"/>
    <w:rsid w:val="0035713A"/>
    <w:rsid w:val="00357E29"/>
    <w:rsid w:val="00360273"/>
    <w:rsid w:val="00360B6E"/>
    <w:rsid w:val="00361E65"/>
    <w:rsid w:val="0036284B"/>
    <w:rsid w:val="00362D6D"/>
    <w:rsid w:val="00362FA5"/>
    <w:rsid w:val="003631A1"/>
    <w:rsid w:val="00363402"/>
    <w:rsid w:val="00363C92"/>
    <w:rsid w:val="00364157"/>
    <w:rsid w:val="00364163"/>
    <w:rsid w:val="0036455D"/>
    <w:rsid w:val="003665C6"/>
    <w:rsid w:val="00366ACD"/>
    <w:rsid w:val="00367FEE"/>
    <w:rsid w:val="0037066D"/>
    <w:rsid w:val="00370A8F"/>
    <w:rsid w:val="003715DF"/>
    <w:rsid w:val="003717BA"/>
    <w:rsid w:val="003719D7"/>
    <w:rsid w:val="00371B28"/>
    <w:rsid w:val="00374493"/>
    <w:rsid w:val="0037474D"/>
    <w:rsid w:val="0037569C"/>
    <w:rsid w:val="00376DB8"/>
    <w:rsid w:val="00377294"/>
    <w:rsid w:val="00382887"/>
    <w:rsid w:val="003835E2"/>
    <w:rsid w:val="00383CB2"/>
    <w:rsid w:val="003853FC"/>
    <w:rsid w:val="003862BA"/>
    <w:rsid w:val="003863BE"/>
    <w:rsid w:val="00386778"/>
    <w:rsid w:val="003869C7"/>
    <w:rsid w:val="00387CB1"/>
    <w:rsid w:val="00390200"/>
    <w:rsid w:val="00390541"/>
    <w:rsid w:val="00391210"/>
    <w:rsid w:val="00393A9F"/>
    <w:rsid w:val="00394636"/>
    <w:rsid w:val="003947E8"/>
    <w:rsid w:val="00394A00"/>
    <w:rsid w:val="00395843"/>
    <w:rsid w:val="00396118"/>
    <w:rsid w:val="00396A58"/>
    <w:rsid w:val="00396BE1"/>
    <w:rsid w:val="003A131D"/>
    <w:rsid w:val="003A1E77"/>
    <w:rsid w:val="003A2C45"/>
    <w:rsid w:val="003A2C48"/>
    <w:rsid w:val="003A5B7A"/>
    <w:rsid w:val="003A5C7D"/>
    <w:rsid w:val="003A6A09"/>
    <w:rsid w:val="003A6FB4"/>
    <w:rsid w:val="003A71FA"/>
    <w:rsid w:val="003A74CE"/>
    <w:rsid w:val="003B16DF"/>
    <w:rsid w:val="003B3C5B"/>
    <w:rsid w:val="003B5612"/>
    <w:rsid w:val="003B5950"/>
    <w:rsid w:val="003B5DBA"/>
    <w:rsid w:val="003B615C"/>
    <w:rsid w:val="003C0730"/>
    <w:rsid w:val="003C0BD5"/>
    <w:rsid w:val="003C11ED"/>
    <w:rsid w:val="003C2113"/>
    <w:rsid w:val="003C277F"/>
    <w:rsid w:val="003C2BB2"/>
    <w:rsid w:val="003C2F57"/>
    <w:rsid w:val="003C391C"/>
    <w:rsid w:val="003C392C"/>
    <w:rsid w:val="003C3BB0"/>
    <w:rsid w:val="003C3C5A"/>
    <w:rsid w:val="003C5FD6"/>
    <w:rsid w:val="003C6976"/>
    <w:rsid w:val="003C6D82"/>
    <w:rsid w:val="003C7124"/>
    <w:rsid w:val="003C7587"/>
    <w:rsid w:val="003C795A"/>
    <w:rsid w:val="003C7BEC"/>
    <w:rsid w:val="003D0BA3"/>
    <w:rsid w:val="003D1455"/>
    <w:rsid w:val="003D27D1"/>
    <w:rsid w:val="003D6CEF"/>
    <w:rsid w:val="003D7495"/>
    <w:rsid w:val="003D7546"/>
    <w:rsid w:val="003E0558"/>
    <w:rsid w:val="003E0629"/>
    <w:rsid w:val="003E135E"/>
    <w:rsid w:val="003E3004"/>
    <w:rsid w:val="003E3DBA"/>
    <w:rsid w:val="003E4554"/>
    <w:rsid w:val="003F0705"/>
    <w:rsid w:val="003F12F4"/>
    <w:rsid w:val="003F1422"/>
    <w:rsid w:val="003F16AF"/>
    <w:rsid w:val="003F180C"/>
    <w:rsid w:val="003F24C1"/>
    <w:rsid w:val="003F2B98"/>
    <w:rsid w:val="003F314B"/>
    <w:rsid w:val="003F32BB"/>
    <w:rsid w:val="003F3CB4"/>
    <w:rsid w:val="003F5B14"/>
    <w:rsid w:val="003F715F"/>
    <w:rsid w:val="003F769F"/>
    <w:rsid w:val="004004E7"/>
    <w:rsid w:val="004024D0"/>
    <w:rsid w:val="00402A88"/>
    <w:rsid w:val="00402C69"/>
    <w:rsid w:val="004038BA"/>
    <w:rsid w:val="004038CC"/>
    <w:rsid w:val="00405128"/>
    <w:rsid w:val="0040553A"/>
    <w:rsid w:val="00405829"/>
    <w:rsid w:val="00406AE0"/>
    <w:rsid w:val="00406D06"/>
    <w:rsid w:val="0040726B"/>
    <w:rsid w:val="0040752E"/>
    <w:rsid w:val="00411B24"/>
    <w:rsid w:val="00412B5A"/>
    <w:rsid w:val="00412D37"/>
    <w:rsid w:val="00413629"/>
    <w:rsid w:val="0041394C"/>
    <w:rsid w:val="00413DE8"/>
    <w:rsid w:val="00413EB6"/>
    <w:rsid w:val="00414605"/>
    <w:rsid w:val="00414CA7"/>
    <w:rsid w:val="00414DB8"/>
    <w:rsid w:val="00414DBC"/>
    <w:rsid w:val="004153DA"/>
    <w:rsid w:val="00416FBB"/>
    <w:rsid w:val="00417CB5"/>
    <w:rsid w:val="0042019E"/>
    <w:rsid w:val="004209DA"/>
    <w:rsid w:val="00420EB7"/>
    <w:rsid w:val="00421C8F"/>
    <w:rsid w:val="0042289B"/>
    <w:rsid w:val="004229FD"/>
    <w:rsid w:val="004231FA"/>
    <w:rsid w:val="0042335F"/>
    <w:rsid w:val="00425097"/>
    <w:rsid w:val="004267FF"/>
    <w:rsid w:val="004270E3"/>
    <w:rsid w:val="0043009D"/>
    <w:rsid w:val="0043041C"/>
    <w:rsid w:val="004329D1"/>
    <w:rsid w:val="004330A8"/>
    <w:rsid w:val="0043312F"/>
    <w:rsid w:val="0043454A"/>
    <w:rsid w:val="00434DE3"/>
    <w:rsid w:val="0043569D"/>
    <w:rsid w:val="004360D5"/>
    <w:rsid w:val="00436186"/>
    <w:rsid w:val="00436724"/>
    <w:rsid w:val="0043694B"/>
    <w:rsid w:val="00437350"/>
    <w:rsid w:val="00440E73"/>
    <w:rsid w:val="004410D0"/>
    <w:rsid w:val="00441502"/>
    <w:rsid w:val="0044190E"/>
    <w:rsid w:val="004454BC"/>
    <w:rsid w:val="004457CB"/>
    <w:rsid w:val="004458D2"/>
    <w:rsid w:val="00446117"/>
    <w:rsid w:val="0044615C"/>
    <w:rsid w:val="00446BEF"/>
    <w:rsid w:val="00447395"/>
    <w:rsid w:val="00447E93"/>
    <w:rsid w:val="0045058F"/>
    <w:rsid w:val="00450969"/>
    <w:rsid w:val="00453BB1"/>
    <w:rsid w:val="004540FD"/>
    <w:rsid w:val="00454B8D"/>
    <w:rsid w:val="0045579E"/>
    <w:rsid w:val="00456218"/>
    <w:rsid w:val="00456AE8"/>
    <w:rsid w:val="00462470"/>
    <w:rsid w:val="00462A4E"/>
    <w:rsid w:val="004636E8"/>
    <w:rsid w:val="00463AA7"/>
    <w:rsid w:val="00464507"/>
    <w:rsid w:val="004646CC"/>
    <w:rsid w:val="00464C28"/>
    <w:rsid w:val="00464CEB"/>
    <w:rsid w:val="00464DEF"/>
    <w:rsid w:val="00465217"/>
    <w:rsid w:val="004656E6"/>
    <w:rsid w:val="004660A7"/>
    <w:rsid w:val="00466927"/>
    <w:rsid w:val="00466A8E"/>
    <w:rsid w:val="004675C2"/>
    <w:rsid w:val="00467BFC"/>
    <w:rsid w:val="00470241"/>
    <w:rsid w:val="00470B8C"/>
    <w:rsid w:val="004711A1"/>
    <w:rsid w:val="004726D3"/>
    <w:rsid w:val="00472C61"/>
    <w:rsid w:val="00473149"/>
    <w:rsid w:val="00474ADC"/>
    <w:rsid w:val="00475DCB"/>
    <w:rsid w:val="00476FF3"/>
    <w:rsid w:val="00477DAD"/>
    <w:rsid w:val="00480424"/>
    <w:rsid w:val="004808EF"/>
    <w:rsid w:val="00480B16"/>
    <w:rsid w:val="00480D7F"/>
    <w:rsid w:val="00481CF5"/>
    <w:rsid w:val="004821EE"/>
    <w:rsid w:val="004825A8"/>
    <w:rsid w:val="00482C91"/>
    <w:rsid w:val="0048498F"/>
    <w:rsid w:val="004851E0"/>
    <w:rsid w:val="00485796"/>
    <w:rsid w:val="0048638E"/>
    <w:rsid w:val="00486ED8"/>
    <w:rsid w:val="00486F61"/>
    <w:rsid w:val="00487549"/>
    <w:rsid w:val="00487901"/>
    <w:rsid w:val="004879E1"/>
    <w:rsid w:val="004909EE"/>
    <w:rsid w:val="00494196"/>
    <w:rsid w:val="00494745"/>
    <w:rsid w:val="004956FF"/>
    <w:rsid w:val="00495844"/>
    <w:rsid w:val="0049685E"/>
    <w:rsid w:val="004969CA"/>
    <w:rsid w:val="00496DD6"/>
    <w:rsid w:val="00497D1A"/>
    <w:rsid w:val="004A0535"/>
    <w:rsid w:val="004A1763"/>
    <w:rsid w:val="004A21CE"/>
    <w:rsid w:val="004A2528"/>
    <w:rsid w:val="004A2C00"/>
    <w:rsid w:val="004A2E86"/>
    <w:rsid w:val="004A3C5E"/>
    <w:rsid w:val="004A76C5"/>
    <w:rsid w:val="004A7CC8"/>
    <w:rsid w:val="004A7CF9"/>
    <w:rsid w:val="004B175E"/>
    <w:rsid w:val="004B19D4"/>
    <w:rsid w:val="004B20CA"/>
    <w:rsid w:val="004B22F1"/>
    <w:rsid w:val="004B2CAF"/>
    <w:rsid w:val="004B2DE5"/>
    <w:rsid w:val="004B3443"/>
    <w:rsid w:val="004B46F4"/>
    <w:rsid w:val="004B516B"/>
    <w:rsid w:val="004B6B8C"/>
    <w:rsid w:val="004B7140"/>
    <w:rsid w:val="004B7510"/>
    <w:rsid w:val="004B7673"/>
    <w:rsid w:val="004B7916"/>
    <w:rsid w:val="004B7C40"/>
    <w:rsid w:val="004B7CED"/>
    <w:rsid w:val="004B7CF9"/>
    <w:rsid w:val="004B7E4F"/>
    <w:rsid w:val="004C07E2"/>
    <w:rsid w:val="004C3BD0"/>
    <w:rsid w:val="004C3E04"/>
    <w:rsid w:val="004C5315"/>
    <w:rsid w:val="004C56A8"/>
    <w:rsid w:val="004C5B4F"/>
    <w:rsid w:val="004C640B"/>
    <w:rsid w:val="004C778F"/>
    <w:rsid w:val="004C7E5B"/>
    <w:rsid w:val="004D2912"/>
    <w:rsid w:val="004D2CB4"/>
    <w:rsid w:val="004D31C8"/>
    <w:rsid w:val="004D6780"/>
    <w:rsid w:val="004D6F58"/>
    <w:rsid w:val="004E1F87"/>
    <w:rsid w:val="004E35EB"/>
    <w:rsid w:val="004E3B02"/>
    <w:rsid w:val="004E3B9F"/>
    <w:rsid w:val="004E4B0E"/>
    <w:rsid w:val="004E5688"/>
    <w:rsid w:val="004E7179"/>
    <w:rsid w:val="004F147B"/>
    <w:rsid w:val="004F151F"/>
    <w:rsid w:val="004F185B"/>
    <w:rsid w:val="004F4E98"/>
    <w:rsid w:val="004F500E"/>
    <w:rsid w:val="004F5753"/>
    <w:rsid w:val="004F5B4C"/>
    <w:rsid w:val="0050113C"/>
    <w:rsid w:val="00502CE3"/>
    <w:rsid w:val="005041D2"/>
    <w:rsid w:val="005041E0"/>
    <w:rsid w:val="00504965"/>
    <w:rsid w:val="00504DE9"/>
    <w:rsid w:val="005058AE"/>
    <w:rsid w:val="00505C34"/>
    <w:rsid w:val="00506CE1"/>
    <w:rsid w:val="00510CDA"/>
    <w:rsid w:val="00510FA5"/>
    <w:rsid w:val="00511225"/>
    <w:rsid w:val="00512989"/>
    <w:rsid w:val="005129A9"/>
    <w:rsid w:val="005132F4"/>
    <w:rsid w:val="00514D45"/>
    <w:rsid w:val="00515926"/>
    <w:rsid w:val="00515CF7"/>
    <w:rsid w:val="00517335"/>
    <w:rsid w:val="00517D19"/>
    <w:rsid w:val="00517F9C"/>
    <w:rsid w:val="00522546"/>
    <w:rsid w:val="005230A4"/>
    <w:rsid w:val="005230A6"/>
    <w:rsid w:val="00523741"/>
    <w:rsid w:val="00524550"/>
    <w:rsid w:val="0052557C"/>
    <w:rsid w:val="005257E9"/>
    <w:rsid w:val="00525B93"/>
    <w:rsid w:val="00526DCE"/>
    <w:rsid w:val="00527631"/>
    <w:rsid w:val="00530418"/>
    <w:rsid w:val="00530630"/>
    <w:rsid w:val="00530C24"/>
    <w:rsid w:val="00530F4F"/>
    <w:rsid w:val="005329AB"/>
    <w:rsid w:val="005351D7"/>
    <w:rsid w:val="00535F81"/>
    <w:rsid w:val="005364F0"/>
    <w:rsid w:val="00536695"/>
    <w:rsid w:val="00537603"/>
    <w:rsid w:val="00537995"/>
    <w:rsid w:val="0054068D"/>
    <w:rsid w:val="0054099A"/>
    <w:rsid w:val="0054183A"/>
    <w:rsid w:val="00541F26"/>
    <w:rsid w:val="00542C89"/>
    <w:rsid w:val="0054346E"/>
    <w:rsid w:val="0054368D"/>
    <w:rsid w:val="00543A8D"/>
    <w:rsid w:val="00543C3B"/>
    <w:rsid w:val="00546A8C"/>
    <w:rsid w:val="00547778"/>
    <w:rsid w:val="00550244"/>
    <w:rsid w:val="005508C4"/>
    <w:rsid w:val="005510FC"/>
    <w:rsid w:val="00551419"/>
    <w:rsid w:val="00551B6F"/>
    <w:rsid w:val="005526CA"/>
    <w:rsid w:val="00553306"/>
    <w:rsid w:val="0055369D"/>
    <w:rsid w:val="00553E4C"/>
    <w:rsid w:val="005546F9"/>
    <w:rsid w:val="00555039"/>
    <w:rsid w:val="005557AF"/>
    <w:rsid w:val="00555A0C"/>
    <w:rsid w:val="00555D71"/>
    <w:rsid w:val="00556134"/>
    <w:rsid w:val="00556954"/>
    <w:rsid w:val="005569F7"/>
    <w:rsid w:val="00556F36"/>
    <w:rsid w:val="0055787E"/>
    <w:rsid w:val="00557C75"/>
    <w:rsid w:val="005607C7"/>
    <w:rsid w:val="005610FC"/>
    <w:rsid w:val="005616E5"/>
    <w:rsid w:val="0056216F"/>
    <w:rsid w:val="00562217"/>
    <w:rsid w:val="00562F2D"/>
    <w:rsid w:val="00564129"/>
    <w:rsid w:val="00564418"/>
    <w:rsid w:val="005648C8"/>
    <w:rsid w:val="0056491B"/>
    <w:rsid w:val="00564981"/>
    <w:rsid w:val="00564F19"/>
    <w:rsid w:val="0056576E"/>
    <w:rsid w:val="00565CF3"/>
    <w:rsid w:val="00565E61"/>
    <w:rsid w:val="005660A0"/>
    <w:rsid w:val="00566468"/>
    <w:rsid w:val="005667BB"/>
    <w:rsid w:val="00566BFD"/>
    <w:rsid w:val="00566EE4"/>
    <w:rsid w:val="0056756A"/>
    <w:rsid w:val="0056786C"/>
    <w:rsid w:val="0057044B"/>
    <w:rsid w:val="00571717"/>
    <w:rsid w:val="00571AF9"/>
    <w:rsid w:val="00572383"/>
    <w:rsid w:val="00572603"/>
    <w:rsid w:val="00572B37"/>
    <w:rsid w:val="00574714"/>
    <w:rsid w:val="00574C23"/>
    <w:rsid w:val="00574D68"/>
    <w:rsid w:val="00575663"/>
    <w:rsid w:val="005763FE"/>
    <w:rsid w:val="005778A6"/>
    <w:rsid w:val="0057794C"/>
    <w:rsid w:val="005805FA"/>
    <w:rsid w:val="00580BC2"/>
    <w:rsid w:val="00581652"/>
    <w:rsid w:val="00582030"/>
    <w:rsid w:val="00582336"/>
    <w:rsid w:val="0058245F"/>
    <w:rsid w:val="0058472B"/>
    <w:rsid w:val="00586640"/>
    <w:rsid w:val="00586E9C"/>
    <w:rsid w:val="00587593"/>
    <w:rsid w:val="00587876"/>
    <w:rsid w:val="00587D19"/>
    <w:rsid w:val="0059034C"/>
    <w:rsid w:val="00590A1F"/>
    <w:rsid w:val="00590D64"/>
    <w:rsid w:val="005914B8"/>
    <w:rsid w:val="00592093"/>
    <w:rsid w:val="0059297D"/>
    <w:rsid w:val="00592ECB"/>
    <w:rsid w:val="00593DFC"/>
    <w:rsid w:val="00594FE3"/>
    <w:rsid w:val="00595918"/>
    <w:rsid w:val="0059600B"/>
    <w:rsid w:val="00596E1B"/>
    <w:rsid w:val="00597C8B"/>
    <w:rsid w:val="005A1163"/>
    <w:rsid w:val="005A1421"/>
    <w:rsid w:val="005A2043"/>
    <w:rsid w:val="005A2351"/>
    <w:rsid w:val="005A2682"/>
    <w:rsid w:val="005A42EA"/>
    <w:rsid w:val="005A45EF"/>
    <w:rsid w:val="005A58FA"/>
    <w:rsid w:val="005A6B27"/>
    <w:rsid w:val="005A6F29"/>
    <w:rsid w:val="005A7088"/>
    <w:rsid w:val="005A767C"/>
    <w:rsid w:val="005A7715"/>
    <w:rsid w:val="005A7A14"/>
    <w:rsid w:val="005A7D0E"/>
    <w:rsid w:val="005B0D12"/>
    <w:rsid w:val="005B28C7"/>
    <w:rsid w:val="005B2B09"/>
    <w:rsid w:val="005B2F00"/>
    <w:rsid w:val="005B3505"/>
    <w:rsid w:val="005B4F18"/>
    <w:rsid w:val="005B589D"/>
    <w:rsid w:val="005B60BB"/>
    <w:rsid w:val="005B6442"/>
    <w:rsid w:val="005B6554"/>
    <w:rsid w:val="005B6E33"/>
    <w:rsid w:val="005B71E0"/>
    <w:rsid w:val="005B7C1B"/>
    <w:rsid w:val="005C052E"/>
    <w:rsid w:val="005C0861"/>
    <w:rsid w:val="005C0EBA"/>
    <w:rsid w:val="005C15F3"/>
    <w:rsid w:val="005C2BD0"/>
    <w:rsid w:val="005C46CF"/>
    <w:rsid w:val="005C5480"/>
    <w:rsid w:val="005C6080"/>
    <w:rsid w:val="005D0091"/>
    <w:rsid w:val="005D0183"/>
    <w:rsid w:val="005D02DB"/>
    <w:rsid w:val="005D24DC"/>
    <w:rsid w:val="005D27FD"/>
    <w:rsid w:val="005D2DCF"/>
    <w:rsid w:val="005D3259"/>
    <w:rsid w:val="005D3372"/>
    <w:rsid w:val="005D45DA"/>
    <w:rsid w:val="005D4DDE"/>
    <w:rsid w:val="005D4FC8"/>
    <w:rsid w:val="005D52CE"/>
    <w:rsid w:val="005D5927"/>
    <w:rsid w:val="005D6F9E"/>
    <w:rsid w:val="005D70F9"/>
    <w:rsid w:val="005E1296"/>
    <w:rsid w:val="005E161E"/>
    <w:rsid w:val="005E18D8"/>
    <w:rsid w:val="005E30E3"/>
    <w:rsid w:val="005E3620"/>
    <w:rsid w:val="005E36DF"/>
    <w:rsid w:val="005E483D"/>
    <w:rsid w:val="005E4BDF"/>
    <w:rsid w:val="005E53EC"/>
    <w:rsid w:val="005E549C"/>
    <w:rsid w:val="005E5EB0"/>
    <w:rsid w:val="005E6661"/>
    <w:rsid w:val="005F04B2"/>
    <w:rsid w:val="005F11DA"/>
    <w:rsid w:val="005F3856"/>
    <w:rsid w:val="005F6071"/>
    <w:rsid w:val="006005D5"/>
    <w:rsid w:val="00600906"/>
    <w:rsid w:val="00600A57"/>
    <w:rsid w:val="00600CC8"/>
    <w:rsid w:val="0060197E"/>
    <w:rsid w:val="00601E7D"/>
    <w:rsid w:val="00602091"/>
    <w:rsid w:val="006035E3"/>
    <w:rsid w:val="0060585B"/>
    <w:rsid w:val="00605D11"/>
    <w:rsid w:val="00606873"/>
    <w:rsid w:val="00606FF3"/>
    <w:rsid w:val="00607065"/>
    <w:rsid w:val="00607202"/>
    <w:rsid w:val="00607EFA"/>
    <w:rsid w:val="006105F9"/>
    <w:rsid w:val="0061178F"/>
    <w:rsid w:val="00611E5B"/>
    <w:rsid w:val="006137DA"/>
    <w:rsid w:val="0061440E"/>
    <w:rsid w:val="00614A4E"/>
    <w:rsid w:val="0061555E"/>
    <w:rsid w:val="0061719E"/>
    <w:rsid w:val="00617290"/>
    <w:rsid w:val="00617477"/>
    <w:rsid w:val="0062069E"/>
    <w:rsid w:val="0062088D"/>
    <w:rsid w:val="00621A9F"/>
    <w:rsid w:val="00621CDF"/>
    <w:rsid w:val="00621E67"/>
    <w:rsid w:val="00622642"/>
    <w:rsid w:val="00622BB8"/>
    <w:rsid w:val="00624908"/>
    <w:rsid w:val="006256FF"/>
    <w:rsid w:val="00625848"/>
    <w:rsid w:val="006261D5"/>
    <w:rsid w:val="00626AC9"/>
    <w:rsid w:val="00626F23"/>
    <w:rsid w:val="0062748A"/>
    <w:rsid w:val="006279F6"/>
    <w:rsid w:val="00630036"/>
    <w:rsid w:val="006301FE"/>
    <w:rsid w:val="00630D25"/>
    <w:rsid w:val="00630DCB"/>
    <w:rsid w:val="00631E16"/>
    <w:rsid w:val="006321C9"/>
    <w:rsid w:val="0063234E"/>
    <w:rsid w:val="00632551"/>
    <w:rsid w:val="006332B3"/>
    <w:rsid w:val="00633912"/>
    <w:rsid w:val="0063398C"/>
    <w:rsid w:val="00635472"/>
    <w:rsid w:val="006356F5"/>
    <w:rsid w:val="00636A39"/>
    <w:rsid w:val="006372E0"/>
    <w:rsid w:val="00637311"/>
    <w:rsid w:val="006378A5"/>
    <w:rsid w:val="00640450"/>
    <w:rsid w:val="0064096B"/>
    <w:rsid w:val="00641B76"/>
    <w:rsid w:val="00642D15"/>
    <w:rsid w:val="0064376B"/>
    <w:rsid w:val="00644B41"/>
    <w:rsid w:val="006458A3"/>
    <w:rsid w:val="006464C3"/>
    <w:rsid w:val="0064749C"/>
    <w:rsid w:val="006479F8"/>
    <w:rsid w:val="006508E0"/>
    <w:rsid w:val="00650923"/>
    <w:rsid w:val="00650AEB"/>
    <w:rsid w:val="0065177A"/>
    <w:rsid w:val="00652D3B"/>
    <w:rsid w:val="00654579"/>
    <w:rsid w:val="0065519F"/>
    <w:rsid w:val="00655507"/>
    <w:rsid w:val="00655FF8"/>
    <w:rsid w:val="00656015"/>
    <w:rsid w:val="00656913"/>
    <w:rsid w:val="00656F57"/>
    <w:rsid w:val="00660491"/>
    <w:rsid w:val="006604E9"/>
    <w:rsid w:val="00660AF7"/>
    <w:rsid w:val="00661A13"/>
    <w:rsid w:val="00662760"/>
    <w:rsid w:val="0066313E"/>
    <w:rsid w:val="00663FA2"/>
    <w:rsid w:val="0066478D"/>
    <w:rsid w:val="00666459"/>
    <w:rsid w:val="00666736"/>
    <w:rsid w:val="006667AA"/>
    <w:rsid w:val="00670188"/>
    <w:rsid w:val="0067032B"/>
    <w:rsid w:val="00670D5D"/>
    <w:rsid w:val="0067170E"/>
    <w:rsid w:val="006717A5"/>
    <w:rsid w:val="0067183E"/>
    <w:rsid w:val="00671AED"/>
    <w:rsid w:val="00671FC2"/>
    <w:rsid w:val="0067269C"/>
    <w:rsid w:val="00672B51"/>
    <w:rsid w:val="006768DD"/>
    <w:rsid w:val="00676BDB"/>
    <w:rsid w:val="00677034"/>
    <w:rsid w:val="006778C2"/>
    <w:rsid w:val="00680339"/>
    <w:rsid w:val="00682027"/>
    <w:rsid w:val="006828C8"/>
    <w:rsid w:val="00682BB5"/>
    <w:rsid w:val="00683DD9"/>
    <w:rsid w:val="00685AC3"/>
    <w:rsid w:val="00686CD0"/>
    <w:rsid w:val="00687172"/>
    <w:rsid w:val="00690472"/>
    <w:rsid w:val="00690A25"/>
    <w:rsid w:val="00692C81"/>
    <w:rsid w:val="00693C45"/>
    <w:rsid w:val="00693ECB"/>
    <w:rsid w:val="00694BEB"/>
    <w:rsid w:val="0069515C"/>
    <w:rsid w:val="00695645"/>
    <w:rsid w:val="00696955"/>
    <w:rsid w:val="00696C15"/>
    <w:rsid w:val="00696DA1"/>
    <w:rsid w:val="00697B58"/>
    <w:rsid w:val="006A0E7C"/>
    <w:rsid w:val="006A3BC9"/>
    <w:rsid w:val="006A4542"/>
    <w:rsid w:val="006A4B36"/>
    <w:rsid w:val="006A4D08"/>
    <w:rsid w:val="006A551F"/>
    <w:rsid w:val="006A598F"/>
    <w:rsid w:val="006A60D2"/>
    <w:rsid w:val="006A63A3"/>
    <w:rsid w:val="006A720F"/>
    <w:rsid w:val="006A7473"/>
    <w:rsid w:val="006B0836"/>
    <w:rsid w:val="006B1093"/>
    <w:rsid w:val="006B28D7"/>
    <w:rsid w:val="006B2C59"/>
    <w:rsid w:val="006B3036"/>
    <w:rsid w:val="006B36F9"/>
    <w:rsid w:val="006B3C42"/>
    <w:rsid w:val="006B4695"/>
    <w:rsid w:val="006B4803"/>
    <w:rsid w:val="006B486A"/>
    <w:rsid w:val="006B5DD8"/>
    <w:rsid w:val="006B603D"/>
    <w:rsid w:val="006C1326"/>
    <w:rsid w:val="006C1774"/>
    <w:rsid w:val="006C216E"/>
    <w:rsid w:val="006C3479"/>
    <w:rsid w:val="006C43CE"/>
    <w:rsid w:val="006C4DD9"/>
    <w:rsid w:val="006C51E3"/>
    <w:rsid w:val="006C5473"/>
    <w:rsid w:val="006C5F2B"/>
    <w:rsid w:val="006C69C4"/>
    <w:rsid w:val="006C75AF"/>
    <w:rsid w:val="006D0891"/>
    <w:rsid w:val="006D0913"/>
    <w:rsid w:val="006D1604"/>
    <w:rsid w:val="006D1B1E"/>
    <w:rsid w:val="006D2E03"/>
    <w:rsid w:val="006D5558"/>
    <w:rsid w:val="006D5B99"/>
    <w:rsid w:val="006D7989"/>
    <w:rsid w:val="006D7E1B"/>
    <w:rsid w:val="006D7F4D"/>
    <w:rsid w:val="006E0E1A"/>
    <w:rsid w:val="006E1ECE"/>
    <w:rsid w:val="006E1F2D"/>
    <w:rsid w:val="006E24BB"/>
    <w:rsid w:val="006E2DA6"/>
    <w:rsid w:val="006E31AC"/>
    <w:rsid w:val="006E337A"/>
    <w:rsid w:val="006E44EF"/>
    <w:rsid w:val="006E5D1C"/>
    <w:rsid w:val="006E61F9"/>
    <w:rsid w:val="006E62F1"/>
    <w:rsid w:val="006E6844"/>
    <w:rsid w:val="006F02EC"/>
    <w:rsid w:val="006F115F"/>
    <w:rsid w:val="006F1432"/>
    <w:rsid w:val="006F14E4"/>
    <w:rsid w:val="006F2133"/>
    <w:rsid w:val="006F25E4"/>
    <w:rsid w:val="006F2ACB"/>
    <w:rsid w:val="006F40C7"/>
    <w:rsid w:val="006F4394"/>
    <w:rsid w:val="006F7437"/>
    <w:rsid w:val="006F7FE5"/>
    <w:rsid w:val="007005DD"/>
    <w:rsid w:val="0070202A"/>
    <w:rsid w:val="007029AA"/>
    <w:rsid w:val="00702CFB"/>
    <w:rsid w:val="00702DAA"/>
    <w:rsid w:val="00703250"/>
    <w:rsid w:val="00703820"/>
    <w:rsid w:val="007046D2"/>
    <w:rsid w:val="00704AE4"/>
    <w:rsid w:val="007054B1"/>
    <w:rsid w:val="00705A22"/>
    <w:rsid w:val="00705D11"/>
    <w:rsid w:val="00705F5C"/>
    <w:rsid w:val="0070601C"/>
    <w:rsid w:val="007067FA"/>
    <w:rsid w:val="00706A1D"/>
    <w:rsid w:val="00707089"/>
    <w:rsid w:val="00707C01"/>
    <w:rsid w:val="007106B7"/>
    <w:rsid w:val="00710CAC"/>
    <w:rsid w:val="007113DA"/>
    <w:rsid w:val="007115F3"/>
    <w:rsid w:val="00712018"/>
    <w:rsid w:val="00712842"/>
    <w:rsid w:val="00713236"/>
    <w:rsid w:val="007157EE"/>
    <w:rsid w:val="0071588B"/>
    <w:rsid w:val="00716E23"/>
    <w:rsid w:val="00721CEB"/>
    <w:rsid w:val="00721E78"/>
    <w:rsid w:val="00722690"/>
    <w:rsid w:val="00723686"/>
    <w:rsid w:val="007236EC"/>
    <w:rsid w:val="00723B05"/>
    <w:rsid w:val="00723E1B"/>
    <w:rsid w:val="007244A7"/>
    <w:rsid w:val="007255D0"/>
    <w:rsid w:val="0072660F"/>
    <w:rsid w:val="00726DB0"/>
    <w:rsid w:val="00726F5C"/>
    <w:rsid w:val="00727C73"/>
    <w:rsid w:val="00730169"/>
    <w:rsid w:val="00731135"/>
    <w:rsid w:val="00731D53"/>
    <w:rsid w:val="007368CA"/>
    <w:rsid w:val="00736A78"/>
    <w:rsid w:val="0073726E"/>
    <w:rsid w:val="00740FB0"/>
    <w:rsid w:val="00741A7B"/>
    <w:rsid w:val="00742A3E"/>
    <w:rsid w:val="007435EB"/>
    <w:rsid w:val="00743EEC"/>
    <w:rsid w:val="00744A8B"/>
    <w:rsid w:val="00745FDA"/>
    <w:rsid w:val="00746002"/>
    <w:rsid w:val="00746BC6"/>
    <w:rsid w:val="007473E9"/>
    <w:rsid w:val="00747A87"/>
    <w:rsid w:val="00750440"/>
    <w:rsid w:val="0075092C"/>
    <w:rsid w:val="007514E0"/>
    <w:rsid w:val="0075410B"/>
    <w:rsid w:val="00754906"/>
    <w:rsid w:val="00754B50"/>
    <w:rsid w:val="007556AF"/>
    <w:rsid w:val="00755738"/>
    <w:rsid w:val="00755ACC"/>
    <w:rsid w:val="00756077"/>
    <w:rsid w:val="007567BF"/>
    <w:rsid w:val="007571A5"/>
    <w:rsid w:val="00757B68"/>
    <w:rsid w:val="007612A7"/>
    <w:rsid w:val="00761D86"/>
    <w:rsid w:val="0076339C"/>
    <w:rsid w:val="00763FE3"/>
    <w:rsid w:val="00764693"/>
    <w:rsid w:val="00764E70"/>
    <w:rsid w:val="007658EB"/>
    <w:rsid w:val="00765A87"/>
    <w:rsid w:val="00765C8A"/>
    <w:rsid w:val="00766595"/>
    <w:rsid w:val="00766953"/>
    <w:rsid w:val="00766C52"/>
    <w:rsid w:val="00766F57"/>
    <w:rsid w:val="00767299"/>
    <w:rsid w:val="00771636"/>
    <w:rsid w:val="00771713"/>
    <w:rsid w:val="00771D95"/>
    <w:rsid w:val="00772933"/>
    <w:rsid w:val="0077297A"/>
    <w:rsid w:val="00775054"/>
    <w:rsid w:val="00775583"/>
    <w:rsid w:val="00775B8E"/>
    <w:rsid w:val="00775E39"/>
    <w:rsid w:val="00776AD5"/>
    <w:rsid w:val="00776BEE"/>
    <w:rsid w:val="0077735F"/>
    <w:rsid w:val="007802C2"/>
    <w:rsid w:val="00781DF3"/>
    <w:rsid w:val="00785265"/>
    <w:rsid w:val="0078587B"/>
    <w:rsid w:val="00786085"/>
    <w:rsid w:val="00786374"/>
    <w:rsid w:val="007869B6"/>
    <w:rsid w:val="0079082A"/>
    <w:rsid w:val="00790DCA"/>
    <w:rsid w:val="00790E61"/>
    <w:rsid w:val="00791BF0"/>
    <w:rsid w:val="00793C56"/>
    <w:rsid w:val="00795313"/>
    <w:rsid w:val="00797BAD"/>
    <w:rsid w:val="007A15EB"/>
    <w:rsid w:val="007A1898"/>
    <w:rsid w:val="007A3672"/>
    <w:rsid w:val="007A4B75"/>
    <w:rsid w:val="007A5C14"/>
    <w:rsid w:val="007A5E33"/>
    <w:rsid w:val="007A67DB"/>
    <w:rsid w:val="007A7C05"/>
    <w:rsid w:val="007B0B0F"/>
    <w:rsid w:val="007B1131"/>
    <w:rsid w:val="007B17CA"/>
    <w:rsid w:val="007B1D3C"/>
    <w:rsid w:val="007B3CCC"/>
    <w:rsid w:val="007B3FB7"/>
    <w:rsid w:val="007B5091"/>
    <w:rsid w:val="007B50FA"/>
    <w:rsid w:val="007B6191"/>
    <w:rsid w:val="007B7155"/>
    <w:rsid w:val="007B729D"/>
    <w:rsid w:val="007B7326"/>
    <w:rsid w:val="007B7932"/>
    <w:rsid w:val="007C0F9C"/>
    <w:rsid w:val="007C15B8"/>
    <w:rsid w:val="007C21C9"/>
    <w:rsid w:val="007C321F"/>
    <w:rsid w:val="007C3785"/>
    <w:rsid w:val="007C3F0D"/>
    <w:rsid w:val="007C4879"/>
    <w:rsid w:val="007C4F9F"/>
    <w:rsid w:val="007C6BAF"/>
    <w:rsid w:val="007C6F2A"/>
    <w:rsid w:val="007C72C0"/>
    <w:rsid w:val="007D0C94"/>
    <w:rsid w:val="007D27DA"/>
    <w:rsid w:val="007D300F"/>
    <w:rsid w:val="007D4D69"/>
    <w:rsid w:val="007D54BE"/>
    <w:rsid w:val="007D6596"/>
    <w:rsid w:val="007D78D3"/>
    <w:rsid w:val="007D7CE6"/>
    <w:rsid w:val="007E06CD"/>
    <w:rsid w:val="007E22AF"/>
    <w:rsid w:val="007E310C"/>
    <w:rsid w:val="007E3D1A"/>
    <w:rsid w:val="007E45AC"/>
    <w:rsid w:val="007E53D2"/>
    <w:rsid w:val="007E5CAE"/>
    <w:rsid w:val="007E6C09"/>
    <w:rsid w:val="007F0120"/>
    <w:rsid w:val="007F1BA1"/>
    <w:rsid w:val="007F23FA"/>
    <w:rsid w:val="007F3226"/>
    <w:rsid w:val="007F3287"/>
    <w:rsid w:val="007F3431"/>
    <w:rsid w:val="007F599D"/>
    <w:rsid w:val="007F5C02"/>
    <w:rsid w:val="007F5D8A"/>
    <w:rsid w:val="007F5DCE"/>
    <w:rsid w:val="007F6C49"/>
    <w:rsid w:val="007F6D29"/>
    <w:rsid w:val="007F6D73"/>
    <w:rsid w:val="007F7C39"/>
    <w:rsid w:val="00800660"/>
    <w:rsid w:val="00801028"/>
    <w:rsid w:val="0080171E"/>
    <w:rsid w:val="0080197F"/>
    <w:rsid w:val="008037C5"/>
    <w:rsid w:val="0080401B"/>
    <w:rsid w:val="00804212"/>
    <w:rsid w:val="00804AA1"/>
    <w:rsid w:val="008059D2"/>
    <w:rsid w:val="00805C94"/>
    <w:rsid w:val="008062C9"/>
    <w:rsid w:val="00807842"/>
    <w:rsid w:val="00810FC9"/>
    <w:rsid w:val="00812893"/>
    <w:rsid w:val="00812BF8"/>
    <w:rsid w:val="00813116"/>
    <w:rsid w:val="0081328C"/>
    <w:rsid w:val="00813A8C"/>
    <w:rsid w:val="00813BEC"/>
    <w:rsid w:val="008146A2"/>
    <w:rsid w:val="008154D7"/>
    <w:rsid w:val="00815629"/>
    <w:rsid w:val="008159C0"/>
    <w:rsid w:val="00816B63"/>
    <w:rsid w:val="00816EF5"/>
    <w:rsid w:val="008175D4"/>
    <w:rsid w:val="00817F82"/>
    <w:rsid w:val="00820103"/>
    <w:rsid w:val="00822082"/>
    <w:rsid w:val="00822A46"/>
    <w:rsid w:val="00823CFE"/>
    <w:rsid w:val="0082483B"/>
    <w:rsid w:val="008249E2"/>
    <w:rsid w:val="00824B8A"/>
    <w:rsid w:val="008253BD"/>
    <w:rsid w:val="00825A0F"/>
    <w:rsid w:val="00830DCB"/>
    <w:rsid w:val="00830FDB"/>
    <w:rsid w:val="00830FE7"/>
    <w:rsid w:val="0083137E"/>
    <w:rsid w:val="00831CC0"/>
    <w:rsid w:val="00832017"/>
    <w:rsid w:val="00833980"/>
    <w:rsid w:val="00834A73"/>
    <w:rsid w:val="00834AA4"/>
    <w:rsid w:val="00834F41"/>
    <w:rsid w:val="00835B27"/>
    <w:rsid w:val="0083733B"/>
    <w:rsid w:val="00840872"/>
    <w:rsid w:val="00840CAA"/>
    <w:rsid w:val="008411AC"/>
    <w:rsid w:val="00841449"/>
    <w:rsid w:val="00842690"/>
    <w:rsid w:val="00843213"/>
    <w:rsid w:val="008433DB"/>
    <w:rsid w:val="00843CE5"/>
    <w:rsid w:val="00843ED4"/>
    <w:rsid w:val="008451D3"/>
    <w:rsid w:val="008455A3"/>
    <w:rsid w:val="0084577E"/>
    <w:rsid w:val="008459B7"/>
    <w:rsid w:val="00845A92"/>
    <w:rsid w:val="00850357"/>
    <w:rsid w:val="008508FF"/>
    <w:rsid w:val="008511F8"/>
    <w:rsid w:val="00851599"/>
    <w:rsid w:val="0085182F"/>
    <w:rsid w:val="00852C16"/>
    <w:rsid w:val="0085375F"/>
    <w:rsid w:val="00853CEB"/>
    <w:rsid w:val="00853D9C"/>
    <w:rsid w:val="0085540D"/>
    <w:rsid w:val="00855DD2"/>
    <w:rsid w:val="00856BB8"/>
    <w:rsid w:val="0086042E"/>
    <w:rsid w:val="00860FEF"/>
    <w:rsid w:val="008612D6"/>
    <w:rsid w:val="00861D3C"/>
    <w:rsid w:val="00862339"/>
    <w:rsid w:val="00866AD9"/>
    <w:rsid w:val="00867C75"/>
    <w:rsid w:val="00867ED9"/>
    <w:rsid w:val="0087011E"/>
    <w:rsid w:val="008706F6"/>
    <w:rsid w:val="00870BF1"/>
    <w:rsid w:val="00870EEF"/>
    <w:rsid w:val="0087220E"/>
    <w:rsid w:val="0087246F"/>
    <w:rsid w:val="0087259E"/>
    <w:rsid w:val="00872C05"/>
    <w:rsid w:val="00872C81"/>
    <w:rsid w:val="0087360D"/>
    <w:rsid w:val="00874F84"/>
    <w:rsid w:val="0087682D"/>
    <w:rsid w:val="008769B3"/>
    <w:rsid w:val="00876EE6"/>
    <w:rsid w:val="00876F17"/>
    <w:rsid w:val="00876F90"/>
    <w:rsid w:val="00881BC0"/>
    <w:rsid w:val="00882286"/>
    <w:rsid w:val="0088238B"/>
    <w:rsid w:val="008823FF"/>
    <w:rsid w:val="0088297E"/>
    <w:rsid w:val="00883007"/>
    <w:rsid w:val="00883023"/>
    <w:rsid w:val="00883AE1"/>
    <w:rsid w:val="00883D24"/>
    <w:rsid w:val="00884808"/>
    <w:rsid w:val="00884AA9"/>
    <w:rsid w:val="00884F25"/>
    <w:rsid w:val="0088569C"/>
    <w:rsid w:val="00887B03"/>
    <w:rsid w:val="00890613"/>
    <w:rsid w:val="00890A88"/>
    <w:rsid w:val="00890E42"/>
    <w:rsid w:val="0089120A"/>
    <w:rsid w:val="00892A0F"/>
    <w:rsid w:val="00893634"/>
    <w:rsid w:val="00893FCC"/>
    <w:rsid w:val="0089406C"/>
    <w:rsid w:val="00897452"/>
    <w:rsid w:val="00897BB5"/>
    <w:rsid w:val="008A165B"/>
    <w:rsid w:val="008A2723"/>
    <w:rsid w:val="008A312A"/>
    <w:rsid w:val="008A3236"/>
    <w:rsid w:val="008A4C97"/>
    <w:rsid w:val="008A55A2"/>
    <w:rsid w:val="008A572D"/>
    <w:rsid w:val="008A6131"/>
    <w:rsid w:val="008A65EB"/>
    <w:rsid w:val="008A6AA1"/>
    <w:rsid w:val="008A722E"/>
    <w:rsid w:val="008A7DE0"/>
    <w:rsid w:val="008A7F48"/>
    <w:rsid w:val="008B05E2"/>
    <w:rsid w:val="008B0EDB"/>
    <w:rsid w:val="008B2F58"/>
    <w:rsid w:val="008B3411"/>
    <w:rsid w:val="008B36BF"/>
    <w:rsid w:val="008B370E"/>
    <w:rsid w:val="008B4367"/>
    <w:rsid w:val="008B4425"/>
    <w:rsid w:val="008B5400"/>
    <w:rsid w:val="008B584C"/>
    <w:rsid w:val="008B587E"/>
    <w:rsid w:val="008B6C68"/>
    <w:rsid w:val="008B7449"/>
    <w:rsid w:val="008B7581"/>
    <w:rsid w:val="008B7A73"/>
    <w:rsid w:val="008B7D32"/>
    <w:rsid w:val="008C0DC0"/>
    <w:rsid w:val="008C0E04"/>
    <w:rsid w:val="008C0F05"/>
    <w:rsid w:val="008C1338"/>
    <w:rsid w:val="008C184E"/>
    <w:rsid w:val="008C2750"/>
    <w:rsid w:val="008C3898"/>
    <w:rsid w:val="008C45B1"/>
    <w:rsid w:val="008C4ECE"/>
    <w:rsid w:val="008C63B3"/>
    <w:rsid w:val="008C7362"/>
    <w:rsid w:val="008C7C65"/>
    <w:rsid w:val="008D1C76"/>
    <w:rsid w:val="008D293E"/>
    <w:rsid w:val="008D2E33"/>
    <w:rsid w:val="008D3CDF"/>
    <w:rsid w:val="008D4E44"/>
    <w:rsid w:val="008D5FAE"/>
    <w:rsid w:val="008D668C"/>
    <w:rsid w:val="008E1393"/>
    <w:rsid w:val="008E2E5D"/>
    <w:rsid w:val="008E405D"/>
    <w:rsid w:val="008E458B"/>
    <w:rsid w:val="008E4ADF"/>
    <w:rsid w:val="008E5615"/>
    <w:rsid w:val="008E65C6"/>
    <w:rsid w:val="008E6B76"/>
    <w:rsid w:val="008E6CA4"/>
    <w:rsid w:val="008E7E12"/>
    <w:rsid w:val="008F0FC3"/>
    <w:rsid w:val="008F1434"/>
    <w:rsid w:val="008F1C72"/>
    <w:rsid w:val="008F26D0"/>
    <w:rsid w:val="008F27E4"/>
    <w:rsid w:val="008F47B6"/>
    <w:rsid w:val="008F5A5D"/>
    <w:rsid w:val="008F6AE5"/>
    <w:rsid w:val="008F6E60"/>
    <w:rsid w:val="008F6E64"/>
    <w:rsid w:val="008F73D1"/>
    <w:rsid w:val="008F75B2"/>
    <w:rsid w:val="00900FF2"/>
    <w:rsid w:val="00901198"/>
    <w:rsid w:val="009024F9"/>
    <w:rsid w:val="00902819"/>
    <w:rsid w:val="00903EAA"/>
    <w:rsid w:val="0090490F"/>
    <w:rsid w:val="00907EF2"/>
    <w:rsid w:val="00910798"/>
    <w:rsid w:val="00910CA1"/>
    <w:rsid w:val="00911231"/>
    <w:rsid w:val="00911577"/>
    <w:rsid w:val="009115F6"/>
    <w:rsid w:val="00911DC6"/>
    <w:rsid w:val="00912557"/>
    <w:rsid w:val="00912AD7"/>
    <w:rsid w:val="00914B70"/>
    <w:rsid w:val="00914EAD"/>
    <w:rsid w:val="00916C5E"/>
    <w:rsid w:val="00916FD1"/>
    <w:rsid w:val="00917565"/>
    <w:rsid w:val="009207F6"/>
    <w:rsid w:val="00920DBF"/>
    <w:rsid w:val="0092140E"/>
    <w:rsid w:val="0092199F"/>
    <w:rsid w:val="00922F6D"/>
    <w:rsid w:val="00923121"/>
    <w:rsid w:val="00924BD8"/>
    <w:rsid w:val="00924DDA"/>
    <w:rsid w:val="00926403"/>
    <w:rsid w:val="009266A5"/>
    <w:rsid w:val="00927726"/>
    <w:rsid w:val="00927D02"/>
    <w:rsid w:val="009304A2"/>
    <w:rsid w:val="009315E2"/>
    <w:rsid w:val="00931F88"/>
    <w:rsid w:val="0093316D"/>
    <w:rsid w:val="00933F6E"/>
    <w:rsid w:val="00935A3F"/>
    <w:rsid w:val="00937547"/>
    <w:rsid w:val="00940D6D"/>
    <w:rsid w:val="00941793"/>
    <w:rsid w:val="00941D55"/>
    <w:rsid w:val="00941DD9"/>
    <w:rsid w:val="009431D1"/>
    <w:rsid w:val="00943699"/>
    <w:rsid w:val="00943A7B"/>
    <w:rsid w:val="009445C6"/>
    <w:rsid w:val="009445F8"/>
    <w:rsid w:val="00944948"/>
    <w:rsid w:val="00944CEB"/>
    <w:rsid w:val="009460D2"/>
    <w:rsid w:val="0094632F"/>
    <w:rsid w:val="00947456"/>
    <w:rsid w:val="00947C69"/>
    <w:rsid w:val="0095027F"/>
    <w:rsid w:val="00950AB1"/>
    <w:rsid w:val="009510C8"/>
    <w:rsid w:val="009517DD"/>
    <w:rsid w:val="009527CC"/>
    <w:rsid w:val="009535F6"/>
    <w:rsid w:val="00953A6C"/>
    <w:rsid w:val="00954467"/>
    <w:rsid w:val="00954742"/>
    <w:rsid w:val="009554ED"/>
    <w:rsid w:val="00955DA7"/>
    <w:rsid w:val="009560A0"/>
    <w:rsid w:val="00957231"/>
    <w:rsid w:val="00961313"/>
    <w:rsid w:val="0096163D"/>
    <w:rsid w:val="00961BF7"/>
    <w:rsid w:val="00962108"/>
    <w:rsid w:val="009621BD"/>
    <w:rsid w:val="0096489F"/>
    <w:rsid w:val="00964B0E"/>
    <w:rsid w:val="00965708"/>
    <w:rsid w:val="00965C85"/>
    <w:rsid w:val="009702AA"/>
    <w:rsid w:val="0097044A"/>
    <w:rsid w:val="009706C5"/>
    <w:rsid w:val="00970FE3"/>
    <w:rsid w:val="00971311"/>
    <w:rsid w:val="00971592"/>
    <w:rsid w:val="0097187F"/>
    <w:rsid w:val="00971AD9"/>
    <w:rsid w:val="009720E7"/>
    <w:rsid w:val="00973259"/>
    <w:rsid w:val="009738F8"/>
    <w:rsid w:val="00975383"/>
    <w:rsid w:val="0097548E"/>
    <w:rsid w:val="009762B9"/>
    <w:rsid w:val="009774F0"/>
    <w:rsid w:val="00977B68"/>
    <w:rsid w:val="009800B1"/>
    <w:rsid w:val="00981D51"/>
    <w:rsid w:val="009823A7"/>
    <w:rsid w:val="009836C7"/>
    <w:rsid w:val="0098370B"/>
    <w:rsid w:val="00984BB9"/>
    <w:rsid w:val="00984CA9"/>
    <w:rsid w:val="0098539B"/>
    <w:rsid w:val="00985DD4"/>
    <w:rsid w:val="009860FB"/>
    <w:rsid w:val="009863B8"/>
    <w:rsid w:val="0098734D"/>
    <w:rsid w:val="00987466"/>
    <w:rsid w:val="0098749D"/>
    <w:rsid w:val="00987FDE"/>
    <w:rsid w:val="009914A2"/>
    <w:rsid w:val="00992215"/>
    <w:rsid w:val="009940EA"/>
    <w:rsid w:val="009957C4"/>
    <w:rsid w:val="00996947"/>
    <w:rsid w:val="00997BEA"/>
    <w:rsid w:val="009A0638"/>
    <w:rsid w:val="009A0A98"/>
    <w:rsid w:val="009A1799"/>
    <w:rsid w:val="009A2088"/>
    <w:rsid w:val="009A258E"/>
    <w:rsid w:val="009A3298"/>
    <w:rsid w:val="009A42DC"/>
    <w:rsid w:val="009A5A86"/>
    <w:rsid w:val="009B10AC"/>
    <w:rsid w:val="009B312F"/>
    <w:rsid w:val="009B4423"/>
    <w:rsid w:val="009B5067"/>
    <w:rsid w:val="009B62DF"/>
    <w:rsid w:val="009B6F89"/>
    <w:rsid w:val="009B7260"/>
    <w:rsid w:val="009B780E"/>
    <w:rsid w:val="009B7AC8"/>
    <w:rsid w:val="009C0EE2"/>
    <w:rsid w:val="009C10CF"/>
    <w:rsid w:val="009C13DE"/>
    <w:rsid w:val="009C15A7"/>
    <w:rsid w:val="009C19A7"/>
    <w:rsid w:val="009C21A7"/>
    <w:rsid w:val="009C23A5"/>
    <w:rsid w:val="009C2D62"/>
    <w:rsid w:val="009C2E4A"/>
    <w:rsid w:val="009C3293"/>
    <w:rsid w:val="009C4569"/>
    <w:rsid w:val="009C67A8"/>
    <w:rsid w:val="009C6E69"/>
    <w:rsid w:val="009D2573"/>
    <w:rsid w:val="009D3556"/>
    <w:rsid w:val="009D4D49"/>
    <w:rsid w:val="009D5C18"/>
    <w:rsid w:val="009D68D4"/>
    <w:rsid w:val="009D74F4"/>
    <w:rsid w:val="009D7903"/>
    <w:rsid w:val="009E340E"/>
    <w:rsid w:val="009E4327"/>
    <w:rsid w:val="009E6796"/>
    <w:rsid w:val="009E6B5E"/>
    <w:rsid w:val="009E754D"/>
    <w:rsid w:val="009E794C"/>
    <w:rsid w:val="009F044D"/>
    <w:rsid w:val="009F0D60"/>
    <w:rsid w:val="009F15C9"/>
    <w:rsid w:val="009F1813"/>
    <w:rsid w:val="009F383D"/>
    <w:rsid w:val="009F3891"/>
    <w:rsid w:val="009F4666"/>
    <w:rsid w:val="009F4775"/>
    <w:rsid w:val="009F5261"/>
    <w:rsid w:val="009F5F5A"/>
    <w:rsid w:val="00A00119"/>
    <w:rsid w:val="00A00390"/>
    <w:rsid w:val="00A00A54"/>
    <w:rsid w:val="00A00F70"/>
    <w:rsid w:val="00A0107F"/>
    <w:rsid w:val="00A02A6A"/>
    <w:rsid w:val="00A02CD6"/>
    <w:rsid w:val="00A039D8"/>
    <w:rsid w:val="00A03ABE"/>
    <w:rsid w:val="00A05376"/>
    <w:rsid w:val="00A05581"/>
    <w:rsid w:val="00A06D76"/>
    <w:rsid w:val="00A073B8"/>
    <w:rsid w:val="00A10DF1"/>
    <w:rsid w:val="00A11A79"/>
    <w:rsid w:val="00A12217"/>
    <w:rsid w:val="00A14FC8"/>
    <w:rsid w:val="00A16624"/>
    <w:rsid w:val="00A16B68"/>
    <w:rsid w:val="00A17831"/>
    <w:rsid w:val="00A17EAD"/>
    <w:rsid w:val="00A20761"/>
    <w:rsid w:val="00A20D74"/>
    <w:rsid w:val="00A254E4"/>
    <w:rsid w:val="00A25F1E"/>
    <w:rsid w:val="00A2679F"/>
    <w:rsid w:val="00A307B0"/>
    <w:rsid w:val="00A312A6"/>
    <w:rsid w:val="00A31537"/>
    <w:rsid w:val="00A31E18"/>
    <w:rsid w:val="00A31F42"/>
    <w:rsid w:val="00A329E4"/>
    <w:rsid w:val="00A3308C"/>
    <w:rsid w:val="00A338DB"/>
    <w:rsid w:val="00A341AB"/>
    <w:rsid w:val="00A35591"/>
    <w:rsid w:val="00A355F8"/>
    <w:rsid w:val="00A36902"/>
    <w:rsid w:val="00A36E94"/>
    <w:rsid w:val="00A3776B"/>
    <w:rsid w:val="00A40A63"/>
    <w:rsid w:val="00A40BCF"/>
    <w:rsid w:val="00A41230"/>
    <w:rsid w:val="00A42671"/>
    <w:rsid w:val="00A4271C"/>
    <w:rsid w:val="00A42D9A"/>
    <w:rsid w:val="00A43B18"/>
    <w:rsid w:val="00A43D93"/>
    <w:rsid w:val="00A441AA"/>
    <w:rsid w:val="00A44A52"/>
    <w:rsid w:val="00A455DB"/>
    <w:rsid w:val="00A468B9"/>
    <w:rsid w:val="00A47294"/>
    <w:rsid w:val="00A503A1"/>
    <w:rsid w:val="00A504DA"/>
    <w:rsid w:val="00A50773"/>
    <w:rsid w:val="00A515F1"/>
    <w:rsid w:val="00A52668"/>
    <w:rsid w:val="00A52B84"/>
    <w:rsid w:val="00A52E57"/>
    <w:rsid w:val="00A52E74"/>
    <w:rsid w:val="00A54EE1"/>
    <w:rsid w:val="00A558E3"/>
    <w:rsid w:val="00A5626B"/>
    <w:rsid w:val="00A571D8"/>
    <w:rsid w:val="00A572AD"/>
    <w:rsid w:val="00A60042"/>
    <w:rsid w:val="00A60650"/>
    <w:rsid w:val="00A62876"/>
    <w:rsid w:val="00A62911"/>
    <w:rsid w:val="00A62B0A"/>
    <w:rsid w:val="00A63358"/>
    <w:rsid w:val="00A6389E"/>
    <w:rsid w:val="00A65413"/>
    <w:rsid w:val="00A667B9"/>
    <w:rsid w:val="00A70B6D"/>
    <w:rsid w:val="00A70BAE"/>
    <w:rsid w:val="00A728E1"/>
    <w:rsid w:val="00A72BF8"/>
    <w:rsid w:val="00A730CD"/>
    <w:rsid w:val="00A73563"/>
    <w:rsid w:val="00A735A1"/>
    <w:rsid w:val="00A73D8A"/>
    <w:rsid w:val="00A7484A"/>
    <w:rsid w:val="00A7513C"/>
    <w:rsid w:val="00A75C7A"/>
    <w:rsid w:val="00A76B15"/>
    <w:rsid w:val="00A76B86"/>
    <w:rsid w:val="00A76F7A"/>
    <w:rsid w:val="00A77084"/>
    <w:rsid w:val="00A8001A"/>
    <w:rsid w:val="00A8087E"/>
    <w:rsid w:val="00A8092C"/>
    <w:rsid w:val="00A80C53"/>
    <w:rsid w:val="00A81165"/>
    <w:rsid w:val="00A81944"/>
    <w:rsid w:val="00A81C3E"/>
    <w:rsid w:val="00A82AD2"/>
    <w:rsid w:val="00A84BB9"/>
    <w:rsid w:val="00A855DA"/>
    <w:rsid w:val="00A863EF"/>
    <w:rsid w:val="00A86CAF"/>
    <w:rsid w:val="00A87C75"/>
    <w:rsid w:val="00A900AC"/>
    <w:rsid w:val="00A9045D"/>
    <w:rsid w:val="00A90666"/>
    <w:rsid w:val="00A90BE0"/>
    <w:rsid w:val="00A918F7"/>
    <w:rsid w:val="00A91E7F"/>
    <w:rsid w:val="00A92084"/>
    <w:rsid w:val="00A92A1D"/>
    <w:rsid w:val="00A92DA1"/>
    <w:rsid w:val="00A92E28"/>
    <w:rsid w:val="00A94FF6"/>
    <w:rsid w:val="00A957C0"/>
    <w:rsid w:val="00A964F4"/>
    <w:rsid w:val="00A96F89"/>
    <w:rsid w:val="00A97070"/>
    <w:rsid w:val="00AA05D1"/>
    <w:rsid w:val="00AA1060"/>
    <w:rsid w:val="00AA2503"/>
    <w:rsid w:val="00AA2987"/>
    <w:rsid w:val="00AA3436"/>
    <w:rsid w:val="00AA493C"/>
    <w:rsid w:val="00AA4D7F"/>
    <w:rsid w:val="00AA4F12"/>
    <w:rsid w:val="00AA681D"/>
    <w:rsid w:val="00AA76A0"/>
    <w:rsid w:val="00AA7AA2"/>
    <w:rsid w:val="00AB00D6"/>
    <w:rsid w:val="00AB0841"/>
    <w:rsid w:val="00AB3789"/>
    <w:rsid w:val="00AB57AD"/>
    <w:rsid w:val="00AB5F8D"/>
    <w:rsid w:val="00AB666B"/>
    <w:rsid w:val="00AB7D1A"/>
    <w:rsid w:val="00AB7EC5"/>
    <w:rsid w:val="00AC025E"/>
    <w:rsid w:val="00AC03AB"/>
    <w:rsid w:val="00AC12BC"/>
    <w:rsid w:val="00AC31AE"/>
    <w:rsid w:val="00AC59FE"/>
    <w:rsid w:val="00AC61A1"/>
    <w:rsid w:val="00AD2165"/>
    <w:rsid w:val="00AD39FA"/>
    <w:rsid w:val="00AD4347"/>
    <w:rsid w:val="00AD44C3"/>
    <w:rsid w:val="00AD5730"/>
    <w:rsid w:val="00AD72B2"/>
    <w:rsid w:val="00AE16FD"/>
    <w:rsid w:val="00AE239C"/>
    <w:rsid w:val="00AE24C9"/>
    <w:rsid w:val="00AE2850"/>
    <w:rsid w:val="00AE2B73"/>
    <w:rsid w:val="00AE3603"/>
    <w:rsid w:val="00AE459F"/>
    <w:rsid w:val="00AE4B47"/>
    <w:rsid w:val="00AE5173"/>
    <w:rsid w:val="00AE549D"/>
    <w:rsid w:val="00AE58B6"/>
    <w:rsid w:val="00AE6715"/>
    <w:rsid w:val="00AE7284"/>
    <w:rsid w:val="00AE75C6"/>
    <w:rsid w:val="00AE760F"/>
    <w:rsid w:val="00AE786B"/>
    <w:rsid w:val="00AE7A76"/>
    <w:rsid w:val="00AF04D4"/>
    <w:rsid w:val="00AF05E6"/>
    <w:rsid w:val="00AF1D72"/>
    <w:rsid w:val="00AF21A4"/>
    <w:rsid w:val="00AF3007"/>
    <w:rsid w:val="00AF4150"/>
    <w:rsid w:val="00AF4CFA"/>
    <w:rsid w:val="00AF53D3"/>
    <w:rsid w:val="00AF56AD"/>
    <w:rsid w:val="00AF669E"/>
    <w:rsid w:val="00AF675B"/>
    <w:rsid w:val="00AF6AB7"/>
    <w:rsid w:val="00AF706F"/>
    <w:rsid w:val="00B00FAA"/>
    <w:rsid w:val="00B01548"/>
    <w:rsid w:val="00B02534"/>
    <w:rsid w:val="00B0322F"/>
    <w:rsid w:val="00B036D8"/>
    <w:rsid w:val="00B03A6A"/>
    <w:rsid w:val="00B03BDF"/>
    <w:rsid w:val="00B03F69"/>
    <w:rsid w:val="00B0407A"/>
    <w:rsid w:val="00B0415B"/>
    <w:rsid w:val="00B068C9"/>
    <w:rsid w:val="00B06B85"/>
    <w:rsid w:val="00B0702A"/>
    <w:rsid w:val="00B0714E"/>
    <w:rsid w:val="00B100F5"/>
    <w:rsid w:val="00B10D19"/>
    <w:rsid w:val="00B10F3F"/>
    <w:rsid w:val="00B128BB"/>
    <w:rsid w:val="00B13043"/>
    <w:rsid w:val="00B131D2"/>
    <w:rsid w:val="00B16730"/>
    <w:rsid w:val="00B17164"/>
    <w:rsid w:val="00B17A49"/>
    <w:rsid w:val="00B17D38"/>
    <w:rsid w:val="00B17F39"/>
    <w:rsid w:val="00B20A71"/>
    <w:rsid w:val="00B20B1F"/>
    <w:rsid w:val="00B20F67"/>
    <w:rsid w:val="00B22293"/>
    <w:rsid w:val="00B2379D"/>
    <w:rsid w:val="00B24076"/>
    <w:rsid w:val="00B244E5"/>
    <w:rsid w:val="00B24BAB"/>
    <w:rsid w:val="00B2604A"/>
    <w:rsid w:val="00B260BB"/>
    <w:rsid w:val="00B26F36"/>
    <w:rsid w:val="00B30040"/>
    <w:rsid w:val="00B301BD"/>
    <w:rsid w:val="00B307B1"/>
    <w:rsid w:val="00B30E12"/>
    <w:rsid w:val="00B33AA3"/>
    <w:rsid w:val="00B33E29"/>
    <w:rsid w:val="00B347AE"/>
    <w:rsid w:val="00B348F1"/>
    <w:rsid w:val="00B348F8"/>
    <w:rsid w:val="00B371BF"/>
    <w:rsid w:val="00B374B7"/>
    <w:rsid w:val="00B407BB"/>
    <w:rsid w:val="00B41341"/>
    <w:rsid w:val="00B42170"/>
    <w:rsid w:val="00B423AB"/>
    <w:rsid w:val="00B436E8"/>
    <w:rsid w:val="00B43860"/>
    <w:rsid w:val="00B43C96"/>
    <w:rsid w:val="00B4476F"/>
    <w:rsid w:val="00B45BD7"/>
    <w:rsid w:val="00B468A7"/>
    <w:rsid w:val="00B46908"/>
    <w:rsid w:val="00B4693A"/>
    <w:rsid w:val="00B46B06"/>
    <w:rsid w:val="00B47166"/>
    <w:rsid w:val="00B504D1"/>
    <w:rsid w:val="00B505E0"/>
    <w:rsid w:val="00B50834"/>
    <w:rsid w:val="00B51E61"/>
    <w:rsid w:val="00B520AE"/>
    <w:rsid w:val="00B54F0A"/>
    <w:rsid w:val="00B55B80"/>
    <w:rsid w:val="00B56773"/>
    <w:rsid w:val="00B6065F"/>
    <w:rsid w:val="00B60A8A"/>
    <w:rsid w:val="00B60ED2"/>
    <w:rsid w:val="00B63814"/>
    <w:rsid w:val="00B63DE6"/>
    <w:rsid w:val="00B641CA"/>
    <w:rsid w:val="00B65A8D"/>
    <w:rsid w:val="00B660C6"/>
    <w:rsid w:val="00B66DB3"/>
    <w:rsid w:val="00B67D91"/>
    <w:rsid w:val="00B700E4"/>
    <w:rsid w:val="00B7025E"/>
    <w:rsid w:val="00B70C41"/>
    <w:rsid w:val="00B71742"/>
    <w:rsid w:val="00B719F4"/>
    <w:rsid w:val="00B71EB2"/>
    <w:rsid w:val="00B72A0A"/>
    <w:rsid w:val="00B741FF"/>
    <w:rsid w:val="00B74682"/>
    <w:rsid w:val="00B74F1D"/>
    <w:rsid w:val="00B7562C"/>
    <w:rsid w:val="00B778C0"/>
    <w:rsid w:val="00B8172C"/>
    <w:rsid w:val="00B823A4"/>
    <w:rsid w:val="00B833B6"/>
    <w:rsid w:val="00B83707"/>
    <w:rsid w:val="00B83F40"/>
    <w:rsid w:val="00B83F67"/>
    <w:rsid w:val="00B845AF"/>
    <w:rsid w:val="00B84867"/>
    <w:rsid w:val="00B84CE5"/>
    <w:rsid w:val="00B84D85"/>
    <w:rsid w:val="00B84FA6"/>
    <w:rsid w:val="00B854C5"/>
    <w:rsid w:val="00B8598D"/>
    <w:rsid w:val="00B86BBE"/>
    <w:rsid w:val="00B8749F"/>
    <w:rsid w:val="00B87854"/>
    <w:rsid w:val="00B8796B"/>
    <w:rsid w:val="00B87BAA"/>
    <w:rsid w:val="00B90AE6"/>
    <w:rsid w:val="00B90B97"/>
    <w:rsid w:val="00B91991"/>
    <w:rsid w:val="00B9252F"/>
    <w:rsid w:val="00B92C00"/>
    <w:rsid w:val="00B933B9"/>
    <w:rsid w:val="00B9487A"/>
    <w:rsid w:val="00B952EB"/>
    <w:rsid w:val="00B95AFC"/>
    <w:rsid w:val="00B9766A"/>
    <w:rsid w:val="00B97851"/>
    <w:rsid w:val="00BA078B"/>
    <w:rsid w:val="00BA0C46"/>
    <w:rsid w:val="00BA1A64"/>
    <w:rsid w:val="00BA25F3"/>
    <w:rsid w:val="00BA2ED9"/>
    <w:rsid w:val="00BA358D"/>
    <w:rsid w:val="00BA5DD8"/>
    <w:rsid w:val="00BA67F0"/>
    <w:rsid w:val="00BA79C0"/>
    <w:rsid w:val="00BB03B6"/>
    <w:rsid w:val="00BB076D"/>
    <w:rsid w:val="00BB0852"/>
    <w:rsid w:val="00BB1FDD"/>
    <w:rsid w:val="00BB27B4"/>
    <w:rsid w:val="00BB3155"/>
    <w:rsid w:val="00BB3A90"/>
    <w:rsid w:val="00BB424C"/>
    <w:rsid w:val="00BB4C11"/>
    <w:rsid w:val="00BB55AF"/>
    <w:rsid w:val="00BB7065"/>
    <w:rsid w:val="00BC128F"/>
    <w:rsid w:val="00BC14C0"/>
    <w:rsid w:val="00BC20FE"/>
    <w:rsid w:val="00BC250E"/>
    <w:rsid w:val="00BC278D"/>
    <w:rsid w:val="00BC43D1"/>
    <w:rsid w:val="00BC5022"/>
    <w:rsid w:val="00BC5A19"/>
    <w:rsid w:val="00BC5C34"/>
    <w:rsid w:val="00BC5CBA"/>
    <w:rsid w:val="00BC616F"/>
    <w:rsid w:val="00BC72B6"/>
    <w:rsid w:val="00BD31CF"/>
    <w:rsid w:val="00BD36C0"/>
    <w:rsid w:val="00BD3C7D"/>
    <w:rsid w:val="00BD4078"/>
    <w:rsid w:val="00BD4216"/>
    <w:rsid w:val="00BD4E26"/>
    <w:rsid w:val="00BD5035"/>
    <w:rsid w:val="00BD5262"/>
    <w:rsid w:val="00BD5668"/>
    <w:rsid w:val="00BD5B8B"/>
    <w:rsid w:val="00BD69D2"/>
    <w:rsid w:val="00BD77FD"/>
    <w:rsid w:val="00BD7D60"/>
    <w:rsid w:val="00BE0BB1"/>
    <w:rsid w:val="00BE1077"/>
    <w:rsid w:val="00BE2C7B"/>
    <w:rsid w:val="00BE3469"/>
    <w:rsid w:val="00BE364E"/>
    <w:rsid w:val="00BE3D62"/>
    <w:rsid w:val="00BE4FF7"/>
    <w:rsid w:val="00BE6E29"/>
    <w:rsid w:val="00BE78D6"/>
    <w:rsid w:val="00BE7C33"/>
    <w:rsid w:val="00BF0800"/>
    <w:rsid w:val="00BF0FAA"/>
    <w:rsid w:val="00BF199F"/>
    <w:rsid w:val="00BF5C96"/>
    <w:rsid w:val="00BF75AB"/>
    <w:rsid w:val="00C00669"/>
    <w:rsid w:val="00C009D3"/>
    <w:rsid w:val="00C0236B"/>
    <w:rsid w:val="00C0311D"/>
    <w:rsid w:val="00C03B1A"/>
    <w:rsid w:val="00C03D46"/>
    <w:rsid w:val="00C04C83"/>
    <w:rsid w:val="00C04E1D"/>
    <w:rsid w:val="00C05054"/>
    <w:rsid w:val="00C0553B"/>
    <w:rsid w:val="00C0574A"/>
    <w:rsid w:val="00C059BF"/>
    <w:rsid w:val="00C06610"/>
    <w:rsid w:val="00C077EC"/>
    <w:rsid w:val="00C07C3F"/>
    <w:rsid w:val="00C07D09"/>
    <w:rsid w:val="00C102CB"/>
    <w:rsid w:val="00C1087E"/>
    <w:rsid w:val="00C119FA"/>
    <w:rsid w:val="00C11CC3"/>
    <w:rsid w:val="00C11F88"/>
    <w:rsid w:val="00C12B47"/>
    <w:rsid w:val="00C13399"/>
    <w:rsid w:val="00C13591"/>
    <w:rsid w:val="00C13F74"/>
    <w:rsid w:val="00C145DE"/>
    <w:rsid w:val="00C147B4"/>
    <w:rsid w:val="00C14C91"/>
    <w:rsid w:val="00C17639"/>
    <w:rsid w:val="00C17B50"/>
    <w:rsid w:val="00C22113"/>
    <w:rsid w:val="00C228DF"/>
    <w:rsid w:val="00C23213"/>
    <w:rsid w:val="00C23853"/>
    <w:rsid w:val="00C23DF3"/>
    <w:rsid w:val="00C23E69"/>
    <w:rsid w:val="00C2442B"/>
    <w:rsid w:val="00C260DA"/>
    <w:rsid w:val="00C270DC"/>
    <w:rsid w:val="00C319A0"/>
    <w:rsid w:val="00C32120"/>
    <w:rsid w:val="00C324E2"/>
    <w:rsid w:val="00C329C8"/>
    <w:rsid w:val="00C353EE"/>
    <w:rsid w:val="00C36788"/>
    <w:rsid w:val="00C36888"/>
    <w:rsid w:val="00C37EC0"/>
    <w:rsid w:val="00C40207"/>
    <w:rsid w:val="00C41A8D"/>
    <w:rsid w:val="00C420A2"/>
    <w:rsid w:val="00C428BB"/>
    <w:rsid w:val="00C44C56"/>
    <w:rsid w:val="00C44DFA"/>
    <w:rsid w:val="00C4526A"/>
    <w:rsid w:val="00C45B26"/>
    <w:rsid w:val="00C45D07"/>
    <w:rsid w:val="00C46725"/>
    <w:rsid w:val="00C46EF2"/>
    <w:rsid w:val="00C47084"/>
    <w:rsid w:val="00C479AB"/>
    <w:rsid w:val="00C50119"/>
    <w:rsid w:val="00C50DA2"/>
    <w:rsid w:val="00C51158"/>
    <w:rsid w:val="00C52152"/>
    <w:rsid w:val="00C5361B"/>
    <w:rsid w:val="00C537F9"/>
    <w:rsid w:val="00C54A46"/>
    <w:rsid w:val="00C55921"/>
    <w:rsid w:val="00C57B41"/>
    <w:rsid w:val="00C620BC"/>
    <w:rsid w:val="00C6237E"/>
    <w:rsid w:val="00C65E96"/>
    <w:rsid w:val="00C66F58"/>
    <w:rsid w:val="00C66F7F"/>
    <w:rsid w:val="00C6700A"/>
    <w:rsid w:val="00C73CBE"/>
    <w:rsid w:val="00C749F2"/>
    <w:rsid w:val="00C74BFF"/>
    <w:rsid w:val="00C75CD1"/>
    <w:rsid w:val="00C76058"/>
    <w:rsid w:val="00C764AC"/>
    <w:rsid w:val="00C76D7B"/>
    <w:rsid w:val="00C81EC7"/>
    <w:rsid w:val="00C824B1"/>
    <w:rsid w:val="00C828A3"/>
    <w:rsid w:val="00C82D04"/>
    <w:rsid w:val="00C82DB5"/>
    <w:rsid w:val="00C83AD5"/>
    <w:rsid w:val="00C84651"/>
    <w:rsid w:val="00C849AC"/>
    <w:rsid w:val="00C84EBA"/>
    <w:rsid w:val="00C860A2"/>
    <w:rsid w:val="00C86CF3"/>
    <w:rsid w:val="00C87610"/>
    <w:rsid w:val="00C905CD"/>
    <w:rsid w:val="00C92970"/>
    <w:rsid w:val="00C93183"/>
    <w:rsid w:val="00C94054"/>
    <w:rsid w:val="00C940AE"/>
    <w:rsid w:val="00C95F50"/>
    <w:rsid w:val="00C96329"/>
    <w:rsid w:val="00C9684C"/>
    <w:rsid w:val="00CA05D0"/>
    <w:rsid w:val="00CA0EF5"/>
    <w:rsid w:val="00CA1A25"/>
    <w:rsid w:val="00CA219C"/>
    <w:rsid w:val="00CA2465"/>
    <w:rsid w:val="00CA2DDE"/>
    <w:rsid w:val="00CA3181"/>
    <w:rsid w:val="00CA3445"/>
    <w:rsid w:val="00CA4EE2"/>
    <w:rsid w:val="00CA54DC"/>
    <w:rsid w:val="00CA5D42"/>
    <w:rsid w:val="00CA7BBD"/>
    <w:rsid w:val="00CB03EF"/>
    <w:rsid w:val="00CB0490"/>
    <w:rsid w:val="00CB191B"/>
    <w:rsid w:val="00CB1B59"/>
    <w:rsid w:val="00CB275D"/>
    <w:rsid w:val="00CB34B1"/>
    <w:rsid w:val="00CB493F"/>
    <w:rsid w:val="00CB4A14"/>
    <w:rsid w:val="00CB4ABE"/>
    <w:rsid w:val="00CB4E37"/>
    <w:rsid w:val="00CB5533"/>
    <w:rsid w:val="00CB577E"/>
    <w:rsid w:val="00CB5DF4"/>
    <w:rsid w:val="00CB640A"/>
    <w:rsid w:val="00CB67A6"/>
    <w:rsid w:val="00CC073A"/>
    <w:rsid w:val="00CC1183"/>
    <w:rsid w:val="00CC1BB8"/>
    <w:rsid w:val="00CC1C29"/>
    <w:rsid w:val="00CC21D4"/>
    <w:rsid w:val="00CC255C"/>
    <w:rsid w:val="00CC3052"/>
    <w:rsid w:val="00CC3E79"/>
    <w:rsid w:val="00CC5702"/>
    <w:rsid w:val="00CC63B4"/>
    <w:rsid w:val="00CC74A0"/>
    <w:rsid w:val="00CC7616"/>
    <w:rsid w:val="00CD03C0"/>
    <w:rsid w:val="00CD050C"/>
    <w:rsid w:val="00CD089A"/>
    <w:rsid w:val="00CD25BC"/>
    <w:rsid w:val="00CD336D"/>
    <w:rsid w:val="00CD3395"/>
    <w:rsid w:val="00CD3590"/>
    <w:rsid w:val="00CD4443"/>
    <w:rsid w:val="00CD44A4"/>
    <w:rsid w:val="00CD4550"/>
    <w:rsid w:val="00CD6075"/>
    <w:rsid w:val="00CD674D"/>
    <w:rsid w:val="00CD7B16"/>
    <w:rsid w:val="00CE2B62"/>
    <w:rsid w:val="00CE3C92"/>
    <w:rsid w:val="00CE3DBB"/>
    <w:rsid w:val="00CE41D4"/>
    <w:rsid w:val="00CE44AF"/>
    <w:rsid w:val="00CE4800"/>
    <w:rsid w:val="00CE62A0"/>
    <w:rsid w:val="00CE66FB"/>
    <w:rsid w:val="00CE72D3"/>
    <w:rsid w:val="00CF0050"/>
    <w:rsid w:val="00CF064F"/>
    <w:rsid w:val="00CF0A19"/>
    <w:rsid w:val="00CF1289"/>
    <w:rsid w:val="00CF176D"/>
    <w:rsid w:val="00CF1B56"/>
    <w:rsid w:val="00CF204B"/>
    <w:rsid w:val="00CF21AF"/>
    <w:rsid w:val="00CF2F4E"/>
    <w:rsid w:val="00CF3A14"/>
    <w:rsid w:val="00CF3A56"/>
    <w:rsid w:val="00CF3B12"/>
    <w:rsid w:val="00CF46C2"/>
    <w:rsid w:val="00CF50E4"/>
    <w:rsid w:val="00CF5335"/>
    <w:rsid w:val="00CF5724"/>
    <w:rsid w:val="00CF64A7"/>
    <w:rsid w:val="00CF79C3"/>
    <w:rsid w:val="00D00275"/>
    <w:rsid w:val="00D0146F"/>
    <w:rsid w:val="00D01530"/>
    <w:rsid w:val="00D01767"/>
    <w:rsid w:val="00D01769"/>
    <w:rsid w:val="00D0295D"/>
    <w:rsid w:val="00D029ED"/>
    <w:rsid w:val="00D03891"/>
    <w:rsid w:val="00D06FCA"/>
    <w:rsid w:val="00D0727A"/>
    <w:rsid w:val="00D07785"/>
    <w:rsid w:val="00D07D17"/>
    <w:rsid w:val="00D1032B"/>
    <w:rsid w:val="00D11303"/>
    <w:rsid w:val="00D12CDC"/>
    <w:rsid w:val="00D1355D"/>
    <w:rsid w:val="00D13831"/>
    <w:rsid w:val="00D1401B"/>
    <w:rsid w:val="00D14537"/>
    <w:rsid w:val="00D14DE8"/>
    <w:rsid w:val="00D155C9"/>
    <w:rsid w:val="00D15647"/>
    <w:rsid w:val="00D158E0"/>
    <w:rsid w:val="00D17240"/>
    <w:rsid w:val="00D1766F"/>
    <w:rsid w:val="00D21041"/>
    <w:rsid w:val="00D211DA"/>
    <w:rsid w:val="00D21A21"/>
    <w:rsid w:val="00D2265C"/>
    <w:rsid w:val="00D23437"/>
    <w:rsid w:val="00D238C9"/>
    <w:rsid w:val="00D24700"/>
    <w:rsid w:val="00D252C5"/>
    <w:rsid w:val="00D253AF"/>
    <w:rsid w:val="00D25D34"/>
    <w:rsid w:val="00D26143"/>
    <w:rsid w:val="00D265EE"/>
    <w:rsid w:val="00D31A31"/>
    <w:rsid w:val="00D3229B"/>
    <w:rsid w:val="00D3244C"/>
    <w:rsid w:val="00D34077"/>
    <w:rsid w:val="00D35816"/>
    <w:rsid w:val="00D3650B"/>
    <w:rsid w:val="00D3652C"/>
    <w:rsid w:val="00D36AF6"/>
    <w:rsid w:val="00D37452"/>
    <w:rsid w:val="00D40353"/>
    <w:rsid w:val="00D40C75"/>
    <w:rsid w:val="00D41D98"/>
    <w:rsid w:val="00D42E37"/>
    <w:rsid w:val="00D430F4"/>
    <w:rsid w:val="00D43278"/>
    <w:rsid w:val="00D43911"/>
    <w:rsid w:val="00D43D44"/>
    <w:rsid w:val="00D443CA"/>
    <w:rsid w:val="00D452C0"/>
    <w:rsid w:val="00D46501"/>
    <w:rsid w:val="00D46AB0"/>
    <w:rsid w:val="00D4700E"/>
    <w:rsid w:val="00D4732C"/>
    <w:rsid w:val="00D50488"/>
    <w:rsid w:val="00D50D81"/>
    <w:rsid w:val="00D515B8"/>
    <w:rsid w:val="00D522CB"/>
    <w:rsid w:val="00D5299D"/>
    <w:rsid w:val="00D529E8"/>
    <w:rsid w:val="00D52F9C"/>
    <w:rsid w:val="00D54931"/>
    <w:rsid w:val="00D549A2"/>
    <w:rsid w:val="00D54E1C"/>
    <w:rsid w:val="00D551D6"/>
    <w:rsid w:val="00D557AB"/>
    <w:rsid w:val="00D56714"/>
    <w:rsid w:val="00D60191"/>
    <w:rsid w:val="00D6023C"/>
    <w:rsid w:val="00D60D75"/>
    <w:rsid w:val="00D61211"/>
    <w:rsid w:val="00D61B30"/>
    <w:rsid w:val="00D63660"/>
    <w:rsid w:val="00D647CA"/>
    <w:rsid w:val="00D6642B"/>
    <w:rsid w:val="00D6675D"/>
    <w:rsid w:val="00D66AC2"/>
    <w:rsid w:val="00D67C34"/>
    <w:rsid w:val="00D70014"/>
    <w:rsid w:val="00D7031F"/>
    <w:rsid w:val="00D7036F"/>
    <w:rsid w:val="00D70800"/>
    <w:rsid w:val="00D70983"/>
    <w:rsid w:val="00D70A3B"/>
    <w:rsid w:val="00D716A6"/>
    <w:rsid w:val="00D717D6"/>
    <w:rsid w:val="00D71C07"/>
    <w:rsid w:val="00D71DCE"/>
    <w:rsid w:val="00D72ABC"/>
    <w:rsid w:val="00D72BE3"/>
    <w:rsid w:val="00D72C42"/>
    <w:rsid w:val="00D72C8B"/>
    <w:rsid w:val="00D72F1B"/>
    <w:rsid w:val="00D7343B"/>
    <w:rsid w:val="00D74502"/>
    <w:rsid w:val="00D74C64"/>
    <w:rsid w:val="00D76210"/>
    <w:rsid w:val="00D76371"/>
    <w:rsid w:val="00D77BC9"/>
    <w:rsid w:val="00D801D3"/>
    <w:rsid w:val="00D80570"/>
    <w:rsid w:val="00D81084"/>
    <w:rsid w:val="00D817CA"/>
    <w:rsid w:val="00D81C41"/>
    <w:rsid w:val="00D82A45"/>
    <w:rsid w:val="00D82D39"/>
    <w:rsid w:val="00D837F9"/>
    <w:rsid w:val="00D853D6"/>
    <w:rsid w:val="00D85EB0"/>
    <w:rsid w:val="00D8659F"/>
    <w:rsid w:val="00D865DF"/>
    <w:rsid w:val="00D868D2"/>
    <w:rsid w:val="00D86F24"/>
    <w:rsid w:val="00D8776C"/>
    <w:rsid w:val="00D878C7"/>
    <w:rsid w:val="00D878F7"/>
    <w:rsid w:val="00D9101B"/>
    <w:rsid w:val="00D919F1"/>
    <w:rsid w:val="00D926D4"/>
    <w:rsid w:val="00D929B6"/>
    <w:rsid w:val="00D93A20"/>
    <w:rsid w:val="00D93F81"/>
    <w:rsid w:val="00D9418B"/>
    <w:rsid w:val="00D95C8E"/>
    <w:rsid w:val="00D964DD"/>
    <w:rsid w:val="00D966D3"/>
    <w:rsid w:val="00D97507"/>
    <w:rsid w:val="00D9751B"/>
    <w:rsid w:val="00D979EA"/>
    <w:rsid w:val="00DA131B"/>
    <w:rsid w:val="00DA3E3E"/>
    <w:rsid w:val="00DA46B5"/>
    <w:rsid w:val="00DA473F"/>
    <w:rsid w:val="00DA5F63"/>
    <w:rsid w:val="00DA6666"/>
    <w:rsid w:val="00DA6C2F"/>
    <w:rsid w:val="00DA6E19"/>
    <w:rsid w:val="00DA7495"/>
    <w:rsid w:val="00DA7E67"/>
    <w:rsid w:val="00DB16EA"/>
    <w:rsid w:val="00DB2544"/>
    <w:rsid w:val="00DB29B7"/>
    <w:rsid w:val="00DB31F2"/>
    <w:rsid w:val="00DB362E"/>
    <w:rsid w:val="00DB3A79"/>
    <w:rsid w:val="00DB3AA1"/>
    <w:rsid w:val="00DB3E5A"/>
    <w:rsid w:val="00DB6ACC"/>
    <w:rsid w:val="00DB7CC0"/>
    <w:rsid w:val="00DC02AA"/>
    <w:rsid w:val="00DC02F5"/>
    <w:rsid w:val="00DC0F78"/>
    <w:rsid w:val="00DC14BD"/>
    <w:rsid w:val="00DC1C5B"/>
    <w:rsid w:val="00DC229F"/>
    <w:rsid w:val="00DC283C"/>
    <w:rsid w:val="00DC3E16"/>
    <w:rsid w:val="00DC46A1"/>
    <w:rsid w:val="00DC50DA"/>
    <w:rsid w:val="00DC628F"/>
    <w:rsid w:val="00DC718E"/>
    <w:rsid w:val="00DC774C"/>
    <w:rsid w:val="00DD0187"/>
    <w:rsid w:val="00DD049C"/>
    <w:rsid w:val="00DD1101"/>
    <w:rsid w:val="00DD187A"/>
    <w:rsid w:val="00DD1A2B"/>
    <w:rsid w:val="00DD214E"/>
    <w:rsid w:val="00DD2F79"/>
    <w:rsid w:val="00DD39E3"/>
    <w:rsid w:val="00DD3CCD"/>
    <w:rsid w:val="00DD3D0B"/>
    <w:rsid w:val="00DD43B4"/>
    <w:rsid w:val="00DD49A3"/>
    <w:rsid w:val="00DD5256"/>
    <w:rsid w:val="00DD58CA"/>
    <w:rsid w:val="00DD6B12"/>
    <w:rsid w:val="00DD7C89"/>
    <w:rsid w:val="00DD7F04"/>
    <w:rsid w:val="00DE0462"/>
    <w:rsid w:val="00DE202A"/>
    <w:rsid w:val="00DE425F"/>
    <w:rsid w:val="00DE448B"/>
    <w:rsid w:val="00DE59C4"/>
    <w:rsid w:val="00DE6335"/>
    <w:rsid w:val="00DE77B1"/>
    <w:rsid w:val="00DF16F6"/>
    <w:rsid w:val="00DF31A2"/>
    <w:rsid w:val="00DF52D3"/>
    <w:rsid w:val="00DF5884"/>
    <w:rsid w:val="00DF6F62"/>
    <w:rsid w:val="00DF7221"/>
    <w:rsid w:val="00DF73A7"/>
    <w:rsid w:val="00DF7A5A"/>
    <w:rsid w:val="00E0038F"/>
    <w:rsid w:val="00E0068D"/>
    <w:rsid w:val="00E021C5"/>
    <w:rsid w:val="00E0306F"/>
    <w:rsid w:val="00E031E6"/>
    <w:rsid w:val="00E03D7B"/>
    <w:rsid w:val="00E0403E"/>
    <w:rsid w:val="00E0441A"/>
    <w:rsid w:val="00E0457B"/>
    <w:rsid w:val="00E045B1"/>
    <w:rsid w:val="00E0526F"/>
    <w:rsid w:val="00E064BA"/>
    <w:rsid w:val="00E06BEC"/>
    <w:rsid w:val="00E06D46"/>
    <w:rsid w:val="00E070E6"/>
    <w:rsid w:val="00E10467"/>
    <w:rsid w:val="00E109DB"/>
    <w:rsid w:val="00E11EAC"/>
    <w:rsid w:val="00E13BFC"/>
    <w:rsid w:val="00E13F4B"/>
    <w:rsid w:val="00E142AD"/>
    <w:rsid w:val="00E14A88"/>
    <w:rsid w:val="00E15BD5"/>
    <w:rsid w:val="00E15F75"/>
    <w:rsid w:val="00E201B2"/>
    <w:rsid w:val="00E202B6"/>
    <w:rsid w:val="00E22867"/>
    <w:rsid w:val="00E230EB"/>
    <w:rsid w:val="00E2333C"/>
    <w:rsid w:val="00E248A5"/>
    <w:rsid w:val="00E26047"/>
    <w:rsid w:val="00E301C2"/>
    <w:rsid w:val="00E31AE0"/>
    <w:rsid w:val="00E330E3"/>
    <w:rsid w:val="00E333F7"/>
    <w:rsid w:val="00E34007"/>
    <w:rsid w:val="00E361C3"/>
    <w:rsid w:val="00E3664D"/>
    <w:rsid w:val="00E36BDB"/>
    <w:rsid w:val="00E36DD5"/>
    <w:rsid w:val="00E37480"/>
    <w:rsid w:val="00E37C75"/>
    <w:rsid w:val="00E37EB0"/>
    <w:rsid w:val="00E408D3"/>
    <w:rsid w:val="00E40B07"/>
    <w:rsid w:val="00E419FE"/>
    <w:rsid w:val="00E42A22"/>
    <w:rsid w:val="00E42C34"/>
    <w:rsid w:val="00E438E4"/>
    <w:rsid w:val="00E43E3B"/>
    <w:rsid w:val="00E4553A"/>
    <w:rsid w:val="00E46B3A"/>
    <w:rsid w:val="00E47CA4"/>
    <w:rsid w:val="00E47DBC"/>
    <w:rsid w:val="00E50518"/>
    <w:rsid w:val="00E52376"/>
    <w:rsid w:val="00E52B2C"/>
    <w:rsid w:val="00E52C43"/>
    <w:rsid w:val="00E538B8"/>
    <w:rsid w:val="00E5418B"/>
    <w:rsid w:val="00E5520C"/>
    <w:rsid w:val="00E5570D"/>
    <w:rsid w:val="00E55AD4"/>
    <w:rsid w:val="00E55AF7"/>
    <w:rsid w:val="00E55D4F"/>
    <w:rsid w:val="00E56764"/>
    <w:rsid w:val="00E5738B"/>
    <w:rsid w:val="00E573D5"/>
    <w:rsid w:val="00E5749C"/>
    <w:rsid w:val="00E60802"/>
    <w:rsid w:val="00E61250"/>
    <w:rsid w:val="00E632AF"/>
    <w:rsid w:val="00E648A3"/>
    <w:rsid w:val="00E65557"/>
    <w:rsid w:val="00E65B0C"/>
    <w:rsid w:val="00E719BE"/>
    <w:rsid w:val="00E72AD6"/>
    <w:rsid w:val="00E73EAD"/>
    <w:rsid w:val="00E73F5B"/>
    <w:rsid w:val="00E74318"/>
    <w:rsid w:val="00E76E29"/>
    <w:rsid w:val="00E81FF7"/>
    <w:rsid w:val="00E8352F"/>
    <w:rsid w:val="00E8481E"/>
    <w:rsid w:val="00E84D43"/>
    <w:rsid w:val="00E84EAD"/>
    <w:rsid w:val="00E852D6"/>
    <w:rsid w:val="00E86D43"/>
    <w:rsid w:val="00E87857"/>
    <w:rsid w:val="00E90928"/>
    <w:rsid w:val="00E90ECD"/>
    <w:rsid w:val="00E910F1"/>
    <w:rsid w:val="00E94FA3"/>
    <w:rsid w:val="00E95B02"/>
    <w:rsid w:val="00E960B0"/>
    <w:rsid w:val="00E973F0"/>
    <w:rsid w:val="00EA1F7A"/>
    <w:rsid w:val="00EA3A73"/>
    <w:rsid w:val="00EA4759"/>
    <w:rsid w:val="00EA4F7E"/>
    <w:rsid w:val="00EA5962"/>
    <w:rsid w:val="00EA5FD1"/>
    <w:rsid w:val="00EA6C4A"/>
    <w:rsid w:val="00EA7149"/>
    <w:rsid w:val="00EA7ED4"/>
    <w:rsid w:val="00EB1262"/>
    <w:rsid w:val="00EB14A7"/>
    <w:rsid w:val="00EB194D"/>
    <w:rsid w:val="00EB1BC4"/>
    <w:rsid w:val="00EB2651"/>
    <w:rsid w:val="00EB3004"/>
    <w:rsid w:val="00EB48D2"/>
    <w:rsid w:val="00EB4E88"/>
    <w:rsid w:val="00EB5AA3"/>
    <w:rsid w:val="00EB72EC"/>
    <w:rsid w:val="00EC0591"/>
    <w:rsid w:val="00EC06AF"/>
    <w:rsid w:val="00EC0BC8"/>
    <w:rsid w:val="00EC210D"/>
    <w:rsid w:val="00EC36AC"/>
    <w:rsid w:val="00EC3A9D"/>
    <w:rsid w:val="00EC3E81"/>
    <w:rsid w:val="00EC46B1"/>
    <w:rsid w:val="00EC5175"/>
    <w:rsid w:val="00EC55BC"/>
    <w:rsid w:val="00EC5C7C"/>
    <w:rsid w:val="00EC6221"/>
    <w:rsid w:val="00EC6CAD"/>
    <w:rsid w:val="00ED2DC4"/>
    <w:rsid w:val="00ED3BBC"/>
    <w:rsid w:val="00ED4396"/>
    <w:rsid w:val="00ED4DDA"/>
    <w:rsid w:val="00ED5C68"/>
    <w:rsid w:val="00ED6EA5"/>
    <w:rsid w:val="00ED73CF"/>
    <w:rsid w:val="00ED7B21"/>
    <w:rsid w:val="00EE01D5"/>
    <w:rsid w:val="00EE054D"/>
    <w:rsid w:val="00EE2C68"/>
    <w:rsid w:val="00EE3178"/>
    <w:rsid w:val="00EE44B0"/>
    <w:rsid w:val="00EE516E"/>
    <w:rsid w:val="00EE58EF"/>
    <w:rsid w:val="00EE6725"/>
    <w:rsid w:val="00EE7B1B"/>
    <w:rsid w:val="00EF0843"/>
    <w:rsid w:val="00EF0DC8"/>
    <w:rsid w:val="00EF3591"/>
    <w:rsid w:val="00EF4903"/>
    <w:rsid w:val="00EF5D02"/>
    <w:rsid w:val="00EF63B9"/>
    <w:rsid w:val="00EF64DA"/>
    <w:rsid w:val="00EF67A0"/>
    <w:rsid w:val="00EF6A91"/>
    <w:rsid w:val="00EF7651"/>
    <w:rsid w:val="00EF7A24"/>
    <w:rsid w:val="00F00225"/>
    <w:rsid w:val="00F0035F"/>
    <w:rsid w:val="00F00581"/>
    <w:rsid w:val="00F0156A"/>
    <w:rsid w:val="00F01F95"/>
    <w:rsid w:val="00F02ADF"/>
    <w:rsid w:val="00F02B78"/>
    <w:rsid w:val="00F02EBA"/>
    <w:rsid w:val="00F03343"/>
    <w:rsid w:val="00F0404F"/>
    <w:rsid w:val="00F04FCB"/>
    <w:rsid w:val="00F051E6"/>
    <w:rsid w:val="00F05444"/>
    <w:rsid w:val="00F05ED6"/>
    <w:rsid w:val="00F07D78"/>
    <w:rsid w:val="00F07EF4"/>
    <w:rsid w:val="00F11E16"/>
    <w:rsid w:val="00F120A9"/>
    <w:rsid w:val="00F12107"/>
    <w:rsid w:val="00F1239A"/>
    <w:rsid w:val="00F12853"/>
    <w:rsid w:val="00F12A56"/>
    <w:rsid w:val="00F13D94"/>
    <w:rsid w:val="00F14BE1"/>
    <w:rsid w:val="00F14C5D"/>
    <w:rsid w:val="00F15933"/>
    <w:rsid w:val="00F1616A"/>
    <w:rsid w:val="00F16B86"/>
    <w:rsid w:val="00F16DAE"/>
    <w:rsid w:val="00F17308"/>
    <w:rsid w:val="00F1768A"/>
    <w:rsid w:val="00F17968"/>
    <w:rsid w:val="00F179D4"/>
    <w:rsid w:val="00F203A9"/>
    <w:rsid w:val="00F2080C"/>
    <w:rsid w:val="00F20F54"/>
    <w:rsid w:val="00F2123F"/>
    <w:rsid w:val="00F22320"/>
    <w:rsid w:val="00F23016"/>
    <w:rsid w:val="00F244D0"/>
    <w:rsid w:val="00F24C96"/>
    <w:rsid w:val="00F26018"/>
    <w:rsid w:val="00F26B9D"/>
    <w:rsid w:val="00F26CC7"/>
    <w:rsid w:val="00F26E9D"/>
    <w:rsid w:val="00F312C6"/>
    <w:rsid w:val="00F338D2"/>
    <w:rsid w:val="00F33997"/>
    <w:rsid w:val="00F350BA"/>
    <w:rsid w:val="00F358DD"/>
    <w:rsid w:val="00F3655D"/>
    <w:rsid w:val="00F37575"/>
    <w:rsid w:val="00F375A7"/>
    <w:rsid w:val="00F37A8C"/>
    <w:rsid w:val="00F37C9C"/>
    <w:rsid w:val="00F40739"/>
    <w:rsid w:val="00F408F5"/>
    <w:rsid w:val="00F41E06"/>
    <w:rsid w:val="00F422EC"/>
    <w:rsid w:val="00F42553"/>
    <w:rsid w:val="00F43701"/>
    <w:rsid w:val="00F44437"/>
    <w:rsid w:val="00F447EB"/>
    <w:rsid w:val="00F44A3E"/>
    <w:rsid w:val="00F46981"/>
    <w:rsid w:val="00F47E06"/>
    <w:rsid w:val="00F5053C"/>
    <w:rsid w:val="00F5142B"/>
    <w:rsid w:val="00F51B8C"/>
    <w:rsid w:val="00F53BB7"/>
    <w:rsid w:val="00F544E4"/>
    <w:rsid w:val="00F54A97"/>
    <w:rsid w:val="00F55641"/>
    <w:rsid w:val="00F5659A"/>
    <w:rsid w:val="00F579A1"/>
    <w:rsid w:val="00F60855"/>
    <w:rsid w:val="00F608EB"/>
    <w:rsid w:val="00F61C4B"/>
    <w:rsid w:val="00F621DD"/>
    <w:rsid w:val="00F6223C"/>
    <w:rsid w:val="00F63255"/>
    <w:rsid w:val="00F63A0D"/>
    <w:rsid w:val="00F64F09"/>
    <w:rsid w:val="00F65175"/>
    <w:rsid w:val="00F65414"/>
    <w:rsid w:val="00F65D6A"/>
    <w:rsid w:val="00F662AF"/>
    <w:rsid w:val="00F668EF"/>
    <w:rsid w:val="00F66AED"/>
    <w:rsid w:val="00F678C6"/>
    <w:rsid w:val="00F7005B"/>
    <w:rsid w:val="00F70BA8"/>
    <w:rsid w:val="00F7133C"/>
    <w:rsid w:val="00F71AD3"/>
    <w:rsid w:val="00F7255B"/>
    <w:rsid w:val="00F731C9"/>
    <w:rsid w:val="00F734BD"/>
    <w:rsid w:val="00F7392B"/>
    <w:rsid w:val="00F73FD1"/>
    <w:rsid w:val="00F7442F"/>
    <w:rsid w:val="00F760E8"/>
    <w:rsid w:val="00F82CDD"/>
    <w:rsid w:val="00F8359F"/>
    <w:rsid w:val="00F83A47"/>
    <w:rsid w:val="00F83F1D"/>
    <w:rsid w:val="00F84159"/>
    <w:rsid w:val="00F85136"/>
    <w:rsid w:val="00F85444"/>
    <w:rsid w:val="00F856A4"/>
    <w:rsid w:val="00F867BE"/>
    <w:rsid w:val="00F86DA4"/>
    <w:rsid w:val="00F87720"/>
    <w:rsid w:val="00F9026C"/>
    <w:rsid w:val="00F913E4"/>
    <w:rsid w:val="00F93A1C"/>
    <w:rsid w:val="00F945B6"/>
    <w:rsid w:val="00F9477B"/>
    <w:rsid w:val="00F94DC9"/>
    <w:rsid w:val="00F95D16"/>
    <w:rsid w:val="00F97C55"/>
    <w:rsid w:val="00FA004C"/>
    <w:rsid w:val="00FA073B"/>
    <w:rsid w:val="00FA13DB"/>
    <w:rsid w:val="00FA2161"/>
    <w:rsid w:val="00FA216C"/>
    <w:rsid w:val="00FA3048"/>
    <w:rsid w:val="00FA3B2F"/>
    <w:rsid w:val="00FA3B64"/>
    <w:rsid w:val="00FA4C47"/>
    <w:rsid w:val="00FA4E93"/>
    <w:rsid w:val="00FA63F3"/>
    <w:rsid w:val="00FB1594"/>
    <w:rsid w:val="00FB20C5"/>
    <w:rsid w:val="00FB3191"/>
    <w:rsid w:val="00FB48DD"/>
    <w:rsid w:val="00FB4A7A"/>
    <w:rsid w:val="00FB4B08"/>
    <w:rsid w:val="00FB66B1"/>
    <w:rsid w:val="00FB7226"/>
    <w:rsid w:val="00FC01AF"/>
    <w:rsid w:val="00FC0EB5"/>
    <w:rsid w:val="00FC12FC"/>
    <w:rsid w:val="00FC13E6"/>
    <w:rsid w:val="00FC1766"/>
    <w:rsid w:val="00FC185D"/>
    <w:rsid w:val="00FC2BEB"/>
    <w:rsid w:val="00FC34B2"/>
    <w:rsid w:val="00FC3DBB"/>
    <w:rsid w:val="00FC41E5"/>
    <w:rsid w:val="00FC7F7F"/>
    <w:rsid w:val="00FD0109"/>
    <w:rsid w:val="00FD02AE"/>
    <w:rsid w:val="00FD02B0"/>
    <w:rsid w:val="00FD0D37"/>
    <w:rsid w:val="00FD0E29"/>
    <w:rsid w:val="00FD33E5"/>
    <w:rsid w:val="00FD38F1"/>
    <w:rsid w:val="00FD3CEC"/>
    <w:rsid w:val="00FD401D"/>
    <w:rsid w:val="00FD47A0"/>
    <w:rsid w:val="00FD4B27"/>
    <w:rsid w:val="00FD548A"/>
    <w:rsid w:val="00FD5FC9"/>
    <w:rsid w:val="00FD6A0C"/>
    <w:rsid w:val="00FE443C"/>
    <w:rsid w:val="00FE54FB"/>
    <w:rsid w:val="00FE7139"/>
    <w:rsid w:val="00FE7D83"/>
    <w:rsid w:val="00FF0440"/>
    <w:rsid w:val="00FF088D"/>
    <w:rsid w:val="00FF0B57"/>
    <w:rsid w:val="00FF581C"/>
    <w:rsid w:val="00FF61D6"/>
    <w:rsid w:val="00FF6B5E"/>
    <w:rsid w:val="00FF6D44"/>
    <w:rsid w:val="00FF7D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369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93A"/>
  </w:style>
  <w:style w:type="paragraph" w:styleId="Ttulo1">
    <w:name w:val="heading 1"/>
    <w:basedOn w:val="Normal"/>
    <w:next w:val="Normal"/>
    <w:link w:val="Ttulo1Char"/>
    <w:qFormat/>
    <w:rsid w:val="00D70800"/>
    <w:pPr>
      <w:keepNext/>
      <w:spacing w:after="0" w:line="240" w:lineRule="auto"/>
      <w:jc w:val="center"/>
      <w:outlineLvl w:val="0"/>
    </w:pPr>
    <w:rPr>
      <w:rFonts w:ascii="Times New Roman" w:eastAsia="Times New Roman" w:hAnsi="Times New Roman" w:cs="Times New Roman"/>
      <w:b/>
      <w:sz w:val="24"/>
      <w:szCs w:val="20"/>
      <w:lang w:eastAsia="pt-BR"/>
    </w:rPr>
  </w:style>
  <w:style w:type="paragraph" w:styleId="Ttulo2">
    <w:name w:val="heading 2"/>
    <w:basedOn w:val="Normal"/>
    <w:next w:val="Normal"/>
    <w:link w:val="Ttulo2Char"/>
    <w:uiPriority w:val="9"/>
    <w:semiHidden/>
    <w:unhideWhenUsed/>
    <w:qFormat/>
    <w:rsid w:val="003631A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70800"/>
    <w:rPr>
      <w:rFonts w:ascii="Times New Roman" w:eastAsia="Times New Roman" w:hAnsi="Times New Roman" w:cs="Times New Roman"/>
      <w:b/>
      <w:sz w:val="24"/>
      <w:szCs w:val="20"/>
      <w:lang w:eastAsia="pt-BR"/>
    </w:rPr>
  </w:style>
  <w:style w:type="paragraph" w:styleId="PargrafodaLista">
    <w:name w:val="List Paragraph"/>
    <w:aliases w:val="Estilo 1"/>
    <w:basedOn w:val="Ttulo1"/>
    <w:next w:val="TextosemFormatao"/>
    <w:link w:val="PargrafodaListaChar"/>
    <w:uiPriority w:val="34"/>
    <w:qFormat/>
    <w:rsid w:val="00683DD9"/>
    <w:pPr>
      <w:numPr>
        <w:numId w:val="1"/>
      </w:numPr>
      <w:spacing w:before="240" w:after="120"/>
      <w:contextualSpacing/>
      <w:jc w:val="left"/>
    </w:pPr>
    <w:rPr>
      <w:sz w:val="28"/>
    </w:rPr>
  </w:style>
  <w:style w:type="paragraph" w:styleId="TextosemFormatao">
    <w:name w:val="Plain Text"/>
    <w:basedOn w:val="Normal"/>
    <w:link w:val="TextosemFormataoChar"/>
    <w:uiPriority w:val="99"/>
    <w:unhideWhenUsed/>
    <w:rsid w:val="00683DD9"/>
    <w:pPr>
      <w:spacing w:after="0" w:line="240" w:lineRule="auto"/>
    </w:pPr>
    <w:rPr>
      <w:rFonts w:ascii="Consolas" w:hAnsi="Consolas" w:cs="Consolas"/>
      <w:sz w:val="21"/>
      <w:szCs w:val="21"/>
    </w:rPr>
  </w:style>
  <w:style w:type="character" w:customStyle="1" w:styleId="TextosemFormataoChar">
    <w:name w:val="Texto sem Formatação Char"/>
    <w:basedOn w:val="Fontepargpadro"/>
    <w:link w:val="TextosemFormatao"/>
    <w:uiPriority w:val="99"/>
    <w:rsid w:val="00683DD9"/>
    <w:rPr>
      <w:rFonts w:ascii="Consolas" w:hAnsi="Consolas" w:cs="Consolas"/>
      <w:sz w:val="21"/>
      <w:szCs w:val="21"/>
    </w:rPr>
  </w:style>
  <w:style w:type="character" w:customStyle="1" w:styleId="PargrafodaListaChar">
    <w:name w:val="Parágrafo da Lista Char"/>
    <w:aliases w:val="Estilo 1 Char"/>
    <w:basedOn w:val="Sumrio1Char"/>
    <w:link w:val="PargrafodaLista"/>
    <w:uiPriority w:val="34"/>
    <w:rsid w:val="00683DD9"/>
    <w:rPr>
      <w:rFonts w:ascii="Times New Roman" w:eastAsia="Times New Roman" w:hAnsi="Times New Roman" w:cs="Times New Roman"/>
      <w:b/>
      <w:noProof/>
      <w:sz w:val="28"/>
      <w:szCs w:val="20"/>
      <w:lang w:eastAsia="pt-BR"/>
    </w:rPr>
  </w:style>
  <w:style w:type="character" w:customStyle="1" w:styleId="Sumrio1Char">
    <w:name w:val="Sumário 1 Char"/>
    <w:basedOn w:val="Fontepargpadro"/>
    <w:link w:val="Sumrio1"/>
    <w:uiPriority w:val="39"/>
    <w:rsid w:val="0067170E"/>
    <w:rPr>
      <w:rFonts w:ascii="Times New Roman" w:hAnsi="Times New Roman" w:cs="Times New Roman"/>
      <w:noProof/>
      <w:sz w:val="24"/>
      <w:szCs w:val="24"/>
    </w:rPr>
  </w:style>
  <w:style w:type="paragraph" w:styleId="Sumrio1">
    <w:name w:val="toc 1"/>
    <w:basedOn w:val="Normal"/>
    <w:next w:val="Normal"/>
    <w:link w:val="Sumrio1Char"/>
    <w:autoRedefine/>
    <w:uiPriority w:val="39"/>
    <w:unhideWhenUsed/>
    <w:rsid w:val="0067170E"/>
    <w:pPr>
      <w:tabs>
        <w:tab w:val="left" w:pos="440"/>
        <w:tab w:val="right" w:leader="dot" w:pos="8494"/>
      </w:tabs>
      <w:spacing w:after="120"/>
    </w:pPr>
    <w:rPr>
      <w:rFonts w:ascii="Times New Roman" w:hAnsi="Times New Roman" w:cs="Times New Roman"/>
      <w:noProof/>
      <w:sz w:val="24"/>
      <w:szCs w:val="24"/>
    </w:rPr>
  </w:style>
  <w:style w:type="table" w:styleId="Tabelacomgrade">
    <w:name w:val="Table Grid"/>
    <w:basedOn w:val="Tabelanormal"/>
    <w:uiPriority w:val="59"/>
    <w:rsid w:val="008C7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nhideWhenUsed/>
    <w:rsid w:val="000B5B8F"/>
    <w:pPr>
      <w:spacing w:after="0" w:line="240" w:lineRule="auto"/>
    </w:pPr>
    <w:rPr>
      <w:sz w:val="20"/>
      <w:szCs w:val="20"/>
    </w:rPr>
  </w:style>
  <w:style w:type="character" w:customStyle="1" w:styleId="TextodenotaderodapChar">
    <w:name w:val="Texto de nota de rodapé Char"/>
    <w:basedOn w:val="Fontepargpadro"/>
    <w:link w:val="Textodenotaderodap"/>
    <w:rsid w:val="000B5B8F"/>
    <w:rPr>
      <w:sz w:val="20"/>
      <w:szCs w:val="20"/>
    </w:rPr>
  </w:style>
  <w:style w:type="character" w:styleId="Refdenotaderodap">
    <w:name w:val="footnote reference"/>
    <w:basedOn w:val="Fontepargpadro"/>
    <w:unhideWhenUsed/>
    <w:rsid w:val="000B5B8F"/>
    <w:rPr>
      <w:vertAlign w:val="superscript"/>
    </w:rPr>
  </w:style>
  <w:style w:type="paragraph" w:styleId="Cabealho">
    <w:name w:val="header"/>
    <w:basedOn w:val="Normal"/>
    <w:link w:val="CabealhoChar"/>
    <w:unhideWhenUsed/>
    <w:rsid w:val="000115E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115E4"/>
  </w:style>
  <w:style w:type="paragraph" w:styleId="Rodap">
    <w:name w:val="footer"/>
    <w:basedOn w:val="Normal"/>
    <w:link w:val="RodapChar"/>
    <w:uiPriority w:val="99"/>
    <w:unhideWhenUsed/>
    <w:rsid w:val="000115E4"/>
    <w:pPr>
      <w:tabs>
        <w:tab w:val="center" w:pos="4252"/>
        <w:tab w:val="right" w:pos="8504"/>
      </w:tabs>
      <w:spacing w:after="0" w:line="240" w:lineRule="auto"/>
    </w:pPr>
  </w:style>
  <w:style w:type="character" w:customStyle="1" w:styleId="RodapChar">
    <w:name w:val="Rodapé Char"/>
    <w:basedOn w:val="Fontepargpadro"/>
    <w:link w:val="Rodap"/>
    <w:uiPriority w:val="99"/>
    <w:rsid w:val="000115E4"/>
  </w:style>
  <w:style w:type="character" w:styleId="nfase">
    <w:name w:val="Emphasis"/>
    <w:basedOn w:val="Fontepargpadro"/>
    <w:uiPriority w:val="20"/>
    <w:qFormat/>
    <w:rsid w:val="005A58FA"/>
    <w:rPr>
      <w:i/>
      <w:iCs/>
    </w:rPr>
  </w:style>
  <w:style w:type="paragraph" w:customStyle="1" w:styleId="Epgrafe">
    <w:name w:val="#Epígrafe"/>
    <w:basedOn w:val="Normal"/>
    <w:autoRedefine/>
    <w:qFormat/>
    <w:rsid w:val="00A02CD6"/>
    <w:pPr>
      <w:widowControl w:val="0"/>
      <w:suppressAutoHyphens/>
      <w:spacing w:before="120" w:after="90" w:line="240" w:lineRule="auto"/>
      <w:jc w:val="center"/>
    </w:pPr>
    <w:rPr>
      <w:rFonts w:ascii="Times New Roman" w:eastAsia="Calibri" w:hAnsi="Times New Roman" w:cs="Times New Roman"/>
      <w:b/>
      <w:caps/>
      <w:color w:val="0070C0"/>
      <w:sz w:val="36"/>
      <w:szCs w:val="36"/>
      <w:lang w:bidi="en-US"/>
    </w:rPr>
  </w:style>
  <w:style w:type="character" w:styleId="Hyperlink">
    <w:name w:val="Hyperlink"/>
    <w:basedOn w:val="Fontepargpadro"/>
    <w:uiPriority w:val="99"/>
    <w:unhideWhenUsed/>
    <w:rsid w:val="007A5E33"/>
    <w:rPr>
      <w:color w:val="0000FF" w:themeColor="hyperlink"/>
      <w:u w:val="single"/>
    </w:rPr>
  </w:style>
  <w:style w:type="paragraph" w:styleId="CabealhodoSumrio">
    <w:name w:val="TOC Heading"/>
    <w:basedOn w:val="Ttulo1"/>
    <w:next w:val="Normal"/>
    <w:uiPriority w:val="39"/>
    <w:semiHidden/>
    <w:unhideWhenUsed/>
    <w:qFormat/>
    <w:rsid w:val="00070B87"/>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rPr>
  </w:style>
  <w:style w:type="paragraph" w:styleId="Textodebalo">
    <w:name w:val="Balloon Text"/>
    <w:basedOn w:val="Normal"/>
    <w:link w:val="TextodebaloChar"/>
    <w:uiPriority w:val="99"/>
    <w:semiHidden/>
    <w:unhideWhenUsed/>
    <w:rsid w:val="00070B8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70B87"/>
    <w:rPr>
      <w:rFonts w:ascii="Tahoma" w:hAnsi="Tahoma" w:cs="Tahoma"/>
      <w:sz w:val="16"/>
      <w:szCs w:val="16"/>
    </w:rPr>
  </w:style>
  <w:style w:type="paragraph" w:styleId="Subttulo">
    <w:name w:val="Subtitle"/>
    <w:basedOn w:val="Normal"/>
    <w:next w:val="Normal"/>
    <w:link w:val="SubttuloChar"/>
    <w:uiPriority w:val="11"/>
    <w:qFormat/>
    <w:rsid w:val="00B719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B719F4"/>
    <w:rPr>
      <w:rFonts w:asciiTheme="majorHAnsi" w:eastAsiaTheme="majorEastAsia" w:hAnsiTheme="majorHAnsi" w:cstheme="majorBidi"/>
      <w:i/>
      <w:iCs/>
      <w:color w:val="4F81BD" w:themeColor="accent1"/>
      <w:spacing w:val="15"/>
      <w:sz w:val="24"/>
      <w:szCs w:val="24"/>
    </w:rPr>
  </w:style>
  <w:style w:type="paragraph" w:styleId="Ttulo">
    <w:name w:val="Title"/>
    <w:basedOn w:val="Normal"/>
    <w:next w:val="Normal"/>
    <w:link w:val="TtuloChar"/>
    <w:uiPriority w:val="10"/>
    <w:qFormat/>
    <w:rsid w:val="00683DD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683DD9"/>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AD44C3"/>
    <w:pPr>
      <w:autoSpaceDE w:val="0"/>
      <w:autoSpaceDN w:val="0"/>
      <w:adjustRightInd w:val="0"/>
      <w:spacing w:after="0" w:line="240" w:lineRule="auto"/>
    </w:pPr>
    <w:rPr>
      <w:rFonts w:ascii="Times New Roman" w:hAnsi="Times New Roman" w:cs="Times New Roman"/>
      <w:color w:val="000000"/>
      <w:sz w:val="24"/>
      <w:szCs w:val="24"/>
    </w:rPr>
  </w:style>
  <w:style w:type="character" w:styleId="CitaoHTML">
    <w:name w:val="HTML Cite"/>
    <w:basedOn w:val="Fontepargpadro"/>
    <w:uiPriority w:val="99"/>
    <w:semiHidden/>
    <w:unhideWhenUsed/>
    <w:rsid w:val="007005DD"/>
    <w:rPr>
      <w:i/>
      <w:iCs/>
    </w:rPr>
  </w:style>
  <w:style w:type="paragraph" w:styleId="NormalWeb">
    <w:name w:val="Normal (Web)"/>
    <w:basedOn w:val="Normal"/>
    <w:uiPriority w:val="99"/>
    <w:semiHidden/>
    <w:unhideWhenUsed/>
    <w:rsid w:val="004909E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467BFC"/>
  </w:style>
  <w:style w:type="paragraph" w:styleId="Corpodetexto">
    <w:name w:val="Body Text"/>
    <w:basedOn w:val="Normal"/>
    <w:link w:val="CorpodetextoChar"/>
    <w:semiHidden/>
    <w:rsid w:val="00C23853"/>
    <w:pPr>
      <w:spacing w:after="0" w:line="240" w:lineRule="auto"/>
    </w:pPr>
    <w:rPr>
      <w:rFonts w:ascii="Times New Roman" w:eastAsia="Times New Roman" w:hAnsi="Times New Roman" w:cs="Times New Roman"/>
      <w:sz w:val="24"/>
      <w:szCs w:val="20"/>
      <w:lang w:eastAsia="pt-BR"/>
    </w:rPr>
  </w:style>
  <w:style w:type="character" w:customStyle="1" w:styleId="CorpodetextoChar">
    <w:name w:val="Corpo de texto Char"/>
    <w:basedOn w:val="Fontepargpadro"/>
    <w:link w:val="Corpodetexto"/>
    <w:semiHidden/>
    <w:rsid w:val="00C23853"/>
    <w:rPr>
      <w:rFonts w:ascii="Times New Roman" w:eastAsia="Times New Roman" w:hAnsi="Times New Roman" w:cs="Times New Roman"/>
      <w:sz w:val="24"/>
      <w:szCs w:val="20"/>
      <w:lang w:eastAsia="pt-BR"/>
    </w:rPr>
  </w:style>
  <w:style w:type="paragraph" w:customStyle="1" w:styleId="ecxmsonormal">
    <w:name w:val="ecxmsonormal"/>
    <w:basedOn w:val="Normal"/>
    <w:uiPriority w:val="99"/>
    <w:rsid w:val="007B729D"/>
    <w:pPr>
      <w:spacing w:after="324" w:line="240" w:lineRule="auto"/>
    </w:pPr>
    <w:rPr>
      <w:rFonts w:ascii="Times New Roman" w:eastAsia="Times New Roman" w:hAnsi="Times New Roman" w:cs="Times New Roman"/>
      <w:sz w:val="24"/>
      <w:szCs w:val="24"/>
      <w:lang w:eastAsia="pt-BR"/>
    </w:rPr>
  </w:style>
  <w:style w:type="table" w:customStyle="1" w:styleId="TabeladeGrade4-nfase11">
    <w:name w:val="Tabela de Grade 4 - Ênfase 11"/>
    <w:basedOn w:val="Tabelanormal"/>
    <w:uiPriority w:val="49"/>
    <w:rsid w:val="006137D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HiperlinkVisitado">
    <w:name w:val="FollowedHyperlink"/>
    <w:basedOn w:val="Fontepargpadro"/>
    <w:uiPriority w:val="99"/>
    <w:semiHidden/>
    <w:unhideWhenUsed/>
    <w:rsid w:val="0052557C"/>
    <w:rPr>
      <w:color w:val="800080"/>
      <w:u w:val="single"/>
    </w:rPr>
  </w:style>
  <w:style w:type="paragraph" w:customStyle="1" w:styleId="font5">
    <w:name w:val="font5"/>
    <w:basedOn w:val="Normal"/>
    <w:rsid w:val="0052557C"/>
    <w:pPr>
      <w:spacing w:before="100" w:beforeAutospacing="1" w:after="100" w:afterAutospacing="1" w:line="240" w:lineRule="auto"/>
    </w:pPr>
    <w:rPr>
      <w:rFonts w:ascii="Times New Roman" w:eastAsia="Times New Roman" w:hAnsi="Times New Roman" w:cs="Times New Roman"/>
      <w:color w:val="000000"/>
      <w:sz w:val="20"/>
      <w:szCs w:val="20"/>
      <w:lang w:eastAsia="pt-BR"/>
    </w:rPr>
  </w:style>
  <w:style w:type="paragraph" w:customStyle="1" w:styleId="font6">
    <w:name w:val="font6"/>
    <w:basedOn w:val="Normal"/>
    <w:rsid w:val="0052557C"/>
    <w:pPr>
      <w:spacing w:before="100" w:beforeAutospacing="1" w:after="100" w:afterAutospacing="1" w:line="240" w:lineRule="auto"/>
    </w:pPr>
    <w:rPr>
      <w:rFonts w:ascii="Times New Roman" w:eastAsia="Times New Roman" w:hAnsi="Times New Roman" w:cs="Times New Roman"/>
      <w:i/>
      <w:iCs/>
      <w:color w:val="000000"/>
      <w:sz w:val="20"/>
      <w:szCs w:val="20"/>
      <w:lang w:eastAsia="pt-BR"/>
    </w:rPr>
  </w:style>
  <w:style w:type="paragraph" w:customStyle="1" w:styleId="font7">
    <w:name w:val="font7"/>
    <w:basedOn w:val="Normal"/>
    <w:rsid w:val="0052557C"/>
    <w:pPr>
      <w:spacing w:before="100" w:beforeAutospacing="1" w:after="100" w:afterAutospacing="1" w:line="240" w:lineRule="auto"/>
    </w:pPr>
    <w:rPr>
      <w:rFonts w:ascii="Times New Roman" w:eastAsia="Times New Roman" w:hAnsi="Times New Roman" w:cs="Times New Roman"/>
      <w:sz w:val="20"/>
      <w:szCs w:val="20"/>
      <w:lang w:eastAsia="pt-BR"/>
    </w:rPr>
  </w:style>
  <w:style w:type="paragraph" w:customStyle="1" w:styleId="font8">
    <w:name w:val="font8"/>
    <w:basedOn w:val="Normal"/>
    <w:rsid w:val="0052557C"/>
    <w:pPr>
      <w:spacing w:before="100" w:beforeAutospacing="1" w:after="100" w:afterAutospacing="1" w:line="240" w:lineRule="auto"/>
    </w:pPr>
    <w:rPr>
      <w:rFonts w:ascii="Times New Roman" w:eastAsia="Times New Roman" w:hAnsi="Times New Roman" w:cs="Times New Roman"/>
      <w:i/>
      <w:iCs/>
      <w:sz w:val="20"/>
      <w:szCs w:val="20"/>
      <w:lang w:eastAsia="pt-BR"/>
    </w:rPr>
  </w:style>
  <w:style w:type="paragraph" w:customStyle="1" w:styleId="xl63">
    <w:name w:val="xl63"/>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4">
    <w:name w:val="xl64"/>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5">
    <w:name w:val="xl65"/>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6">
    <w:name w:val="xl66"/>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7">
    <w:name w:val="xl67"/>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8">
    <w:name w:val="xl68"/>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9">
    <w:name w:val="xl69"/>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70">
    <w:name w:val="xl70"/>
    <w:basedOn w:val="Normal"/>
    <w:rsid w:val="0052557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71">
    <w:name w:val="xl71"/>
    <w:basedOn w:val="Normal"/>
    <w:rsid w:val="0052557C"/>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72">
    <w:name w:val="xl72"/>
    <w:basedOn w:val="Normal"/>
    <w:rsid w:val="0052557C"/>
    <w:pP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character" w:customStyle="1" w:styleId="Ttulo2Char">
    <w:name w:val="Título 2 Char"/>
    <w:basedOn w:val="Fontepargpadro"/>
    <w:link w:val="Ttulo2"/>
    <w:uiPriority w:val="9"/>
    <w:semiHidden/>
    <w:rsid w:val="003631A1"/>
    <w:rPr>
      <w:rFonts w:asciiTheme="majorHAnsi" w:eastAsiaTheme="majorEastAsia" w:hAnsiTheme="majorHAnsi" w:cstheme="majorBidi"/>
      <w:b/>
      <w:bCs/>
      <w:color w:val="4F81BD" w:themeColor="accent1"/>
      <w:sz w:val="26"/>
      <w:szCs w:val="26"/>
    </w:rPr>
  </w:style>
  <w:style w:type="character" w:styleId="Refdecomentrio">
    <w:name w:val="annotation reference"/>
    <w:basedOn w:val="Fontepargpadro"/>
    <w:uiPriority w:val="99"/>
    <w:semiHidden/>
    <w:unhideWhenUsed/>
    <w:rsid w:val="00E852D6"/>
    <w:rPr>
      <w:sz w:val="16"/>
      <w:szCs w:val="16"/>
    </w:rPr>
  </w:style>
  <w:style w:type="paragraph" w:styleId="Textodecomentrio">
    <w:name w:val="annotation text"/>
    <w:basedOn w:val="Normal"/>
    <w:link w:val="TextodecomentrioChar"/>
    <w:uiPriority w:val="99"/>
    <w:semiHidden/>
    <w:unhideWhenUsed/>
    <w:rsid w:val="00E852D6"/>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E852D6"/>
    <w:rPr>
      <w:sz w:val="20"/>
      <w:szCs w:val="20"/>
    </w:rPr>
  </w:style>
  <w:style w:type="paragraph" w:styleId="Assuntodocomentrio">
    <w:name w:val="annotation subject"/>
    <w:basedOn w:val="Textodecomentrio"/>
    <w:next w:val="Textodecomentrio"/>
    <w:link w:val="AssuntodocomentrioChar"/>
    <w:uiPriority w:val="99"/>
    <w:semiHidden/>
    <w:unhideWhenUsed/>
    <w:rsid w:val="00E852D6"/>
    <w:rPr>
      <w:b/>
      <w:bCs/>
    </w:rPr>
  </w:style>
  <w:style w:type="character" w:customStyle="1" w:styleId="AssuntodocomentrioChar">
    <w:name w:val="Assunto do comentário Char"/>
    <w:basedOn w:val="TextodecomentrioChar"/>
    <w:link w:val="Assuntodocomentrio"/>
    <w:uiPriority w:val="99"/>
    <w:semiHidden/>
    <w:rsid w:val="00E852D6"/>
    <w:rPr>
      <w:b/>
      <w:bCs/>
      <w:sz w:val="20"/>
      <w:szCs w:val="20"/>
    </w:rPr>
  </w:style>
  <w:style w:type="paragraph" w:styleId="Sumrio2">
    <w:name w:val="toc 2"/>
    <w:basedOn w:val="Normal"/>
    <w:next w:val="Normal"/>
    <w:autoRedefine/>
    <w:uiPriority w:val="39"/>
    <w:unhideWhenUsed/>
    <w:rsid w:val="00AB00D6"/>
    <w:pPr>
      <w:spacing w:after="100"/>
      <w:ind w:left="220"/>
    </w:pPr>
  </w:style>
  <w:style w:type="paragraph" w:styleId="Pr-formataoHTML">
    <w:name w:val="HTML Preformatted"/>
    <w:basedOn w:val="Normal"/>
    <w:link w:val="Pr-formataoHTMLChar"/>
    <w:uiPriority w:val="99"/>
    <w:semiHidden/>
    <w:unhideWhenUsed/>
    <w:rsid w:val="00305CF8"/>
    <w:pPr>
      <w:spacing w:after="0" w:line="240" w:lineRule="auto"/>
    </w:pPr>
    <w:rPr>
      <w:rFonts w:ascii="Consolas" w:hAnsi="Consolas" w:cs="Consolas"/>
      <w:sz w:val="20"/>
      <w:szCs w:val="20"/>
    </w:rPr>
  </w:style>
  <w:style w:type="character" w:customStyle="1" w:styleId="Pr-formataoHTMLChar">
    <w:name w:val="Pré-formatação HTML Char"/>
    <w:basedOn w:val="Fontepargpadro"/>
    <w:link w:val="Pr-formataoHTML"/>
    <w:uiPriority w:val="99"/>
    <w:semiHidden/>
    <w:rsid w:val="00305CF8"/>
    <w:rPr>
      <w:rFonts w:ascii="Consolas" w:hAnsi="Consolas" w:cs="Consolas"/>
      <w:sz w:val="20"/>
      <w:szCs w:val="20"/>
    </w:rPr>
  </w:style>
  <w:style w:type="character" w:customStyle="1" w:styleId="highlightedsearchterm">
    <w:name w:val="highlightedsearchterm"/>
    <w:basedOn w:val="Fontepargpadro"/>
    <w:rsid w:val="00DD21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93A"/>
  </w:style>
  <w:style w:type="paragraph" w:styleId="Ttulo1">
    <w:name w:val="heading 1"/>
    <w:basedOn w:val="Normal"/>
    <w:next w:val="Normal"/>
    <w:link w:val="Ttulo1Char"/>
    <w:qFormat/>
    <w:rsid w:val="00D70800"/>
    <w:pPr>
      <w:keepNext/>
      <w:spacing w:after="0" w:line="240" w:lineRule="auto"/>
      <w:jc w:val="center"/>
      <w:outlineLvl w:val="0"/>
    </w:pPr>
    <w:rPr>
      <w:rFonts w:ascii="Times New Roman" w:eastAsia="Times New Roman" w:hAnsi="Times New Roman" w:cs="Times New Roman"/>
      <w:b/>
      <w:sz w:val="24"/>
      <w:szCs w:val="20"/>
      <w:lang w:eastAsia="pt-BR"/>
    </w:rPr>
  </w:style>
  <w:style w:type="paragraph" w:styleId="Ttulo2">
    <w:name w:val="heading 2"/>
    <w:basedOn w:val="Normal"/>
    <w:next w:val="Normal"/>
    <w:link w:val="Ttulo2Char"/>
    <w:uiPriority w:val="9"/>
    <w:semiHidden/>
    <w:unhideWhenUsed/>
    <w:qFormat/>
    <w:rsid w:val="003631A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70800"/>
    <w:rPr>
      <w:rFonts w:ascii="Times New Roman" w:eastAsia="Times New Roman" w:hAnsi="Times New Roman" w:cs="Times New Roman"/>
      <w:b/>
      <w:sz w:val="24"/>
      <w:szCs w:val="20"/>
      <w:lang w:eastAsia="pt-BR"/>
    </w:rPr>
  </w:style>
  <w:style w:type="paragraph" w:styleId="PargrafodaLista">
    <w:name w:val="List Paragraph"/>
    <w:aliases w:val="Estilo 1"/>
    <w:basedOn w:val="Ttulo1"/>
    <w:next w:val="TextosemFormatao"/>
    <w:link w:val="PargrafodaListaChar"/>
    <w:uiPriority w:val="34"/>
    <w:qFormat/>
    <w:rsid w:val="00683DD9"/>
    <w:pPr>
      <w:numPr>
        <w:numId w:val="1"/>
      </w:numPr>
      <w:spacing w:before="240" w:after="120"/>
      <w:contextualSpacing/>
      <w:jc w:val="left"/>
    </w:pPr>
    <w:rPr>
      <w:sz w:val="28"/>
    </w:rPr>
  </w:style>
  <w:style w:type="paragraph" w:styleId="TextosemFormatao">
    <w:name w:val="Plain Text"/>
    <w:basedOn w:val="Normal"/>
    <w:link w:val="TextosemFormataoChar"/>
    <w:uiPriority w:val="99"/>
    <w:unhideWhenUsed/>
    <w:rsid w:val="00683DD9"/>
    <w:pPr>
      <w:spacing w:after="0" w:line="240" w:lineRule="auto"/>
    </w:pPr>
    <w:rPr>
      <w:rFonts w:ascii="Consolas" w:hAnsi="Consolas" w:cs="Consolas"/>
      <w:sz w:val="21"/>
      <w:szCs w:val="21"/>
    </w:rPr>
  </w:style>
  <w:style w:type="character" w:customStyle="1" w:styleId="TextosemFormataoChar">
    <w:name w:val="Texto sem Formatação Char"/>
    <w:basedOn w:val="Fontepargpadro"/>
    <w:link w:val="TextosemFormatao"/>
    <w:uiPriority w:val="99"/>
    <w:rsid w:val="00683DD9"/>
    <w:rPr>
      <w:rFonts w:ascii="Consolas" w:hAnsi="Consolas" w:cs="Consolas"/>
      <w:sz w:val="21"/>
      <w:szCs w:val="21"/>
    </w:rPr>
  </w:style>
  <w:style w:type="character" w:customStyle="1" w:styleId="PargrafodaListaChar">
    <w:name w:val="Parágrafo da Lista Char"/>
    <w:aliases w:val="Estilo 1 Char"/>
    <w:basedOn w:val="Sumrio1Char"/>
    <w:link w:val="PargrafodaLista"/>
    <w:uiPriority w:val="34"/>
    <w:rsid w:val="00683DD9"/>
    <w:rPr>
      <w:rFonts w:ascii="Times New Roman" w:eastAsia="Times New Roman" w:hAnsi="Times New Roman" w:cs="Times New Roman"/>
      <w:b/>
      <w:noProof/>
      <w:sz w:val="28"/>
      <w:szCs w:val="20"/>
      <w:lang w:eastAsia="pt-BR"/>
    </w:rPr>
  </w:style>
  <w:style w:type="character" w:customStyle="1" w:styleId="Sumrio1Char">
    <w:name w:val="Sumário 1 Char"/>
    <w:basedOn w:val="Fontepargpadro"/>
    <w:link w:val="Sumrio1"/>
    <w:uiPriority w:val="39"/>
    <w:rsid w:val="0067170E"/>
    <w:rPr>
      <w:rFonts w:ascii="Times New Roman" w:hAnsi="Times New Roman" w:cs="Times New Roman"/>
      <w:noProof/>
      <w:sz w:val="24"/>
      <w:szCs w:val="24"/>
    </w:rPr>
  </w:style>
  <w:style w:type="paragraph" w:styleId="Sumrio1">
    <w:name w:val="toc 1"/>
    <w:basedOn w:val="Normal"/>
    <w:next w:val="Normal"/>
    <w:link w:val="Sumrio1Char"/>
    <w:autoRedefine/>
    <w:uiPriority w:val="39"/>
    <w:unhideWhenUsed/>
    <w:rsid w:val="0067170E"/>
    <w:pPr>
      <w:tabs>
        <w:tab w:val="left" w:pos="440"/>
        <w:tab w:val="right" w:leader="dot" w:pos="8494"/>
      </w:tabs>
      <w:spacing w:after="120"/>
    </w:pPr>
    <w:rPr>
      <w:rFonts w:ascii="Times New Roman" w:hAnsi="Times New Roman" w:cs="Times New Roman"/>
      <w:noProof/>
      <w:sz w:val="24"/>
      <w:szCs w:val="24"/>
    </w:rPr>
  </w:style>
  <w:style w:type="table" w:styleId="Tabelacomgrade">
    <w:name w:val="Table Grid"/>
    <w:basedOn w:val="Tabelanormal"/>
    <w:uiPriority w:val="59"/>
    <w:rsid w:val="008C7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nhideWhenUsed/>
    <w:rsid w:val="000B5B8F"/>
    <w:pPr>
      <w:spacing w:after="0" w:line="240" w:lineRule="auto"/>
    </w:pPr>
    <w:rPr>
      <w:sz w:val="20"/>
      <w:szCs w:val="20"/>
    </w:rPr>
  </w:style>
  <w:style w:type="character" w:customStyle="1" w:styleId="TextodenotaderodapChar">
    <w:name w:val="Texto de nota de rodapé Char"/>
    <w:basedOn w:val="Fontepargpadro"/>
    <w:link w:val="Textodenotaderodap"/>
    <w:rsid w:val="000B5B8F"/>
    <w:rPr>
      <w:sz w:val="20"/>
      <w:szCs w:val="20"/>
    </w:rPr>
  </w:style>
  <w:style w:type="character" w:styleId="Refdenotaderodap">
    <w:name w:val="footnote reference"/>
    <w:basedOn w:val="Fontepargpadro"/>
    <w:unhideWhenUsed/>
    <w:rsid w:val="000B5B8F"/>
    <w:rPr>
      <w:vertAlign w:val="superscript"/>
    </w:rPr>
  </w:style>
  <w:style w:type="paragraph" w:styleId="Cabealho">
    <w:name w:val="header"/>
    <w:basedOn w:val="Normal"/>
    <w:link w:val="CabealhoChar"/>
    <w:unhideWhenUsed/>
    <w:rsid w:val="000115E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115E4"/>
  </w:style>
  <w:style w:type="paragraph" w:styleId="Rodap">
    <w:name w:val="footer"/>
    <w:basedOn w:val="Normal"/>
    <w:link w:val="RodapChar"/>
    <w:uiPriority w:val="99"/>
    <w:unhideWhenUsed/>
    <w:rsid w:val="000115E4"/>
    <w:pPr>
      <w:tabs>
        <w:tab w:val="center" w:pos="4252"/>
        <w:tab w:val="right" w:pos="8504"/>
      </w:tabs>
      <w:spacing w:after="0" w:line="240" w:lineRule="auto"/>
    </w:pPr>
  </w:style>
  <w:style w:type="character" w:customStyle="1" w:styleId="RodapChar">
    <w:name w:val="Rodapé Char"/>
    <w:basedOn w:val="Fontepargpadro"/>
    <w:link w:val="Rodap"/>
    <w:uiPriority w:val="99"/>
    <w:rsid w:val="000115E4"/>
  </w:style>
  <w:style w:type="character" w:styleId="nfase">
    <w:name w:val="Emphasis"/>
    <w:basedOn w:val="Fontepargpadro"/>
    <w:uiPriority w:val="20"/>
    <w:qFormat/>
    <w:rsid w:val="005A58FA"/>
    <w:rPr>
      <w:i/>
      <w:iCs/>
    </w:rPr>
  </w:style>
  <w:style w:type="paragraph" w:customStyle="1" w:styleId="Epgrafe">
    <w:name w:val="#Epígrafe"/>
    <w:basedOn w:val="Normal"/>
    <w:autoRedefine/>
    <w:qFormat/>
    <w:rsid w:val="00A02CD6"/>
    <w:pPr>
      <w:widowControl w:val="0"/>
      <w:suppressAutoHyphens/>
      <w:spacing w:before="120" w:after="90" w:line="240" w:lineRule="auto"/>
      <w:jc w:val="center"/>
    </w:pPr>
    <w:rPr>
      <w:rFonts w:ascii="Times New Roman" w:eastAsia="Calibri" w:hAnsi="Times New Roman" w:cs="Times New Roman"/>
      <w:b/>
      <w:caps/>
      <w:color w:val="0070C0"/>
      <w:sz w:val="36"/>
      <w:szCs w:val="36"/>
      <w:lang w:bidi="en-US"/>
    </w:rPr>
  </w:style>
  <w:style w:type="character" w:styleId="Hyperlink">
    <w:name w:val="Hyperlink"/>
    <w:basedOn w:val="Fontepargpadro"/>
    <w:uiPriority w:val="99"/>
    <w:unhideWhenUsed/>
    <w:rsid w:val="007A5E33"/>
    <w:rPr>
      <w:color w:val="0000FF" w:themeColor="hyperlink"/>
      <w:u w:val="single"/>
    </w:rPr>
  </w:style>
  <w:style w:type="paragraph" w:styleId="CabealhodoSumrio">
    <w:name w:val="TOC Heading"/>
    <w:basedOn w:val="Ttulo1"/>
    <w:next w:val="Normal"/>
    <w:uiPriority w:val="39"/>
    <w:semiHidden/>
    <w:unhideWhenUsed/>
    <w:qFormat/>
    <w:rsid w:val="00070B87"/>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rPr>
  </w:style>
  <w:style w:type="paragraph" w:styleId="Textodebalo">
    <w:name w:val="Balloon Text"/>
    <w:basedOn w:val="Normal"/>
    <w:link w:val="TextodebaloChar"/>
    <w:uiPriority w:val="99"/>
    <w:semiHidden/>
    <w:unhideWhenUsed/>
    <w:rsid w:val="00070B8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70B87"/>
    <w:rPr>
      <w:rFonts w:ascii="Tahoma" w:hAnsi="Tahoma" w:cs="Tahoma"/>
      <w:sz w:val="16"/>
      <w:szCs w:val="16"/>
    </w:rPr>
  </w:style>
  <w:style w:type="paragraph" w:styleId="Subttulo">
    <w:name w:val="Subtitle"/>
    <w:basedOn w:val="Normal"/>
    <w:next w:val="Normal"/>
    <w:link w:val="SubttuloChar"/>
    <w:uiPriority w:val="11"/>
    <w:qFormat/>
    <w:rsid w:val="00B719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B719F4"/>
    <w:rPr>
      <w:rFonts w:asciiTheme="majorHAnsi" w:eastAsiaTheme="majorEastAsia" w:hAnsiTheme="majorHAnsi" w:cstheme="majorBidi"/>
      <w:i/>
      <w:iCs/>
      <w:color w:val="4F81BD" w:themeColor="accent1"/>
      <w:spacing w:val="15"/>
      <w:sz w:val="24"/>
      <w:szCs w:val="24"/>
    </w:rPr>
  </w:style>
  <w:style w:type="paragraph" w:styleId="Ttulo">
    <w:name w:val="Title"/>
    <w:basedOn w:val="Normal"/>
    <w:next w:val="Normal"/>
    <w:link w:val="TtuloChar"/>
    <w:uiPriority w:val="10"/>
    <w:qFormat/>
    <w:rsid w:val="00683DD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683DD9"/>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AD44C3"/>
    <w:pPr>
      <w:autoSpaceDE w:val="0"/>
      <w:autoSpaceDN w:val="0"/>
      <w:adjustRightInd w:val="0"/>
      <w:spacing w:after="0" w:line="240" w:lineRule="auto"/>
    </w:pPr>
    <w:rPr>
      <w:rFonts w:ascii="Times New Roman" w:hAnsi="Times New Roman" w:cs="Times New Roman"/>
      <w:color w:val="000000"/>
      <w:sz w:val="24"/>
      <w:szCs w:val="24"/>
    </w:rPr>
  </w:style>
  <w:style w:type="character" w:styleId="CitaoHTML">
    <w:name w:val="HTML Cite"/>
    <w:basedOn w:val="Fontepargpadro"/>
    <w:uiPriority w:val="99"/>
    <w:semiHidden/>
    <w:unhideWhenUsed/>
    <w:rsid w:val="007005DD"/>
    <w:rPr>
      <w:i/>
      <w:iCs/>
    </w:rPr>
  </w:style>
  <w:style w:type="paragraph" w:styleId="NormalWeb">
    <w:name w:val="Normal (Web)"/>
    <w:basedOn w:val="Normal"/>
    <w:uiPriority w:val="99"/>
    <w:semiHidden/>
    <w:unhideWhenUsed/>
    <w:rsid w:val="004909E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467BFC"/>
  </w:style>
  <w:style w:type="paragraph" w:styleId="Corpodetexto">
    <w:name w:val="Body Text"/>
    <w:basedOn w:val="Normal"/>
    <w:link w:val="CorpodetextoChar"/>
    <w:semiHidden/>
    <w:rsid w:val="00C23853"/>
    <w:pPr>
      <w:spacing w:after="0" w:line="240" w:lineRule="auto"/>
    </w:pPr>
    <w:rPr>
      <w:rFonts w:ascii="Times New Roman" w:eastAsia="Times New Roman" w:hAnsi="Times New Roman" w:cs="Times New Roman"/>
      <w:sz w:val="24"/>
      <w:szCs w:val="20"/>
      <w:lang w:eastAsia="pt-BR"/>
    </w:rPr>
  </w:style>
  <w:style w:type="character" w:customStyle="1" w:styleId="CorpodetextoChar">
    <w:name w:val="Corpo de texto Char"/>
    <w:basedOn w:val="Fontepargpadro"/>
    <w:link w:val="Corpodetexto"/>
    <w:semiHidden/>
    <w:rsid w:val="00C23853"/>
    <w:rPr>
      <w:rFonts w:ascii="Times New Roman" w:eastAsia="Times New Roman" w:hAnsi="Times New Roman" w:cs="Times New Roman"/>
      <w:sz w:val="24"/>
      <w:szCs w:val="20"/>
      <w:lang w:eastAsia="pt-BR"/>
    </w:rPr>
  </w:style>
  <w:style w:type="paragraph" w:customStyle="1" w:styleId="ecxmsonormal">
    <w:name w:val="ecxmsonormal"/>
    <w:basedOn w:val="Normal"/>
    <w:uiPriority w:val="99"/>
    <w:rsid w:val="007B729D"/>
    <w:pPr>
      <w:spacing w:after="324" w:line="240" w:lineRule="auto"/>
    </w:pPr>
    <w:rPr>
      <w:rFonts w:ascii="Times New Roman" w:eastAsia="Times New Roman" w:hAnsi="Times New Roman" w:cs="Times New Roman"/>
      <w:sz w:val="24"/>
      <w:szCs w:val="24"/>
      <w:lang w:eastAsia="pt-BR"/>
    </w:rPr>
  </w:style>
  <w:style w:type="table" w:customStyle="1" w:styleId="TabeladeGrade4-nfase11">
    <w:name w:val="Tabela de Grade 4 - Ênfase 11"/>
    <w:basedOn w:val="Tabelanormal"/>
    <w:uiPriority w:val="49"/>
    <w:rsid w:val="006137D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HiperlinkVisitado">
    <w:name w:val="FollowedHyperlink"/>
    <w:basedOn w:val="Fontepargpadro"/>
    <w:uiPriority w:val="99"/>
    <w:semiHidden/>
    <w:unhideWhenUsed/>
    <w:rsid w:val="0052557C"/>
    <w:rPr>
      <w:color w:val="800080"/>
      <w:u w:val="single"/>
    </w:rPr>
  </w:style>
  <w:style w:type="paragraph" w:customStyle="1" w:styleId="font5">
    <w:name w:val="font5"/>
    <w:basedOn w:val="Normal"/>
    <w:rsid w:val="0052557C"/>
    <w:pPr>
      <w:spacing w:before="100" w:beforeAutospacing="1" w:after="100" w:afterAutospacing="1" w:line="240" w:lineRule="auto"/>
    </w:pPr>
    <w:rPr>
      <w:rFonts w:ascii="Times New Roman" w:eastAsia="Times New Roman" w:hAnsi="Times New Roman" w:cs="Times New Roman"/>
      <w:color w:val="000000"/>
      <w:sz w:val="20"/>
      <w:szCs w:val="20"/>
      <w:lang w:eastAsia="pt-BR"/>
    </w:rPr>
  </w:style>
  <w:style w:type="paragraph" w:customStyle="1" w:styleId="font6">
    <w:name w:val="font6"/>
    <w:basedOn w:val="Normal"/>
    <w:rsid w:val="0052557C"/>
    <w:pPr>
      <w:spacing w:before="100" w:beforeAutospacing="1" w:after="100" w:afterAutospacing="1" w:line="240" w:lineRule="auto"/>
    </w:pPr>
    <w:rPr>
      <w:rFonts w:ascii="Times New Roman" w:eastAsia="Times New Roman" w:hAnsi="Times New Roman" w:cs="Times New Roman"/>
      <w:i/>
      <w:iCs/>
      <w:color w:val="000000"/>
      <w:sz w:val="20"/>
      <w:szCs w:val="20"/>
      <w:lang w:eastAsia="pt-BR"/>
    </w:rPr>
  </w:style>
  <w:style w:type="paragraph" w:customStyle="1" w:styleId="font7">
    <w:name w:val="font7"/>
    <w:basedOn w:val="Normal"/>
    <w:rsid w:val="0052557C"/>
    <w:pPr>
      <w:spacing w:before="100" w:beforeAutospacing="1" w:after="100" w:afterAutospacing="1" w:line="240" w:lineRule="auto"/>
    </w:pPr>
    <w:rPr>
      <w:rFonts w:ascii="Times New Roman" w:eastAsia="Times New Roman" w:hAnsi="Times New Roman" w:cs="Times New Roman"/>
      <w:sz w:val="20"/>
      <w:szCs w:val="20"/>
      <w:lang w:eastAsia="pt-BR"/>
    </w:rPr>
  </w:style>
  <w:style w:type="paragraph" w:customStyle="1" w:styleId="font8">
    <w:name w:val="font8"/>
    <w:basedOn w:val="Normal"/>
    <w:rsid w:val="0052557C"/>
    <w:pPr>
      <w:spacing w:before="100" w:beforeAutospacing="1" w:after="100" w:afterAutospacing="1" w:line="240" w:lineRule="auto"/>
    </w:pPr>
    <w:rPr>
      <w:rFonts w:ascii="Times New Roman" w:eastAsia="Times New Roman" w:hAnsi="Times New Roman" w:cs="Times New Roman"/>
      <w:i/>
      <w:iCs/>
      <w:sz w:val="20"/>
      <w:szCs w:val="20"/>
      <w:lang w:eastAsia="pt-BR"/>
    </w:rPr>
  </w:style>
  <w:style w:type="paragraph" w:customStyle="1" w:styleId="xl63">
    <w:name w:val="xl63"/>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4">
    <w:name w:val="xl64"/>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5">
    <w:name w:val="xl65"/>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6">
    <w:name w:val="xl66"/>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7">
    <w:name w:val="xl67"/>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8">
    <w:name w:val="xl68"/>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9">
    <w:name w:val="xl69"/>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70">
    <w:name w:val="xl70"/>
    <w:basedOn w:val="Normal"/>
    <w:rsid w:val="0052557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71">
    <w:name w:val="xl71"/>
    <w:basedOn w:val="Normal"/>
    <w:rsid w:val="0052557C"/>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72">
    <w:name w:val="xl72"/>
    <w:basedOn w:val="Normal"/>
    <w:rsid w:val="0052557C"/>
    <w:pP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character" w:customStyle="1" w:styleId="Ttulo2Char">
    <w:name w:val="Título 2 Char"/>
    <w:basedOn w:val="Fontepargpadro"/>
    <w:link w:val="Ttulo2"/>
    <w:uiPriority w:val="9"/>
    <w:semiHidden/>
    <w:rsid w:val="003631A1"/>
    <w:rPr>
      <w:rFonts w:asciiTheme="majorHAnsi" w:eastAsiaTheme="majorEastAsia" w:hAnsiTheme="majorHAnsi" w:cstheme="majorBidi"/>
      <w:b/>
      <w:bCs/>
      <w:color w:val="4F81BD" w:themeColor="accent1"/>
      <w:sz w:val="26"/>
      <w:szCs w:val="26"/>
    </w:rPr>
  </w:style>
  <w:style w:type="character" w:styleId="Refdecomentrio">
    <w:name w:val="annotation reference"/>
    <w:basedOn w:val="Fontepargpadro"/>
    <w:uiPriority w:val="99"/>
    <w:semiHidden/>
    <w:unhideWhenUsed/>
    <w:rsid w:val="00E852D6"/>
    <w:rPr>
      <w:sz w:val="16"/>
      <w:szCs w:val="16"/>
    </w:rPr>
  </w:style>
  <w:style w:type="paragraph" w:styleId="Textodecomentrio">
    <w:name w:val="annotation text"/>
    <w:basedOn w:val="Normal"/>
    <w:link w:val="TextodecomentrioChar"/>
    <w:uiPriority w:val="99"/>
    <w:semiHidden/>
    <w:unhideWhenUsed/>
    <w:rsid w:val="00E852D6"/>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E852D6"/>
    <w:rPr>
      <w:sz w:val="20"/>
      <w:szCs w:val="20"/>
    </w:rPr>
  </w:style>
  <w:style w:type="paragraph" w:styleId="Assuntodocomentrio">
    <w:name w:val="annotation subject"/>
    <w:basedOn w:val="Textodecomentrio"/>
    <w:next w:val="Textodecomentrio"/>
    <w:link w:val="AssuntodocomentrioChar"/>
    <w:uiPriority w:val="99"/>
    <w:semiHidden/>
    <w:unhideWhenUsed/>
    <w:rsid w:val="00E852D6"/>
    <w:rPr>
      <w:b/>
      <w:bCs/>
    </w:rPr>
  </w:style>
  <w:style w:type="character" w:customStyle="1" w:styleId="AssuntodocomentrioChar">
    <w:name w:val="Assunto do comentário Char"/>
    <w:basedOn w:val="TextodecomentrioChar"/>
    <w:link w:val="Assuntodocomentrio"/>
    <w:uiPriority w:val="99"/>
    <w:semiHidden/>
    <w:rsid w:val="00E852D6"/>
    <w:rPr>
      <w:b/>
      <w:bCs/>
      <w:sz w:val="20"/>
      <w:szCs w:val="20"/>
    </w:rPr>
  </w:style>
  <w:style w:type="paragraph" w:styleId="Sumrio2">
    <w:name w:val="toc 2"/>
    <w:basedOn w:val="Normal"/>
    <w:next w:val="Normal"/>
    <w:autoRedefine/>
    <w:uiPriority w:val="39"/>
    <w:unhideWhenUsed/>
    <w:rsid w:val="00AB00D6"/>
    <w:pPr>
      <w:spacing w:after="100"/>
      <w:ind w:left="220"/>
    </w:pPr>
  </w:style>
  <w:style w:type="paragraph" w:styleId="Pr-formataoHTML">
    <w:name w:val="HTML Preformatted"/>
    <w:basedOn w:val="Normal"/>
    <w:link w:val="Pr-formataoHTMLChar"/>
    <w:uiPriority w:val="99"/>
    <w:semiHidden/>
    <w:unhideWhenUsed/>
    <w:rsid w:val="00305CF8"/>
    <w:pPr>
      <w:spacing w:after="0" w:line="240" w:lineRule="auto"/>
    </w:pPr>
    <w:rPr>
      <w:rFonts w:ascii="Consolas" w:hAnsi="Consolas" w:cs="Consolas"/>
      <w:sz w:val="20"/>
      <w:szCs w:val="20"/>
    </w:rPr>
  </w:style>
  <w:style w:type="character" w:customStyle="1" w:styleId="Pr-formataoHTMLChar">
    <w:name w:val="Pré-formatação HTML Char"/>
    <w:basedOn w:val="Fontepargpadro"/>
    <w:link w:val="Pr-formataoHTML"/>
    <w:uiPriority w:val="99"/>
    <w:semiHidden/>
    <w:rsid w:val="00305CF8"/>
    <w:rPr>
      <w:rFonts w:ascii="Consolas" w:hAnsi="Consolas" w:cs="Consolas"/>
      <w:sz w:val="20"/>
      <w:szCs w:val="20"/>
    </w:rPr>
  </w:style>
  <w:style w:type="character" w:customStyle="1" w:styleId="highlightedsearchterm">
    <w:name w:val="highlightedsearchterm"/>
    <w:basedOn w:val="Fontepargpadro"/>
    <w:rsid w:val="00DD2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6262">
      <w:bodyDiv w:val="1"/>
      <w:marLeft w:val="0"/>
      <w:marRight w:val="0"/>
      <w:marTop w:val="0"/>
      <w:marBottom w:val="0"/>
      <w:divBdr>
        <w:top w:val="none" w:sz="0" w:space="0" w:color="auto"/>
        <w:left w:val="none" w:sz="0" w:space="0" w:color="auto"/>
        <w:bottom w:val="none" w:sz="0" w:space="0" w:color="auto"/>
        <w:right w:val="none" w:sz="0" w:space="0" w:color="auto"/>
      </w:divBdr>
      <w:divsChild>
        <w:div w:id="1920478393">
          <w:marLeft w:val="0"/>
          <w:marRight w:val="0"/>
          <w:marTop w:val="0"/>
          <w:marBottom w:val="0"/>
          <w:divBdr>
            <w:top w:val="none" w:sz="0" w:space="0" w:color="auto"/>
            <w:left w:val="none" w:sz="0" w:space="0" w:color="auto"/>
            <w:bottom w:val="none" w:sz="0" w:space="0" w:color="auto"/>
            <w:right w:val="none" w:sz="0" w:space="0" w:color="auto"/>
          </w:divBdr>
        </w:div>
        <w:div w:id="1484391945">
          <w:marLeft w:val="0"/>
          <w:marRight w:val="0"/>
          <w:marTop w:val="0"/>
          <w:marBottom w:val="0"/>
          <w:divBdr>
            <w:top w:val="none" w:sz="0" w:space="0" w:color="auto"/>
            <w:left w:val="none" w:sz="0" w:space="0" w:color="auto"/>
            <w:bottom w:val="none" w:sz="0" w:space="0" w:color="auto"/>
            <w:right w:val="none" w:sz="0" w:space="0" w:color="auto"/>
          </w:divBdr>
        </w:div>
        <w:div w:id="382219678">
          <w:marLeft w:val="0"/>
          <w:marRight w:val="0"/>
          <w:marTop w:val="0"/>
          <w:marBottom w:val="0"/>
          <w:divBdr>
            <w:top w:val="none" w:sz="0" w:space="0" w:color="auto"/>
            <w:left w:val="none" w:sz="0" w:space="0" w:color="auto"/>
            <w:bottom w:val="none" w:sz="0" w:space="0" w:color="auto"/>
            <w:right w:val="none" w:sz="0" w:space="0" w:color="auto"/>
          </w:divBdr>
        </w:div>
      </w:divsChild>
    </w:div>
    <w:div w:id="69086685">
      <w:bodyDiv w:val="1"/>
      <w:marLeft w:val="0"/>
      <w:marRight w:val="0"/>
      <w:marTop w:val="0"/>
      <w:marBottom w:val="0"/>
      <w:divBdr>
        <w:top w:val="none" w:sz="0" w:space="0" w:color="auto"/>
        <w:left w:val="none" w:sz="0" w:space="0" w:color="auto"/>
        <w:bottom w:val="none" w:sz="0" w:space="0" w:color="auto"/>
        <w:right w:val="none" w:sz="0" w:space="0" w:color="auto"/>
      </w:divBdr>
    </w:div>
    <w:div w:id="73282879">
      <w:bodyDiv w:val="1"/>
      <w:marLeft w:val="0"/>
      <w:marRight w:val="0"/>
      <w:marTop w:val="0"/>
      <w:marBottom w:val="0"/>
      <w:divBdr>
        <w:top w:val="none" w:sz="0" w:space="0" w:color="auto"/>
        <w:left w:val="none" w:sz="0" w:space="0" w:color="auto"/>
        <w:bottom w:val="none" w:sz="0" w:space="0" w:color="auto"/>
        <w:right w:val="none" w:sz="0" w:space="0" w:color="auto"/>
      </w:divBdr>
    </w:div>
    <w:div w:id="209155446">
      <w:bodyDiv w:val="1"/>
      <w:marLeft w:val="0"/>
      <w:marRight w:val="0"/>
      <w:marTop w:val="0"/>
      <w:marBottom w:val="0"/>
      <w:divBdr>
        <w:top w:val="none" w:sz="0" w:space="0" w:color="auto"/>
        <w:left w:val="none" w:sz="0" w:space="0" w:color="auto"/>
        <w:bottom w:val="none" w:sz="0" w:space="0" w:color="auto"/>
        <w:right w:val="none" w:sz="0" w:space="0" w:color="auto"/>
      </w:divBdr>
    </w:div>
    <w:div w:id="228226156">
      <w:bodyDiv w:val="1"/>
      <w:marLeft w:val="0"/>
      <w:marRight w:val="0"/>
      <w:marTop w:val="0"/>
      <w:marBottom w:val="0"/>
      <w:divBdr>
        <w:top w:val="none" w:sz="0" w:space="0" w:color="auto"/>
        <w:left w:val="none" w:sz="0" w:space="0" w:color="auto"/>
        <w:bottom w:val="none" w:sz="0" w:space="0" w:color="auto"/>
        <w:right w:val="none" w:sz="0" w:space="0" w:color="auto"/>
      </w:divBdr>
    </w:div>
    <w:div w:id="328410331">
      <w:bodyDiv w:val="1"/>
      <w:marLeft w:val="0"/>
      <w:marRight w:val="0"/>
      <w:marTop w:val="0"/>
      <w:marBottom w:val="0"/>
      <w:divBdr>
        <w:top w:val="none" w:sz="0" w:space="0" w:color="auto"/>
        <w:left w:val="none" w:sz="0" w:space="0" w:color="auto"/>
        <w:bottom w:val="none" w:sz="0" w:space="0" w:color="auto"/>
        <w:right w:val="none" w:sz="0" w:space="0" w:color="auto"/>
      </w:divBdr>
    </w:div>
    <w:div w:id="413010153">
      <w:bodyDiv w:val="1"/>
      <w:marLeft w:val="0"/>
      <w:marRight w:val="0"/>
      <w:marTop w:val="0"/>
      <w:marBottom w:val="0"/>
      <w:divBdr>
        <w:top w:val="none" w:sz="0" w:space="0" w:color="auto"/>
        <w:left w:val="none" w:sz="0" w:space="0" w:color="auto"/>
        <w:bottom w:val="none" w:sz="0" w:space="0" w:color="auto"/>
        <w:right w:val="none" w:sz="0" w:space="0" w:color="auto"/>
      </w:divBdr>
      <w:divsChild>
        <w:div w:id="9185838">
          <w:marLeft w:val="0"/>
          <w:marRight w:val="0"/>
          <w:marTop w:val="0"/>
          <w:marBottom w:val="0"/>
          <w:divBdr>
            <w:top w:val="none" w:sz="0" w:space="0" w:color="auto"/>
            <w:left w:val="none" w:sz="0" w:space="0" w:color="auto"/>
            <w:bottom w:val="none" w:sz="0" w:space="0" w:color="auto"/>
            <w:right w:val="none" w:sz="0" w:space="0" w:color="auto"/>
          </w:divBdr>
        </w:div>
        <w:div w:id="24523623">
          <w:marLeft w:val="0"/>
          <w:marRight w:val="0"/>
          <w:marTop w:val="0"/>
          <w:marBottom w:val="0"/>
          <w:divBdr>
            <w:top w:val="none" w:sz="0" w:space="0" w:color="auto"/>
            <w:left w:val="none" w:sz="0" w:space="0" w:color="auto"/>
            <w:bottom w:val="none" w:sz="0" w:space="0" w:color="auto"/>
            <w:right w:val="none" w:sz="0" w:space="0" w:color="auto"/>
          </w:divBdr>
        </w:div>
        <w:div w:id="259878089">
          <w:marLeft w:val="0"/>
          <w:marRight w:val="0"/>
          <w:marTop w:val="0"/>
          <w:marBottom w:val="0"/>
          <w:divBdr>
            <w:top w:val="none" w:sz="0" w:space="0" w:color="auto"/>
            <w:left w:val="none" w:sz="0" w:space="0" w:color="auto"/>
            <w:bottom w:val="none" w:sz="0" w:space="0" w:color="auto"/>
            <w:right w:val="none" w:sz="0" w:space="0" w:color="auto"/>
          </w:divBdr>
        </w:div>
        <w:div w:id="333266976">
          <w:marLeft w:val="0"/>
          <w:marRight w:val="0"/>
          <w:marTop w:val="0"/>
          <w:marBottom w:val="0"/>
          <w:divBdr>
            <w:top w:val="none" w:sz="0" w:space="0" w:color="auto"/>
            <w:left w:val="none" w:sz="0" w:space="0" w:color="auto"/>
            <w:bottom w:val="none" w:sz="0" w:space="0" w:color="auto"/>
            <w:right w:val="none" w:sz="0" w:space="0" w:color="auto"/>
          </w:divBdr>
        </w:div>
        <w:div w:id="612250564">
          <w:marLeft w:val="0"/>
          <w:marRight w:val="0"/>
          <w:marTop w:val="0"/>
          <w:marBottom w:val="0"/>
          <w:divBdr>
            <w:top w:val="none" w:sz="0" w:space="0" w:color="auto"/>
            <w:left w:val="none" w:sz="0" w:space="0" w:color="auto"/>
            <w:bottom w:val="none" w:sz="0" w:space="0" w:color="auto"/>
            <w:right w:val="none" w:sz="0" w:space="0" w:color="auto"/>
          </w:divBdr>
        </w:div>
        <w:div w:id="793863366">
          <w:marLeft w:val="0"/>
          <w:marRight w:val="0"/>
          <w:marTop w:val="0"/>
          <w:marBottom w:val="0"/>
          <w:divBdr>
            <w:top w:val="none" w:sz="0" w:space="0" w:color="auto"/>
            <w:left w:val="none" w:sz="0" w:space="0" w:color="auto"/>
            <w:bottom w:val="none" w:sz="0" w:space="0" w:color="auto"/>
            <w:right w:val="none" w:sz="0" w:space="0" w:color="auto"/>
          </w:divBdr>
        </w:div>
        <w:div w:id="878787099">
          <w:marLeft w:val="0"/>
          <w:marRight w:val="0"/>
          <w:marTop w:val="0"/>
          <w:marBottom w:val="0"/>
          <w:divBdr>
            <w:top w:val="none" w:sz="0" w:space="0" w:color="auto"/>
            <w:left w:val="none" w:sz="0" w:space="0" w:color="auto"/>
            <w:bottom w:val="none" w:sz="0" w:space="0" w:color="auto"/>
            <w:right w:val="none" w:sz="0" w:space="0" w:color="auto"/>
          </w:divBdr>
        </w:div>
      </w:divsChild>
    </w:div>
    <w:div w:id="482427422">
      <w:bodyDiv w:val="1"/>
      <w:marLeft w:val="0"/>
      <w:marRight w:val="0"/>
      <w:marTop w:val="0"/>
      <w:marBottom w:val="0"/>
      <w:divBdr>
        <w:top w:val="none" w:sz="0" w:space="0" w:color="auto"/>
        <w:left w:val="none" w:sz="0" w:space="0" w:color="auto"/>
        <w:bottom w:val="none" w:sz="0" w:space="0" w:color="auto"/>
        <w:right w:val="none" w:sz="0" w:space="0" w:color="auto"/>
      </w:divBdr>
    </w:div>
    <w:div w:id="493230232">
      <w:bodyDiv w:val="1"/>
      <w:marLeft w:val="0"/>
      <w:marRight w:val="0"/>
      <w:marTop w:val="0"/>
      <w:marBottom w:val="0"/>
      <w:divBdr>
        <w:top w:val="none" w:sz="0" w:space="0" w:color="auto"/>
        <w:left w:val="none" w:sz="0" w:space="0" w:color="auto"/>
        <w:bottom w:val="none" w:sz="0" w:space="0" w:color="auto"/>
        <w:right w:val="none" w:sz="0" w:space="0" w:color="auto"/>
      </w:divBdr>
    </w:div>
    <w:div w:id="510340323">
      <w:bodyDiv w:val="1"/>
      <w:marLeft w:val="0"/>
      <w:marRight w:val="0"/>
      <w:marTop w:val="0"/>
      <w:marBottom w:val="0"/>
      <w:divBdr>
        <w:top w:val="none" w:sz="0" w:space="0" w:color="auto"/>
        <w:left w:val="none" w:sz="0" w:space="0" w:color="auto"/>
        <w:bottom w:val="none" w:sz="0" w:space="0" w:color="auto"/>
        <w:right w:val="none" w:sz="0" w:space="0" w:color="auto"/>
      </w:divBdr>
    </w:div>
    <w:div w:id="521549935">
      <w:bodyDiv w:val="1"/>
      <w:marLeft w:val="0"/>
      <w:marRight w:val="0"/>
      <w:marTop w:val="0"/>
      <w:marBottom w:val="0"/>
      <w:divBdr>
        <w:top w:val="none" w:sz="0" w:space="0" w:color="auto"/>
        <w:left w:val="none" w:sz="0" w:space="0" w:color="auto"/>
        <w:bottom w:val="none" w:sz="0" w:space="0" w:color="auto"/>
        <w:right w:val="none" w:sz="0" w:space="0" w:color="auto"/>
      </w:divBdr>
      <w:divsChild>
        <w:div w:id="941110470">
          <w:marLeft w:val="0"/>
          <w:marRight w:val="0"/>
          <w:marTop w:val="0"/>
          <w:marBottom w:val="0"/>
          <w:divBdr>
            <w:top w:val="none" w:sz="0" w:space="0" w:color="auto"/>
            <w:left w:val="none" w:sz="0" w:space="0" w:color="auto"/>
            <w:bottom w:val="none" w:sz="0" w:space="0" w:color="auto"/>
            <w:right w:val="none" w:sz="0" w:space="0" w:color="auto"/>
          </w:divBdr>
        </w:div>
        <w:div w:id="1256357481">
          <w:marLeft w:val="0"/>
          <w:marRight w:val="0"/>
          <w:marTop w:val="0"/>
          <w:marBottom w:val="0"/>
          <w:divBdr>
            <w:top w:val="none" w:sz="0" w:space="0" w:color="auto"/>
            <w:left w:val="none" w:sz="0" w:space="0" w:color="auto"/>
            <w:bottom w:val="none" w:sz="0" w:space="0" w:color="auto"/>
            <w:right w:val="none" w:sz="0" w:space="0" w:color="auto"/>
          </w:divBdr>
        </w:div>
      </w:divsChild>
    </w:div>
    <w:div w:id="544606564">
      <w:bodyDiv w:val="1"/>
      <w:marLeft w:val="0"/>
      <w:marRight w:val="0"/>
      <w:marTop w:val="0"/>
      <w:marBottom w:val="0"/>
      <w:divBdr>
        <w:top w:val="none" w:sz="0" w:space="0" w:color="auto"/>
        <w:left w:val="none" w:sz="0" w:space="0" w:color="auto"/>
        <w:bottom w:val="none" w:sz="0" w:space="0" w:color="auto"/>
        <w:right w:val="none" w:sz="0" w:space="0" w:color="auto"/>
      </w:divBdr>
    </w:div>
    <w:div w:id="622420973">
      <w:bodyDiv w:val="1"/>
      <w:marLeft w:val="0"/>
      <w:marRight w:val="0"/>
      <w:marTop w:val="0"/>
      <w:marBottom w:val="0"/>
      <w:divBdr>
        <w:top w:val="none" w:sz="0" w:space="0" w:color="auto"/>
        <w:left w:val="none" w:sz="0" w:space="0" w:color="auto"/>
        <w:bottom w:val="none" w:sz="0" w:space="0" w:color="auto"/>
        <w:right w:val="none" w:sz="0" w:space="0" w:color="auto"/>
      </w:divBdr>
    </w:div>
    <w:div w:id="644815894">
      <w:bodyDiv w:val="1"/>
      <w:marLeft w:val="0"/>
      <w:marRight w:val="0"/>
      <w:marTop w:val="0"/>
      <w:marBottom w:val="0"/>
      <w:divBdr>
        <w:top w:val="none" w:sz="0" w:space="0" w:color="auto"/>
        <w:left w:val="none" w:sz="0" w:space="0" w:color="auto"/>
        <w:bottom w:val="none" w:sz="0" w:space="0" w:color="auto"/>
        <w:right w:val="none" w:sz="0" w:space="0" w:color="auto"/>
      </w:divBdr>
      <w:divsChild>
        <w:div w:id="1844196198">
          <w:marLeft w:val="0"/>
          <w:marRight w:val="0"/>
          <w:marTop w:val="0"/>
          <w:marBottom w:val="0"/>
          <w:divBdr>
            <w:top w:val="none" w:sz="0" w:space="0" w:color="auto"/>
            <w:left w:val="none" w:sz="0" w:space="0" w:color="auto"/>
            <w:bottom w:val="none" w:sz="0" w:space="0" w:color="auto"/>
            <w:right w:val="none" w:sz="0" w:space="0" w:color="auto"/>
          </w:divBdr>
        </w:div>
        <w:div w:id="1763451566">
          <w:marLeft w:val="0"/>
          <w:marRight w:val="0"/>
          <w:marTop w:val="0"/>
          <w:marBottom w:val="0"/>
          <w:divBdr>
            <w:top w:val="none" w:sz="0" w:space="0" w:color="auto"/>
            <w:left w:val="none" w:sz="0" w:space="0" w:color="auto"/>
            <w:bottom w:val="none" w:sz="0" w:space="0" w:color="auto"/>
            <w:right w:val="none" w:sz="0" w:space="0" w:color="auto"/>
          </w:divBdr>
        </w:div>
        <w:div w:id="2071339725">
          <w:marLeft w:val="0"/>
          <w:marRight w:val="0"/>
          <w:marTop w:val="0"/>
          <w:marBottom w:val="0"/>
          <w:divBdr>
            <w:top w:val="none" w:sz="0" w:space="0" w:color="auto"/>
            <w:left w:val="none" w:sz="0" w:space="0" w:color="auto"/>
            <w:bottom w:val="none" w:sz="0" w:space="0" w:color="auto"/>
            <w:right w:val="none" w:sz="0" w:space="0" w:color="auto"/>
          </w:divBdr>
        </w:div>
      </w:divsChild>
    </w:div>
    <w:div w:id="648091706">
      <w:bodyDiv w:val="1"/>
      <w:marLeft w:val="0"/>
      <w:marRight w:val="0"/>
      <w:marTop w:val="0"/>
      <w:marBottom w:val="0"/>
      <w:divBdr>
        <w:top w:val="none" w:sz="0" w:space="0" w:color="auto"/>
        <w:left w:val="none" w:sz="0" w:space="0" w:color="auto"/>
        <w:bottom w:val="none" w:sz="0" w:space="0" w:color="auto"/>
        <w:right w:val="none" w:sz="0" w:space="0" w:color="auto"/>
      </w:divBdr>
      <w:divsChild>
        <w:div w:id="1841508592">
          <w:marLeft w:val="0"/>
          <w:marRight w:val="0"/>
          <w:marTop w:val="0"/>
          <w:marBottom w:val="0"/>
          <w:divBdr>
            <w:top w:val="none" w:sz="0" w:space="0" w:color="auto"/>
            <w:left w:val="none" w:sz="0" w:space="0" w:color="auto"/>
            <w:bottom w:val="none" w:sz="0" w:space="0" w:color="auto"/>
            <w:right w:val="none" w:sz="0" w:space="0" w:color="auto"/>
          </w:divBdr>
        </w:div>
        <w:div w:id="44065443">
          <w:marLeft w:val="0"/>
          <w:marRight w:val="0"/>
          <w:marTop w:val="0"/>
          <w:marBottom w:val="0"/>
          <w:divBdr>
            <w:top w:val="none" w:sz="0" w:space="0" w:color="auto"/>
            <w:left w:val="none" w:sz="0" w:space="0" w:color="auto"/>
            <w:bottom w:val="none" w:sz="0" w:space="0" w:color="auto"/>
            <w:right w:val="none" w:sz="0" w:space="0" w:color="auto"/>
          </w:divBdr>
        </w:div>
      </w:divsChild>
    </w:div>
    <w:div w:id="741564846">
      <w:bodyDiv w:val="1"/>
      <w:marLeft w:val="0"/>
      <w:marRight w:val="0"/>
      <w:marTop w:val="0"/>
      <w:marBottom w:val="0"/>
      <w:divBdr>
        <w:top w:val="none" w:sz="0" w:space="0" w:color="auto"/>
        <w:left w:val="none" w:sz="0" w:space="0" w:color="auto"/>
        <w:bottom w:val="none" w:sz="0" w:space="0" w:color="auto"/>
        <w:right w:val="none" w:sz="0" w:space="0" w:color="auto"/>
      </w:divBdr>
    </w:div>
    <w:div w:id="790706904">
      <w:bodyDiv w:val="1"/>
      <w:marLeft w:val="0"/>
      <w:marRight w:val="0"/>
      <w:marTop w:val="0"/>
      <w:marBottom w:val="0"/>
      <w:divBdr>
        <w:top w:val="none" w:sz="0" w:space="0" w:color="auto"/>
        <w:left w:val="none" w:sz="0" w:space="0" w:color="auto"/>
        <w:bottom w:val="none" w:sz="0" w:space="0" w:color="auto"/>
        <w:right w:val="none" w:sz="0" w:space="0" w:color="auto"/>
      </w:divBdr>
      <w:divsChild>
        <w:div w:id="577447778">
          <w:marLeft w:val="0"/>
          <w:marRight w:val="0"/>
          <w:marTop w:val="0"/>
          <w:marBottom w:val="0"/>
          <w:divBdr>
            <w:top w:val="none" w:sz="0" w:space="0" w:color="auto"/>
            <w:left w:val="none" w:sz="0" w:space="0" w:color="auto"/>
            <w:bottom w:val="none" w:sz="0" w:space="0" w:color="auto"/>
            <w:right w:val="none" w:sz="0" w:space="0" w:color="auto"/>
          </w:divBdr>
        </w:div>
        <w:div w:id="1816605257">
          <w:marLeft w:val="0"/>
          <w:marRight w:val="0"/>
          <w:marTop w:val="0"/>
          <w:marBottom w:val="0"/>
          <w:divBdr>
            <w:top w:val="none" w:sz="0" w:space="0" w:color="auto"/>
            <w:left w:val="none" w:sz="0" w:space="0" w:color="auto"/>
            <w:bottom w:val="none" w:sz="0" w:space="0" w:color="auto"/>
            <w:right w:val="none" w:sz="0" w:space="0" w:color="auto"/>
          </w:divBdr>
        </w:div>
        <w:div w:id="742530006">
          <w:marLeft w:val="0"/>
          <w:marRight w:val="0"/>
          <w:marTop w:val="0"/>
          <w:marBottom w:val="0"/>
          <w:divBdr>
            <w:top w:val="none" w:sz="0" w:space="0" w:color="auto"/>
            <w:left w:val="none" w:sz="0" w:space="0" w:color="auto"/>
            <w:bottom w:val="none" w:sz="0" w:space="0" w:color="auto"/>
            <w:right w:val="none" w:sz="0" w:space="0" w:color="auto"/>
          </w:divBdr>
        </w:div>
        <w:div w:id="2018656340">
          <w:marLeft w:val="0"/>
          <w:marRight w:val="0"/>
          <w:marTop w:val="0"/>
          <w:marBottom w:val="0"/>
          <w:divBdr>
            <w:top w:val="none" w:sz="0" w:space="0" w:color="auto"/>
            <w:left w:val="none" w:sz="0" w:space="0" w:color="auto"/>
            <w:bottom w:val="none" w:sz="0" w:space="0" w:color="auto"/>
            <w:right w:val="none" w:sz="0" w:space="0" w:color="auto"/>
          </w:divBdr>
        </w:div>
        <w:div w:id="1735620703">
          <w:marLeft w:val="0"/>
          <w:marRight w:val="0"/>
          <w:marTop w:val="0"/>
          <w:marBottom w:val="0"/>
          <w:divBdr>
            <w:top w:val="none" w:sz="0" w:space="0" w:color="auto"/>
            <w:left w:val="none" w:sz="0" w:space="0" w:color="auto"/>
            <w:bottom w:val="none" w:sz="0" w:space="0" w:color="auto"/>
            <w:right w:val="none" w:sz="0" w:space="0" w:color="auto"/>
          </w:divBdr>
        </w:div>
        <w:div w:id="1863131528">
          <w:marLeft w:val="0"/>
          <w:marRight w:val="0"/>
          <w:marTop w:val="0"/>
          <w:marBottom w:val="0"/>
          <w:divBdr>
            <w:top w:val="none" w:sz="0" w:space="0" w:color="auto"/>
            <w:left w:val="none" w:sz="0" w:space="0" w:color="auto"/>
            <w:bottom w:val="none" w:sz="0" w:space="0" w:color="auto"/>
            <w:right w:val="none" w:sz="0" w:space="0" w:color="auto"/>
          </w:divBdr>
        </w:div>
        <w:div w:id="2073043012">
          <w:marLeft w:val="0"/>
          <w:marRight w:val="0"/>
          <w:marTop w:val="0"/>
          <w:marBottom w:val="0"/>
          <w:divBdr>
            <w:top w:val="none" w:sz="0" w:space="0" w:color="auto"/>
            <w:left w:val="none" w:sz="0" w:space="0" w:color="auto"/>
            <w:bottom w:val="none" w:sz="0" w:space="0" w:color="auto"/>
            <w:right w:val="none" w:sz="0" w:space="0" w:color="auto"/>
          </w:divBdr>
        </w:div>
        <w:div w:id="1541624415">
          <w:marLeft w:val="0"/>
          <w:marRight w:val="0"/>
          <w:marTop w:val="0"/>
          <w:marBottom w:val="0"/>
          <w:divBdr>
            <w:top w:val="none" w:sz="0" w:space="0" w:color="auto"/>
            <w:left w:val="none" w:sz="0" w:space="0" w:color="auto"/>
            <w:bottom w:val="none" w:sz="0" w:space="0" w:color="auto"/>
            <w:right w:val="none" w:sz="0" w:space="0" w:color="auto"/>
          </w:divBdr>
        </w:div>
        <w:div w:id="558395195">
          <w:marLeft w:val="0"/>
          <w:marRight w:val="0"/>
          <w:marTop w:val="0"/>
          <w:marBottom w:val="0"/>
          <w:divBdr>
            <w:top w:val="none" w:sz="0" w:space="0" w:color="auto"/>
            <w:left w:val="none" w:sz="0" w:space="0" w:color="auto"/>
            <w:bottom w:val="none" w:sz="0" w:space="0" w:color="auto"/>
            <w:right w:val="none" w:sz="0" w:space="0" w:color="auto"/>
          </w:divBdr>
        </w:div>
        <w:div w:id="1196969240">
          <w:marLeft w:val="0"/>
          <w:marRight w:val="0"/>
          <w:marTop w:val="0"/>
          <w:marBottom w:val="0"/>
          <w:divBdr>
            <w:top w:val="none" w:sz="0" w:space="0" w:color="auto"/>
            <w:left w:val="none" w:sz="0" w:space="0" w:color="auto"/>
            <w:bottom w:val="none" w:sz="0" w:space="0" w:color="auto"/>
            <w:right w:val="none" w:sz="0" w:space="0" w:color="auto"/>
          </w:divBdr>
        </w:div>
      </w:divsChild>
    </w:div>
    <w:div w:id="862398581">
      <w:bodyDiv w:val="1"/>
      <w:marLeft w:val="0"/>
      <w:marRight w:val="0"/>
      <w:marTop w:val="0"/>
      <w:marBottom w:val="0"/>
      <w:divBdr>
        <w:top w:val="none" w:sz="0" w:space="0" w:color="auto"/>
        <w:left w:val="none" w:sz="0" w:space="0" w:color="auto"/>
        <w:bottom w:val="none" w:sz="0" w:space="0" w:color="auto"/>
        <w:right w:val="none" w:sz="0" w:space="0" w:color="auto"/>
      </w:divBdr>
    </w:div>
    <w:div w:id="969016624">
      <w:bodyDiv w:val="1"/>
      <w:marLeft w:val="0"/>
      <w:marRight w:val="0"/>
      <w:marTop w:val="0"/>
      <w:marBottom w:val="0"/>
      <w:divBdr>
        <w:top w:val="none" w:sz="0" w:space="0" w:color="auto"/>
        <w:left w:val="none" w:sz="0" w:space="0" w:color="auto"/>
        <w:bottom w:val="none" w:sz="0" w:space="0" w:color="auto"/>
        <w:right w:val="none" w:sz="0" w:space="0" w:color="auto"/>
      </w:divBdr>
    </w:div>
    <w:div w:id="969097299">
      <w:bodyDiv w:val="1"/>
      <w:marLeft w:val="0"/>
      <w:marRight w:val="0"/>
      <w:marTop w:val="0"/>
      <w:marBottom w:val="0"/>
      <w:divBdr>
        <w:top w:val="none" w:sz="0" w:space="0" w:color="auto"/>
        <w:left w:val="none" w:sz="0" w:space="0" w:color="auto"/>
        <w:bottom w:val="none" w:sz="0" w:space="0" w:color="auto"/>
        <w:right w:val="none" w:sz="0" w:space="0" w:color="auto"/>
      </w:divBdr>
    </w:div>
    <w:div w:id="1110471223">
      <w:bodyDiv w:val="1"/>
      <w:marLeft w:val="0"/>
      <w:marRight w:val="0"/>
      <w:marTop w:val="0"/>
      <w:marBottom w:val="0"/>
      <w:divBdr>
        <w:top w:val="none" w:sz="0" w:space="0" w:color="auto"/>
        <w:left w:val="none" w:sz="0" w:space="0" w:color="auto"/>
        <w:bottom w:val="none" w:sz="0" w:space="0" w:color="auto"/>
        <w:right w:val="none" w:sz="0" w:space="0" w:color="auto"/>
      </w:divBdr>
      <w:divsChild>
        <w:div w:id="1096555198">
          <w:marLeft w:val="0"/>
          <w:marRight w:val="0"/>
          <w:marTop w:val="0"/>
          <w:marBottom w:val="0"/>
          <w:divBdr>
            <w:top w:val="none" w:sz="0" w:space="0" w:color="auto"/>
            <w:left w:val="none" w:sz="0" w:space="0" w:color="auto"/>
            <w:bottom w:val="none" w:sz="0" w:space="0" w:color="auto"/>
            <w:right w:val="none" w:sz="0" w:space="0" w:color="auto"/>
          </w:divBdr>
        </w:div>
        <w:div w:id="1742754115">
          <w:marLeft w:val="0"/>
          <w:marRight w:val="0"/>
          <w:marTop w:val="0"/>
          <w:marBottom w:val="0"/>
          <w:divBdr>
            <w:top w:val="none" w:sz="0" w:space="0" w:color="auto"/>
            <w:left w:val="none" w:sz="0" w:space="0" w:color="auto"/>
            <w:bottom w:val="none" w:sz="0" w:space="0" w:color="auto"/>
            <w:right w:val="none" w:sz="0" w:space="0" w:color="auto"/>
          </w:divBdr>
        </w:div>
        <w:div w:id="505171956">
          <w:marLeft w:val="0"/>
          <w:marRight w:val="0"/>
          <w:marTop w:val="0"/>
          <w:marBottom w:val="0"/>
          <w:divBdr>
            <w:top w:val="none" w:sz="0" w:space="0" w:color="auto"/>
            <w:left w:val="none" w:sz="0" w:space="0" w:color="auto"/>
            <w:bottom w:val="none" w:sz="0" w:space="0" w:color="auto"/>
            <w:right w:val="none" w:sz="0" w:space="0" w:color="auto"/>
          </w:divBdr>
        </w:div>
        <w:div w:id="1401557872">
          <w:marLeft w:val="0"/>
          <w:marRight w:val="0"/>
          <w:marTop w:val="0"/>
          <w:marBottom w:val="0"/>
          <w:divBdr>
            <w:top w:val="none" w:sz="0" w:space="0" w:color="auto"/>
            <w:left w:val="none" w:sz="0" w:space="0" w:color="auto"/>
            <w:bottom w:val="none" w:sz="0" w:space="0" w:color="auto"/>
            <w:right w:val="none" w:sz="0" w:space="0" w:color="auto"/>
          </w:divBdr>
        </w:div>
        <w:div w:id="1169174956">
          <w:marLeft w:val="0"/>
          <w:marRight w:val="0"/>
          <w:marTop w:val="0"/>
          <w:marBottom w:val="0"/>
          <w:divBdr>
            <w:top w:val="none" w:sz="0" w:space="0" w:color="auto"/>
            <w:left w:val="none" w:sz="0" w:space="0" w:color="auto"/>
            <w:bottom w:val="none" w:sz="0" w:space="0" w:color="auto"/>
            <w:right w:val="none" w:sz="0" w:space="0" w:color="auto"/>
          </w:divBdr>
        </w:div>
        <w:div w:id="461774103">
          <w:marLeft w:val="0"/>
          <w:marRight w:val="0"/>
          <w:marTop w:val="0"/>
          <w:marBottom w:val="0"/>
          <w:divBdr>
            <w:top w:val="none" w:sz="0" w:space="0" w:color="auto"/>
            <w:left w:val="none" w:sz="0" w:space="0" w:color="auto"/>
            <w:bottom w:val="none" w:sz="0" w:space="0" w:color="auto"/>
            <w:right w:val="none" w:sz="0" w:space="0" w:color="auto"/>
          </w:divBdr>
        </w:div>
        <w:div w:id="2067215403">
          <w:marLeft w:val="0"/>
          <w:marRight w:val="0"/>
          <w:marTop w:val="0"/>
          <w:marBottom w:val="0"/>
          <w:divBdr>
            <w:top w:val="none" w:sz="0" w:space="0" w:color="auto"/>
            <w:left w:val="none" w:sz="0" w:space="0" w:color="auto"/>
            <w:bottom w:val="none" w:sz="0" w:space="0" w:color="auto"/>
            <w:right w:val="none" w:sz="0" w:space="0" w:color="auto"/>
          </w:divBdr>
        </w:div>
        <w:div w:id="1668560101">
          <w:marLeft w:val="0"/>
          <w:marRight w:val="0"/>
          <w:marTop w:val="0"/>
          <w:marBottom w:val="0"/>
          <w:divBdr>
            <w:top w:val="none" w:sz="0" w:space="0" w:color="auto"/>
            <w:left w:val="none" w:sz="0" w:space="0" w:color="auto"/>
            <w:bottom w:val="none" w:sz="0" w:space="0" w:color="auto"/>
            <w:right w:val="none" w:sz="0" w:space="0" w:color="auto"/>
          </w:divBdr>
        </w:div>
        <w:div w:id="1005130262">
          <w:marLeft w:val="0"/>
          <w:marRight w:val="0"/>
          <w:marTop w:val="0"/>
          <w:marBottom w:val="0"/>
          <w:divBdr>
            <w:top w:val="none" w:sz="0" w:space="0" w:color="auto"/>
            <w:left w:val="none" w:sz="0" w:space="0" w:color="auto"/>
            <w:bottom w:val="none" w:sz="0" w:space="0" w:color="auto"/>
            <w:right w:val="none" w:sz="0" w:space="0" w:color="auto"/>
          </w:divBdr>
        </w:div>
        <w:div w:id="1797521484">
          <w:marLeft w:val="0"/>
          <w:marRight w:val="0"/>
          <w:marTop w:val="0"/>
          <w:marBottom w:val="0"/>
          <w:divBdr>
            <w:top w:val="none" w:sz="0" w:space="0" w:color="auto"/>
            <w:left w:val="none" w:sz="0" w:space="0" w:color="auto"/>
            <w:bottom w:val="none" w:sz="0" w:space="0" w:color="auto"/>
            <w:right w:val="none" w:sz="0" w:space="0" w:color="auto"/>
          </w:divBdr>
        </w:div>
        <w:div w:id="1867282470">
          <w:marLeft w:val="0"/>
          <w:marRight w:val="0"/>
          <w:marTop w:val="0"/>
          <w:marBottom w:val="0"/>
          <w:divBdr>
            <w:top w:val="none" w:sz="0" w:space="0" w:color="auto"/>
            <w:left w:val="none" w:sz="0" w:space="0" w:color="auto"/>
            <w:bottom w:val="none" w:sz="0" w:space="0" w:color="auto"/>
            <w:right w:val="none" w:sz="0" w:space="0" w:color="auto"/>
          </w:divBdr>
        </w:div>
        <w:div w:id="1834106453">
          <w:marLeft w:val="0"/>
          <w:marRight w:val="0"/>
          <w:marTop w:val="0"/>
          <w:marBottom w:val="0"/>
          <w:divBdr>
            <w:top w:val="none" w:sz="0" w:space="0" w:color="auto"/>
            <w:left w:val="none" w:sz="0" w:space="0" w:color="auto"/>
            <w:bottom w:val="none" w:sz="0" w:space="0" w:color="auto"/>
            <w:right w:val="none" w:sz="0" w:space="0" w:color="auto"/>
          </w:divBdr>
        </w:div>
        <w:div w:id="1723673848">
          <w:marLeft w:val="0"/>
          <w:marRight w:val="0"/>
          <w:marTop w:val="0"/>
          <w:marBottom w:val="0"/>
          <w:divBdr>
            <w:top w:val="none" w:sz="0" w:space="0" w:color="auto"/>
            <w:left w:val="none" w:sz="0" w:space="0" w:color="auto"/>
            <w:bottom w:val="none" w:sz="0" w:space="0" w:color="auto"/>
            <w:right w:val="none" w:sz="0" w:space="0" w:color="auto"/>
          </w:divBdr>
        </w:div>
      </w:divsChild>
    </w:div>
    <w:div w:id="1157964606">
      <w:bodyDiv w:val="1"/>
      <w:marLeft w:val="0"/>
      <w:marRight w:val="0"/>
      <w:marTop w:val="0"/>
      <w:marBottom w:val="0"/>
      <w:divBdr>
        <w:top w:val="none" w:sz="0" w:space="0" w:color="auto"/>
        <w:left w:val="none" w:sz="0" w:space="0" w:color="auto"/>
        <w:bottom w:val="none" w:sz="0" w:space="0" w:color="auto"/>
        <w:right w:val="none" w:sz="0" w:space="0" w:color="auto"/>
      </w:divBdr>
    </w:div>
    <w:div w:id="1166673373">
      <w:bodyDiv w:val="1"/>
      <w:marLeft w:val="0"/>
      <w:marRight w:val="0"/>
      <w:marTop w:val="0"/>
      <w:marBottom w:val="0"/>
      <w:divBdr>
        <w:top w:val="none" w:sz="0" w:space="0" w:color="auto"/>
        <w:left w:val="none" w:sz="0" w:space="0" w:color="auto"/>
        <w:bottom w:val="none" w:sz="0" w:space="0" w:color="auto"/>
        <w:right w:val="none" w:sz="0" w:space="0" w:color="auto"/>
      </w:divBdr>
      <w:divsChild>
        <w:div w:id="1501651062">
          <w:marLeft w:val="0"/>
          <w:marRight w:val="0"/>
          <w:marTop w:val="0"/>
          <w:marBottom w:val="0"/>
          <w:divBdr>
            <w:top w:val="none" w:sz="0" w:space="0" w:color="auto"/>
            <w:left w:val="none" w:sz="0" w:space="0" w:color="auto"/>
            <w:bottom w:val="none" w:sz="0" w:space="0" w:color="auto"/>
            <w:right w:val="none" w:sz="0" w:space="0" w:color="auto"/>
          </w:divBdr>
        </w:div>
        <w:div w:id="625814810">
          <w:marLeft w:val="0"/>
          <w:marRight w:val="0"/>
          <w:marTop w:val="0"/>
          <w:marBottom w:val="0"/>
          <w:divBdr>
            <w:top w:val="none" w:sz="0" w:space="0" w:color="auto"/>
            <w:left w:val="none" w:sz="0" w:space="0" w:color="auto"/>
            <w:bottom w:val="none" w:sz="0" w:space="0" w:color="auto"/>
            <w:right w:val="none" w:sz="0" w:space="0" w:color="auto"/>
          </w:divBdr>
        </w:div>
        <w:div w:id="1389495051">
          <w:marLeft w:val="0"/>
          <w:marRight w:val="0"/>
          <w:marTop w:val="0"/>
          <w:marBottom w:val="0"/>
          <w:divBdr>
            <w:top w:val="none" w:sz="0" w:space="0" w:color="auto"/>
            <w:left w:val="none" w:sz="0" w:space="0" w:color="auto"/>
            <w:bottom w:val="none" w:sz="0" w:space="0" w:color="auto"/>
            <w:right w:val="none" w:sz="0" w:space="0" w:color="auto"/>
          </w:divBdr>
        </w:div>
      </w:divsChild>
    </w:div>
    <w:div w:id="1189176970">
      <w:bodyDiv w:val="1"/>
      <w:marLeft w:val="0"/>
      <w:marRight w:val="0"/>
      <w:marTop w:val="0"/>
      <w:marBottom w:val="0"/>
      <w:divBdr>
        <w:top w:val="none" w:sz="0" w:space="0" w:color="auto"/>
        <w:left w:val="none" w:sz="0" w:space="0" w:color="auto"/>
        <w:bottom w:val="none" w:sz="0" w:space="0" w:color="auto"/>
        <w:right w:val="none" w:sz="0" w:space="0" w:color="auto"/>
      </w:divBdr>
    </w:div>
    <w:div w:id="1213269688">
      <w:bodyDiv w:val="1"/>
      <w:marLeft w:val="0"/>
      <w:marRight w:val="0"/>
      <w:marTop w:val="0"/>
      <w:marBottom w:val="0"/>
      <w:divBdr>
        <w:top w:val="none" w:sz="0" w:space="0" w:color="auto"/>
        <w:left w:val="none" w:sz="0" w:space="0" w:color="auto"/>
        <w:bottom w:val="none" w:sz="0" w:space="0" w:color="auto"/>
        <w:right w:val="none" w:sz="0" w:space="0" w:color="auto"/>
      </w:divBdr>
    </w:div>
    <w:div w:id="1245722720">
      <w:bodyDiv w:val="1"/>
      <w:marLeft w:val="0"/>
      <w:marRight w:val="0"/>
      <w:marTop w:val="0"/>
      <w:marBottom w:val="0"/>
      <w:divBdr>
        <w:top w:val="none" w:sz="0" w:space="0" w:color="auto"/>
        <w:left w:val="none" w:sz="0" w:space="0" w:color="auto"/>
        <w:bottom w:val="none" w:sz="0" w:space="0" w:color="auto"/>
        <w:right w:val="none" w:sz="0" w:space="0" w:color="auto"/>
      </w:divBdr>
    </w:div>
    <w:div w:id="1359162129">
      <w:bodyDiv w:val="1"/>
      <w:marLeft w:val="0"/>
      <w:marRight w:val="0"/>
      <w:marTop w:val="0"/>
      <w:marBottom w:val="0"/>
      <w:divBdr>
        <w:top w:val="none" w:sz="0" w:space="0" w:color="auto"/>
        <w:left w:val="none" w:sz="0" w:space="0" w:color="auto"/>
        <w:bottom w:val="none" w:sz="0" w:space="0" w:color="auto"/>
        <w:right w:val="none" w:sz="0" w:space="0" w:color="auto"/>
      </w:divBdr>
    </w:div>
    <w:div w:id="1361005287">
      <w:bodyDiv w:val="1"/>
      <w:marLeft w:val="0"/>
      <w:marRight w:val="0"/>
      <w:marTop w:val="0"/>
      <w:marBottom w:val="0"/>
      <w:divBdr>
        <w:top w:val="none" w:sz="0" w:space="0" w:color="auto"/>
        <w:left w:val="none" w:sz="0" w:space="0" w:color="auto"/>
        <w:bottom w:val="none" w:sz="0" w:space="0" w:color="auto"/>
        <w:right w:val="none" w:sz="0" w:space="0" w:color="auto"/>
      </w:divBdr>
    </w:div>
    <w:div w:id="1369723040">
      <w:bodyDiv w:val="1"/>
      <w:marLeft w:val="0"/>
      <w:marRight w:val="0"/>
      <w:marTop w:val="0"/>
      <w:marBottom w:val="0"/>
      <w:divBdr>
        <w:top w:val="none" w:sz="0" w:space="0" w:color="auto"/>
        <w:left w:val="none" w:sz="0" w:space="0" w:color="auto"/>
        <w:bottom w:val="none" w:sz="0" w:space="0" w:color="auto"/>
        <w:right w:val="none" w:sz="0" w:space="0" w:color="auto"/>
      </w:divBdr>
      <w:divsChild>
        <w:div w:id="814906768">
          <w:marLeft w:val="0"/>
          <w:marRight w:val="0"/>
          <w:marTop w:val="0"/>
          <w:marBottom w:val="0"/>
          <w:divBdr>
            <w:top w:val="none" w:sz="0" w:space="0" w:color="auto"/>
            <w:left w:val="none" w:sz="0" w:space="0" w:color="auto"/>
            <w:bottom w:val="none" w:sz="0" w:space="0" w:color="auto"/>
            <w:right w:val="none" w:sz="0" w:space="0" w:color="auto"/>
          </w:divBdr>
        </w:div>
        <w:div w:id="550458034">
          <w:marLeft w:val="0"/>
          <w:marRight w:val="0"/>
          <w:marTop w:val="0"/>
          <w:marBottom w:val="0"/>
          <w:divBdr>
            <w:top w:val="none" w:sz="0" w:space="0" w:color="auto"/>
            <w:left w:val="none" w:sz="0" w:space="0" w:color="auto"/>
            <w:bottom w:val="none" w:sz="0" w:space="0" w:color="auto"/>
            <w:right w:val="none" w:sz="0" w:space="0" w:color="auto"/>
          </w:divBdr>
        </w:div>
        <w:div w:id="253055890">
          <w:marLeft w:val="0"/>
          <w:marRight w:val="0"/>
          <w:marTop w:val="0"/>
          <w:marBottom w:val="0"/>
          <w:divBdr>
            <w:top w:val="none" w:sz="0" w:space="0" w:color="auto"/>
            <w:left w:val="none" w:sz="0" w:space="0" w:color="auto"/>
            <w:bottom w:val="none" w:sz="0" w:space="0" w:color="auto"/>
            <w:right w:val="none" w:sz="0" w:space="0" w:color="auto"/>
          </w:divBdr>
        </w:div>
        <w:div w:id="829294629">
          <w:marLeft w:val="0"/>
          <w:marRight w:val="0"/>
          <w:marTop w:val="0"/>
          <w:marBottom w:val="0"/>
          <w:divBdr>
            <w:top w:val="none" w:sz="0" w:space="0" w:color="auto"/>
            <w:left w:val="none" w:sz="0" w:space="0" w:color="auto"/>
            <w:bottom w:val="none" w:sz="0" w:space="0" w:color="auto"/>
            <w:right w:val="none" w:sz="0" w:space="0" w:color="auto"/>
          </w:divBdr>
        </w:div>
        <w:div w:id="2058123391">
          <w:marLeft w:val="0"/>
          <w:marRight w:val="0"/>
          <w:marTop w:val="0"/>
          <w:marBottom w:val="0"/>
          <w:divBdr>
            <w:top w:val="none" w:sz="0" w:space="0" w:color="auto"/>
            <w:left w:val="none" w:sz="0" w:space="0" w:color="auto"/>
            <w:bottom w:val="none" w:sz="0" w:space="0" w:color="auto"/>
            <w:right w:val="none" w:sz="0" w:space="0" w:color="auto"/>
          </w:divBdr>
        </w:div>
      </w:divsChild>
    </w:div>
    <w:div w:id="1458600213">
      <w:bodyDiv w:val="1"/>
      <w:marLeft w:val="0"/>
      <w:marRight w:val="0"/>
      <w:marTop w:val="0"/>
      <w:marBottom w:val="0"/>
      <w:divBdr>
        <w:top w:val="none" w:sz="0" w:space="0" w:color="auto"/>
        <w:left w:val="none" w:sz="0" w:space="0" w:color="auto"/>
        <w:bottom w:val="none" w:sz="0" w:space="0" w:color="auto"/>
        <w:right w:val="none" w:sz="0" w:space="0" w:color="auto"/>
      </w:divBdr>
    </w:div>
    <w:div w:id="1478451858">
      <w:bodyDiv w:val="1"/>
      <w:marLeft w:val="0"/>
      <w:marRight w:val="0"/>
      <w:marTop w:val="0"/>
      <w:marBottom w:val="0"/>
      <w:divBdr>
        <w:top w:val="none" w:sz="0" w:space="0" w:color="auto"/>
        <w:left w:val="none" w:sz="0" w:space="0" w:color="auto"/>
        <w:bottom w:val="none" w:sz="0" w:space="0" w:color="auto"/>
        <w:right w:val="none" w:sz="0" w:space="0" w:color="auto"/>
      </w:divBdr>
    </w:div>
    <w:div w:id="1557856728">
      <w:bodyDiv w:val="1"/>
      <w:marLeft w:val="0"/>
      <w:marRight w:val="0"/>
      <w:marTop w:val="0"/>
      <w:marBottom w:val="0"/>
      <w:divBdr>
        <w:top w:val="none" w:sz="0" w:space="0" w:color="auto"/>
        <w:left w:val="none" w:sz="0" w:space="0" w:color="auto"/>
        <w:bottom w:val="none" w:sz="0" w:space="0" w:color="auto"/>
        <w:right w:val="none" w:sz="0" w:space="0" w:color="auto"/>
      </w:divBdr>
      <w:divsChild>
        <w:div w:id="729966031">
          <w:marLeft w:val="547"/>
          <w:marRight w:val="0"/>
          <w:marTop w:val="0"/>
          <w:marBottom w:val="0"/>
          <w:divBdr>
            <w:top w:val="none" w:sz="0" w:space="0" w:color="auto"/>
            <w:left w:val="none" w:sz="0" w:space="0" w:color="auto"/>
            <w:bottom w:val="none" w:sz="0" w:space="0" w:color="auto"/>
            <w:right w:val="none" w:sz="0" w:space="0" w:color="auto"/>
          </w:divBdr>
        </w:div>
      </w:divsChild>
    </w:div>
    <w:div w:id="1576745262">
      <w:bodyDiv w:val="1"/>
      <w:marLeft w:val="0"/>
      <w:marRight w:val="0"/>
      <w:marTop w:val="0"/>
      <w:marBottom w:val="0"/>
      <w:divBdr>
        <w:top w:val="none" w:sz="0" w:space="0" w:color="auto"/>
        <w:left w:val="none" w:sz="0" w:space="0" w:color="auto"/>
        <w:bottom w:val="none" w:sz="0" w:space="0" w:color="auto"/>
        <w:right w:val="none" w:sz="0" w:space="0" w:color="auto"/>
      </w:divBdr>
      <w:divsChild>
        <w:div w:id="1789615655">
          <w:marLeft w:val="0"/>
          <w:marRight w:val="0"/>
          <w:marTop w:val="0"/>
          <w:marBottom w:val="0"/>
          <w:divBdr>
            <w:top w:val="none" w:sz="0" w:space="0" w:color="auto"/>
            <w:left w:val="none" w:sz="0" w:space="0" w:color="auto"/>
            <w:bottom w:val="none" w:sz="0" w:space="0" w:color="auto"/>
            <w:right w:val="none" w:sz="0" w:space="0" w:color="auto"/>
          </w:divBdr>
        </w:div>
        <w:div w:id="498040217">
          <w:marLeft w:val="0"/>
          <w:marRight w:val="0"/>
          <w:marTop w:val="0"/>
          <w:marBottom w:val="0"/>
          <w:divBdr>
            <w:top w:val="none" w:sz="0" w:space="0" w:color="auto"/>
            <w:left w:val="none" w:sz="0" w:space="0" w:color="auto"/>
            <w:bottom w:val="none" w:sz="0" w:space="0" w:color="auto"/>
            <w:right w:val="none" w:sz="0" w:space="0" w:color="auto"/>
          </w:divBdr>
        </w:div>
        <w:div w:id="1897887757">
          <w:marLeft w:val="0"/>
          <w:marRight w:val="0"/>
          <w:marTop w:val="0"/>
          <w:marBottom w:val="0"/>
          <w:divBdr>
            <w:top w:val="none" w:sz="0" w:space="0" w:color="auto"/>
            <w:left w:val="none" w:sz="0" w:space="0" w:color="auto"/>
            <w:bottom w:val="none" w:sz="0" w:space="0" w:color="auto"/>
            <w:right w:val="none" w:sz="0" w:space="0" w:color="auto"/>
          </w:divBdr>
        </w:div>
        <w:div w:id="743377093">
          <w:marLeft w:val="0"/>
          <w:marRight w:val="0"/>
          <w:marTop w:val="0"/>
          <w:marBottom w:val="0"/>
          <w:divBdr>
            <w:top w:val="none" w:sz="0" w:space="0" w:color="auto"/>
            <w:left w:val="none" w:sz="0" w:space="0" w:color="auto"/>
            <w:bottom w:val="none" w:sz="0" w:space="0" w:color="auto"/>
            <w:right w:val="none" w:sz="0" w:space="0" w:color="auto"/>
          </w:divBdr>
        </w:div>
        <w:div w:id="20596056">
          <w:marLeft w:val="0"/>
          <w:marRight w:val="0"/>
          <w:marTop w:val="0"/>
          <w:marBottom w:val="0"/>
          <w:divBdr>
            <w:top w:val="none" w:sz="0" w:space="0" w:color="auto"/>
            <w:left w:val="none" w:sz="0" w:space="0" w:color="auto"/>
            <w:bottom w:val="none" w:sz="0" w:space="0" w:color="auto"/>
            <w:right w:val="none" w:sz="0" w:space="0" w:color="auto"/>
          </w:divBdr>
        </w:div>
      </w:divsChild>
    </w:div>
    <w:div w:id="1930506722">
      <w:bodyDiv w:val="1"/>
      <w:marLeft w:val="0"/>
      <w:marRight w:val="0"/>
      <w:marTop w:val="0"/>
      <w:marBottom w:val="0"/>
      <w:divBdr>
        <w:top w:val="none" w:sz="0" w:space="0" w:color="auto"/>
        <w:left w:val="none" w:sz="0" w:space="0" w:color="auto"/>
        <w:bottom w:val="none" w:sz="0" w:space="0" w:color="auto"/>
        <w:right w:val="none" w:sz="0" w:space="0" w:color="auto"/>
      </w:divBdr>
    </w:div>
    <w:div w:id="2048555802">
      <w:bodyDiv w:val="1"/>
      <w:marLeft w:val="0"/>
      <w:marRight w:val="0"/>
      <w:marTop w:val="0"/>
      <w:marBottom w:val="0"/>
      <w:divBdr>
        <w:top w:val="none" w:sz="0" w:space="0" w:color="auto"/>
        <w:left w:val="none" w:sz="0" w:space="0" w:color="auto"/>
        <w:bottom w:val="none" w:sz="0" w:space="0" w:color="auto"/>
        <w:right w:val="none" w:sz="0" w:space="0" w:color="auto"/>
      </w:divBdr>
    </w:div>
    <w:div w:id="2096516602">
      <w:bodyDiv w:val="1"/>
      <w:marLeft w:val="0"/>
      <w:marRight w:val="0"/>
      <w:marTop w:val="0"/>
      <w:marBottom w:val="0"/>
      <w:divBdr>
        <w:top w:val="none" w:sz="0" w:space="0" w:color="auto"/>
        <w:left w:val="none" w:sz="0" w:space="0" w:color="auto"/>
        <w:bottom w:val="none" w:sz="0" w:space="0" w:color="auto"/>
        <w:right w:val="none" w:sz="0" w:space="0" w:color="auto"/>
      </w:divBdr>
    </w:div>
    <w:div w:id="214187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B99EC-2CE5-485D-B5B3-062D8EDFF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55</Pages>
  <Words>25897</Words>
  <Characters>139850</Characters>
  <Application>Microsoft Office Word</Application>
  <DocSecurity>4</DocSecurity>
  <Lines>1165</Lines>
  <Paragraphs>330</Paragraphs>
  <ScaleCrop>false</ScaleCrop>
  <HeadingPairs>
    <vt:vector size="2" baseType="variant">
      <vt:variant>
        <vt:lpstr>Título</vt:lpstr>
      </vt:variant>
      <vt:variant>
        <vt:i4>1</vt:i4>
      </vt:variant>
    </vt:vector>
  </HeadingPairs>
  <TitlesOfParts>
    <vt:vector size="1" baseType="lpstr">
      <vt:lpstr/>
    </vt:vector>
  </TitlesOfParts>
  <Company>Justiça Eleitoral</Company>
  <LinksUpToDate>false</LinksUpToDate>
  <CharactersWithSpaces>165417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Fernanda Costa Guimaraes</dc:creator>
  <cp:lastModifiedBy>Geraldo Majella Nunes de Moura</cp:lastModifiedBy>
  <cp:revision>2</cp:revision>
  <cp:lastPrinted>2018-08-08T14:35:00Z</cp:lastPrinted>
  <dcterms:created xsi:type="dcterms:W3CDTF">2021-05-10T21:58:00Z</dcterms:created>
  <dcterms:modified xsi:type="dcterms:W3CDTF">2021-05-10T21:58:00Z</dcterms:modified>
</cp:coreProperties>
</file>