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4136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866170" cy="909923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6170" cy="909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17"/>
        </w:rPr>
      </w:pPr>
    </w:p>
    <w:p>
      <w:pPr>
        <w:spacing w:line="480" w:lineRule="auto" w:before="92"/>
        <w:ind w:left="1614" w:right="1613" w:firstLine="0"/>
        <w:jc w:val="center"/>
        <w:rPr>
          <w:b/>
          <w:sz w:val="28"/>
        </w:rPr>
      </w:pPr>
      <w:r>
        <w:rPr>
          <w:b/>
          <w:sz w:val="28"/>
        </w:rPr>
        <w:t>TRIBUNAL REGIONAL ELEITORAL DA BAHIA SECRETARIA DE CONTROLE INTERNO</w:t>
      </w:r>
    </w:p>
    <w:p>
      <w:pPr>
        <w:spacing w:line="482" w:lineRule="auto" w:before="0"/>
        <w:ind w:left="839" w:right="841" w:firstLine="0"/>
        <w:jc w:val="center"/>
        <w:rPr>
          <w:b/>
          <w:sz w:val="28"/>
        </w:rPr>
      </w:pPr>
      <w:r>
        <w:rPr>
          <w:b/>
          <w:sz w:val="28"/>
        </w:rPr>
        <w:t>COORDENADORIA DE AUDITORIA E CONTAS ELEITORAIS SEÇÃO DE AUDITORIA INTERNA</w:t>
      </w: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spacing w:before="1"/>
        <w:rPr>
          <w:b/>
          <w:sz w:val="25"/>
        </w:rPr>
      </w:pPr>
    </w:p>
    <w:p>
      <w:pPr>
        <w:spacing w:before="0"/>
        <w:ind w:left="1612" w:right="1613" w:firstLine="0"/>
        <w:jc w:val="center"/>
        <w:rPr>
          <w:b/>
          <w:sz w:val="32"/>
        </w:rPr>
      </w:pPr>
      <w:r>
        <w:rPr>
          <w:b/>
          <w:sz w:val="32"/>
        </w:rPr>
        <w:t>RELATÓRIO DE AUDITORIA Nº 02/2013</w:t>
      </w:r>
    </w:p>
    <w:p>
      <w:pPr>
        <w:pStyle w:val="BodyText"/>
        <w:rPr>
          <w:b/>
          <w:sz w:val="36"/>
        </w:rPr>
      </w:pPr>
    </w:p>
    <w:p>
      <w:pPr>
        <w:pStyle w:val="BodyText"/>
        <w:rPr>
          <w:b/>
          <w:sz w:val="36"/>
        </w:rPr>
      </w:pPr>
    </w:p>
    <w:p>
      <w:pPr>
        <w:pStyle w:val="BodyText"/>
        <w:spacing w:before="1"/>
        <w:rPr>
          <w:b/>
          <w:sz w:val="40"/>
        </w:rPr>
      </w:pPr>
    </w:p>
    <w:p>
      <w:pPr>
        <w:spacing w:line="360" w:lineRule="auto" w:before="0"/>
        <w:ind w:left="3381" w:right="2972" w:firstLine="729"/>
        <w:jc w:val="left"/>
        <w:rPr>
          <w:b/>
          <w:sz w:val="32"/>
        </w:rPr>
      </w:pPr>
      <w:r>
        <w:rPr>
          <w:b/>
          <w:sz w:val="32"/>
        </w:rPr>
        <w:t>OBJETO: OBRAS PÚBLICAS</w:t>
      </w:r>
    </w:p>
    <w:p>
      <w:pPr>
        <w:pStyle w:val="BodyText"/>
        <w:spacing w:before="10"/>
        <w:rPr>
          <w:b/>
          <w:sz w:val="47"/>
        </w:rPr>
      </w:pPr>
    </w:p>
    <w:p>
      <w:pPr>
        <w:spacing w:before="0"/>
        <w:ind w:left="1622" w:right="1613" w:firstLine="0"/>
        <w:jc w:val="center"/>
        <w:rPr>
          <w:b/>
          <w:sz w:val="32"/>
        </w:rPr>
      </w:pPr>
      <w:r>
        <w:rPr>
          <w:b/>
          <w:sz w:val="32"/>
        </w:rPr>
        <w:t>Auditoria Coordenada – CNJ/TSE/TRE-BA</w:t>
      </w:r>
    </w:p>
    <w:p>
      <w:pPr>
        <w:pStyle w:val="BodyText"/>
        <w:rPr>
          <w:b/>
          <w:sz w:val="36"/>
        </w:rPr>
      </w:pPr>
    </w:p>
    <w:p>
      <w:pPr>
        <w:pStyle w:val="BodyText"/>
        <w:rPr>
          <w:b/>
          <w:sz w:val="36"/>
        </w:rPr>
      </w:pPr>
    </w:p>
    <w:p>
      <w:pPr>
        <w:pStyle w:val="BodyText"/>
        <w:rPr>
          <w:b/>
          <w:sz w:val="36"/>
        </w:rPr>
      </w:pPr>
    </w:p>
    <w:p>
      <w:pPr>
        <w:pStyle w:val="BodyText"/>
        <w:rPr>
          <w:b/>
          <w:sz w:val="36"/>
        </w:rPr>
      </w:pPr>
    </w:p>
    <w:p>
      <w:pPr>
        <w:pStyle w:val="BodyText"/>
        <w:rPr>
          <w:b/>
          <w:sz w:val="36"/>
        </w:rPr>
      </w:pPr>
    </w:p>
    <w:p>
      <w:pPr>
        <w:spacing w:before="322"/>
        <w:ind w:left="1613" w:right="1613" w:firstLine="0"/>
        <w:jc w:val="center"/>
        <w:rPr>
          <w:b/>
          <w:sz w:val="32"/>
        </w:rPr>
      </w:pPr>
      <w:r>
        <w:rPr>
          <w:b/>
          <w:sz w:val="32"/>
        </w:rPr>
        <w:t>Maio/2013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28"/>
        </w:rPr>
      </w:pPr>
    </w:p>
    <w:p>
      <w:pPr>
        <w:spacing w:before="101"/>
        <w:ind w:left="0" w:right="680" w:firstLine="0"/>
        <w:jc w:val="right"/>
        <w:rPr>
          <w:rFonts w:ascii="Courier New" w:hAnsi="Courier New"/>
          <w:i/>
          <w:sz w:val="16"/>
        </w:rPr>
      </w:pPr>
      <w:r>
        <w:rPr>
          <w:rFonts w:ascii="Courier New" w:hAnsi="Courier New"/>
          <w:i/>
          <w:sz w:val="16"/>
        </w:rPr>
        <w:t>Página 1 de 5</w:t>
      </w:r>
    </w:p>
    <w:p>
      <w:pPr>
        <w:spacing w:after="0"/>
        <w:jc w:val="right"/>
        <w:rPr>
          <w:rFonts w:ascii="Courier New" w:hAnsi="Courier New"/>
          <w:sz w:val="16"/>
        </w:rPr>
        <w:sectPr>
          <w:type w:val="continuous"/>
          <w:pgSz w:w="12240" w:h="15840"/>
          <w:pgMar w:top="840" w:bottom="280" w:left="1300" w:right="1300"/>
        </w:sectPr>
      </w:pPr>
    </w:p>
    <w:p>
      <w:pPr>
        <w:pStyle w:val="BodyText"/>
        <w:spacing w:before="9"/>
        <w:rPr>
          <w:rFonts w:ascii="Courier New"/>
          <w:i/>
          <w:sz w:val="11"/>
        </w:rPr>
      </w:pPr>
    </w:p>
    <w:p>
      <w:pPr>
        <w:pStyle w:val="Heading1"/>
        <w:spacing w:before="92"/>
        <w:ind w:left="1613" w:right="1613"/>
        <w:jc w:val="center"/>
      </w:pPr>
      <w:r>
        <w:rPr/>
        <w:t>RELATÓRIO DE AUDITORIA Nº 02/2013</w:t>
      </w:r>
    </w:p>
    <w:p>
      <w:pPr>
        <w:spacing w:before="139"/>
        <w:ind w:left="1615" w:right="1613" w:firstLine="0"/>
        <w:jc w:val="center"/>
        <w:rPr>
          <w:rFonts w:ascii="Courier New"/>
          <w:b/>
          <w:i/>
          <w:sz w:val="32"/>
        </w:rPr>
      </w:pPr>
      <w:r>
        <w:rPr>
          <w:rFonts w:ascii="Courier New"/>
          <w:b/>
          <w:i/>
          <w:sz w:val="32"/>
        </w:rPr>
        <w:t>OBJETO:</w:t>
      </w:r>
    </w:p>
    <w:p>
      <w:pPr>
        <w:spacing w:before="179"/>
        <w:ind w:left="1613" w:right="1613" w:firstLine="0"/>
        <w:jc w:val="center"/>
        <w:rPr>
          <w:sz w:val="28"/>
        </w:rPr>
      </w:pPr>
      <w:r>
        <w:rPr>
          <w:sz w:val="28"/>
        </w:rPr>
        <w:t>Obras Públicas</w:t>
      </w:r>
    </w:p>
    <w:p>
      <w:pPr>
        <w:pStyle w:val="BodyText"/>
        <w:spacing w:before="2"/>
        <w:rPr>
          <w:sz w:val="27"/>
        </w:rPr>
      </w:pPr>
    </w:p>
    <w:p>
      <w:pPr>
        <w:pStyle w:val="Heading1"/>
        <w:numPr>
          <w:ilvl w:val="0"/>
          <w:numId w:val="1"/>
        </w:numPr>
        <w:tabs>
          <w:tab w:pos="519" w:val="left" w:leader="none"/>
          <w:tab w:pos="520" w:val="left" w:leader="none"/>
        </w:tabs>
        <w:spacing w:line="240" w:lineRule="auto" w:before="92" w:after="0"/>
        <w:ind w:left="519" w:right="0" w:hanging="402"/>
        <w:jc w:val="left"/>
      </w:pPr>
      <w:r>
        <w:rPr/>
        <w:t>INTRODUÇÃO</w:t>
      </w:r>
    </w:p>
    <w:p>
      <w:pPr>
        <w:pStyle w:val="BodyText"/>
        <w:spacing w:before="9"/>
        <w:rPr>
          <w:b/>
          <w:sz w:val="32"/>
        </w:rPr>
      </w:pPr>
    </w:p>
    <w:p>
      <w:pPr>
        <w:pStyle w:val="ListParagraph"/>
        <w:numPr>
          <w:ilvl w:val="0"/>
          <w:numId w:val="2"/>
        </w:numPr>
        <w:tabs>
          <w:tab w:pos="1558" w:val="left" w:leader="none"/>
          <w:tab w:pos="1559" w:val="left" w:leader="none"/>
        </w:tabs>
        <w:spacing w:line="360" w:lineRule="auto" w:before="0" w:after="0"/>
        <w:ind w:left="118" w:right="113" w:firstLine="0"/>
        <w:jc w:val="both"/>
        <w:rPr>
          <w:sz w:val="24"/>
        </w:rPr>
      </w:pPr>
      <w:r>
        <w:rPr>
          <w:sz w:val="24"/>
        </w:rPr>
        <w:t>Em atendimento à solicitação do Conselho Nacional de Justiça (CNJ) por meio do Ofício-Circular n</w:t>
      </w:r>
      <w:r>
        <w:rPr>
          <w:rFonts w:ascii="Symbol" w:hAnsi="Symbol"/>
          <w:sz w:val="24"/>
        </w:rPr>
        <w:t>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12/2012-SCI/Presi/CNJ de 10.12.2012, incorporada ao Plano Anual de Atividades de Auditoria – PAAA/2013 deste Tribunal, realizou-se auditoria no Tribunal Regional Eleitoral da Bahia (TRE/BA), com a finalidade de verificar a aderência das obras em execução às diretrizes estabelecidas na Resolução CNJ n</w:t>
      </w:r>
      <w:r>
        <w:rPr>
          <w:rFonts w:ascii="Symbol" w:hAnsi="Symbol"/>
          <w:sz w:val="24"/>
        </w:rPr>
        <w:t></w:t>
      </w:r>
      <w:r>
        <w:rPr>
          <w:rFonts w:ascii="Times New Roman" w:hAnsi="Times New Roman"/>
          <w:spacing w:val="-6"/>
          <w:sz w:val="24"/>
        </w:rPr>
        <w:t> </w:t>
      </w:r>
      <w:r>
        <w:rPr>
          <w:sz w:val="24"/>
        </w:rPr>
        <w:t>114/2010.</w:t>
      </w:r>
    </w:p>
    <w:p>
      <w:pPr>
        <w:pStyle w:val="BodyText"/>
        <w:spacing w:before="4"/>
        <w:rPr>
          <w:sz w:val="31"/>
        </w:rPr>
      </w:pPr>
    </w:p>
    <w:p>
      <w:pPr>
        <w:pStyle w:val="Heading1"/>
        <w:numPr>
          <w:ilvl w:val="0"/>
          <w:numId w:val="1"/>
        </w:numPr>
        <w:tabs>
          <w:tab w:pos="586" w:val="left" w:leader="none"/>
          <w:tab w:pos="587" w:val="left" w:leader="none"/>
        </w:tabs>
        <w:spacing w:line="240" w:lineRule="auto" w:before="0" w:after="0"/>
        <w:ind w:left="586" w:right="0" w:hanging="469"/>
        <w:jc w:val="left"/>
      </w:pPr>
      <w:r>
        <w:rPr/>
        <w:t>OBJETIVO</w:t>
      </w:r>
    </w:p>
    <w:p>
      <w:pPr>
        <w:pStyle w:val="BodyText"/>
        <w:rPr>
          <w:b/>
          <w:sz w:val="33"/>
        </w:rPr>
      </w:pPr>
    </w:p>
    <w:p>
      <w:pPr>
        <w:pStyle w:val="ListParagraph"/>
        <w:numPr>
          <w:ilvl w:val="0"/>
          <w:numId w:val="2"/>
        </w:numPr>
        <w:tabs>
          <w:tab w:pos="1534" w:val="left" w:leader="none"/>
          <w:tab w:pos="1535" w:val="left" w:leader="none"/>
        </w:tabs>
        <w:spacing w:line="360" w:lineRule="auto" w:before="0" w:after="0"/>
        <w:ind w:left="118" w:right="120" w:firstLine="0"/>
        <w:jc w:val="both"/>
        <w:rPr>
          <w:sz w:val="24"/>
        </w:rPr>
      </w:pPr>
      <w:r>
        <w:rPr>
          <w:sz w:val="24"/>
        </w:rPr>
        <w:t>Avaliar os aspectos técnicos e legais das obras em execução e os custos e preços de orçamentos das referidas</w:t>
      </w:r>
      <w:r>
        <w:rPr>
          <w:spacing w:val="-5"/>
          <w:sz w:val="24"/>
        </w:rPr>
        <w:t> </w:t>
      </w:r>
      <w:r>
        <w:rPr>
          <w:sz w:val="24"/>
        </w:rPr>
        <w:t>obras.</w:t>
      </w:r>
    </w:p>
    <w:p>
      <w:pPr>
        <w:pStyle w:val="BodyText"/>
        <w:spacing w:before="10"/>
        <w:rPr>
          <w:sz w:val="35"/>
        </w:rPr>
      </w:pPr>
    </w:p>
    <w:p>
      <w:pPr>
        <w:pStyle w:val="Heading1"/>
        <w:numPr>
          <w:ilvl w:val="0"/>
          <w:numId w:val="1"/>
        </w:numPr>
        <w:tabs>
          <w:tab w:pos="653" w:val="left" w:leader="none"/>
          <w:tab w:pos="655" w:val="left" w:leader="none"/>
        </w:tabs>
        <w:spacing w:line="240" w:lineRule="auto" w:before="0" w:after="0"/>
        <w:ind w:left="654" w:right="0" w:hanging="537"/>
        <w:jc w:val="left"/>
      </w:pPr>
      <w:r>
        <w:rPr/>
        <w:t>METODOLOGIA</w:t>
      </w:r>
    </w:p>
    <w:p>
      <w:pPr>
        <w:pStyle w:val="BodyText"/>
        <w:spacing w:before="6"/>
        <w:rPr>
          <w:b/>
          <w:sz w:val="22"/>
        </w:rPr>
      </w:pPr>
    </w:p>
    <w:p>
      <w:pPr>
        <w:pStyle w:val="ListParagraph"/>
        <w:numPr>
          <w:ilvl w:val="0"/>
          <w:numId w:val="2"/>
        </w:numPr>
        <w:tabs>
          <w:tab w:pos="1534" w:val="left" w:leader="none"/>
          <w:tab w:pos="1535" w:val="left" w:leader="none"/>
        </w:tabs>
        <w:spacing w:line="360" w:lineRule="auto" w:before="0" w:after="0"/>
        <w:ind w:left="118" w:right="157" w:firstLine="0"/>
        <w:jc w:val="both"/>
        <w:rPr>
          <w:sz w:val="24"/>
        </w:rPr>
      </w:pPr>
      <w:r>
        <w:rPr>
          <w:sz w:val="24"/>
        </w:rPr>
        <w:t>O escopo e questões de auditoria foram delimitados a partir das instruções encaminhadas pelo CNJ, por meio do Tribunal Superior Eleitoral (TSE), no Ofício-Circular n° 12/2012-SCI/Presi/CNJ, de 10.12.2012, e mensagem eletrônica de 26.03.2013, estruturando-se na “Matriz de Procedimentos – Obras Públicas”, anexa e que faz parte integrante do presente relatório, na qual foram reportadas, em acréscimo, as fontes consultadas, as técnicas utilizadas e os resultados dos</w:t>
      </w:r>
      <w:r>
        <w:rPr>
          <w:spacing w:val="-5"/>
          <w:sz w:val="24"/>
        </w:rPr>
        <w:t> </w:t>
      </w:r>
      <w:r>
        <w:rPr>
          <w:sz w:val="24"/>
        </w:rPr>
        <w:t>exames.</w:t>
      </w:r>
    </w:p>
    <w:p>
      <w:pPr>
        <w:pStyle w:val="BodyText"/>
        <w:spacing w:line="360" w:lineRule="auto" w:before="1"/>
        <w:ind w:left="118" w:right="111" w:firstLine="1439"/>
        <w:jc w:val="both"/>
      </w:pPr>
      <w:r>
        <w:rPr/>
        <w:t>Assim, o escopo da auditoria delimitou-se a verificar a aderência das obras</w:t>
      </w:r>
      <w:r>
        <w:rPr>
          <w:spacing w:val="22"/>
        </w:rPr>
        <w:t> </w:t>
      </w:r>
      <w:r>
        <w:rPr/>
        <w:t>em</w:t>
      </w:r>
      <w:r>
        <w:rPr>
          <w:spacing w:val="24"/>
        </w:rPr>
        <w:t> </w:t>
      </w:r>
      <w:r>
        <w:rPr/>
        <w:t>execução</w:t>
      </w:r>
      <w:r>
        <w:rPr>
          <w:spacing w:val="24"/>
        </w:rPr>
        <w:t> </w:t>
      </w:r>
      <w:r>
        <w:rPr/>
        <w:t>em</w:t>
      </w:r>
      <w:r>
        <w:rPr>
          <w:spacing w:val="23"/>
        </w:rPr>
        <w:t> </w:t>
      </w:r>
      <w:r>
        <w:rPr/>
        <w:t>abril/2013,</w:t>
      </w:r>
      <w:r>
        <w:rPr>
          <w:spacing w:val="24"/>
        </w:rPr>
        <w:t> </w:t>
      </w:r>
      <w:r>
        <w:rPr/>
        <w:t>a</w:t>
      </w:r>
      <w:r>
        <w:rPr>
          <w:spacing w:val="24"/>
        </w:rPr>
        <w:t> </w:t>
      </w:r>
      <w:r>
        <w:rPr/>
        <w:t>saber:</w:t>
      </w:r>
      <w:r>
        <w:rPr>
          <w:spacing w:val="21"/>
        </w:rPr>
        <w:t> </w:t>
      </w:r>
      <w:r>
        <w:rPr/>
        <w:t>Construção</w:t>
      </w:r>
      <w:r>
        <w:rPr>
          <w:spacing w:val="23"/>
        </w:rPr>
        <w:t> </w:t>
      </w:r>
      <w:r>
        <w:rPr/>
        <w:t>do</w:t>
      </w:r>
      <w:r>
        <w:rPr>
          <w:spacing w:val="24"/>
        </w:rPr>
        <w:t> </w:t>
      </w:r>
      <w:r>
        <w:rPr/>
        <w:t>Edifício-Anexo</w:t>
      </w:r>
      <w:r>
        <w:rPr>
          <w:spacing w:val="24"/>
        </w:rPr>
        <w:t> </w:t>
      </w:r>
      <w:r>
        <w:rPr/>
        <w:t>ao</w:t>
      </w:r>
      <w:r>
        <w:rPr>
          <w:spacing w:val="24"/>
        </w:rPr>
        <w:t> </w:t>
      </w:r>
      <w:r>
        <w:rPr/>
        <w:t>Edifício-</w:t>
      </w:r>
    </w:p>
    <w:p>
      <w:pPr>
        <w:spacing w:after="0" w:line="360" w:lineRule="auto"/>
        <w:jc w:val="both"/>
        <w:sectPr>
          <w:headerReference w:type="default" r:id="rId6"/>
          <w:footerReference w:type="default" r:id="rId7"/>
          <w:pgSz w:w="12240" w:h="15840"/>
          <w:pgMar w:header="722" w:footer="2046" w:top="2240" w:bottom="2240" w:left="1300" w:right="1300"/>
        </w:sectPr>
      </w:pPr>
    </w:p>
    <w:p>
      <w:pPr>
        <w:pStyle w:val="BodyText"/>
        <w:spacing w:line="360" w:lineRule="auto" w:before="226"/>
        <w:ind w:left="118" w:right="114"/>
        <w:jc w:val="both"/>
      </w:pPr>
      <w:r>
        <w:rPr/>
        <w:t>Sede do TRE/BA e Construção do Fórum Eleitoral da 110</w:t>
      </w:r>
      <w:r>
        <w:rPr>
          <w:vertAlign w:val="superscript"/>
        </w:rPr>
        <w:t>a</w:t>
      </w:r>
      <w:r>
        <w:rPr>
          <w:vertAlign w:val="baseline"/>
        </w:rPr>
        <w:t> Zona Eleitoral - município de Ribeira do Pombal, às disposições da Resolução CNJ nº 114/2010.</w:t>
      </w:r>
    </w:p>
    <w:p>
      <w:pPr>
        <w:pStyle w:val="BodyText"/>
        <w:spacing w:line="360" w:lineRule="auto"/>
        <w:ind w:left="118" w:right="114" w:firstLine="719"/>
        <w:jc w:val="both"/>
      </w:pPr>
      <w:r>
        <w:rPr/>
        <w:t>Neste sentido, cabe registrar que a obra de Construção do Edifício-Anexo ao Edifício-Sede do TRE/BA iniciou-se em 09/09/2009, portanto anterior à vigência da Resolução CNJ nº 114/2010, restando, portanto, em relação à referida obra, inexigíveis diversos dispositivos da referida norma.</w:t>
      </w:r>
    </w:p>
    <w:p>
      <w:pPr>
        <w:pStyle w:val="BodyText"/>
        <w:spacing w:line="360" w:lineRule="auto" w:before="1"/>
        <w:ind w:left="118" w:right="112" w:firstLine="719"/>
        <w:jc w:val="both"/>
      </w:pPr>
      <w:r>
        <w:rPr/>
        <w:t>De igual sorte, em face do Tribunal Superior Eleitoral (TSE), em atenção à determinação contida no art. 32 da Resolução CNJ nº 114/2010, somente ter regulamentado a elaboração do plano de obras e a padronização das construções de cartórios eleitorais em 06 de março de 2012 (Resolução TSE nº 23.369), restaram também prejudicados alguns dispositivos da Resolução CNJ nº 114/2010, conforme registros na Matriz anexa.</w:t>
      </w:r>
    </w:p>
    <w:p>
      <w:pPr>
        <w:pStyle w:val="BodyText"/>
        <w:spacing w:line="360" w:lineRule="auto"/>
        <w:ind w:left="118" w:right="115" w:firstLine="719"/>
        <w:jc w:val="both"/>
      </w:pPr>
      <w:r>
        <w:rPr/>
        <w:t>Registre-se, ainda, o reduzido número de servidores alocados nas atividades de auditoria; o tempo exíguo para a realização dos trabalhos; a concomitância de execução da auditoria de gestão para fins do processo de contas; e a inexistência de servidor lotado no controle interno com formação de engenharia, fatores estes que delimitaram a metodologia utilizada, abaixa</w:t>
      </w:r>
      <w:r>
        <w:rPr>
          <w:spacing w:val="-4"/>
        </w:rPr>
        <w:t> </w:t>
      </w:r>
      <w:r>
        <w:rPr/>
        <w:t>detalhada.</w:t>
      </w:r>
    </w:p>
    <w:p>
      <w:pPr>
        <w:pStyle w:val="BodyText"/>
        <w:spacing w:line="360" w:lineRule="auto" w:before="2"/>
        <w:ind w:left="118" w:right="117" w:firstLine="719"/>
        <w:jc w:val="both"/>
      </w:pPr>
      <w:r>
        <w:rPr/>
        <w:t>Na presente auditoria foram adotadas técnicas de entrevistas, questionários, exame documental e correlação de dados.</w:t>
      </w:r>
    </w:p>
    <w:p>
      <w:pPr>
        <w:pStyle w:val="BodyText"/>
        <w:spacing w:line="360" w:lineRule="auto"/>
        <w:ind w:left="118" w:right="113" w:firstLine="719"/>
        <w:jc w:val="both"/>
      </w:pPr>
      <w:r>
        <w:rPr/>
        <w:t>A partir dos quesitos propostos foram expedidas solicitações de auditoria às unidades do Tribunal conforme suas competências regimentais relativas à instrução, gestão e fiscalização das obras, com aplicação de questionários.</w:t>
      </w:r>
    </w:p>
    <w:p>
      <w:pPr>
        <w:pStyle w:val="BodyText"/>
        <w:spacing w:line="360" w:lineRule="auto"/>
        <w:ind w:left="118" w:right="112" w:firstLine="719"/>
        <w:jc w:val="both"/>
      </w:pPr>
      <w:r>
        <w:rPr/>
        <w:t>A partir da análise das informações recebidas procedeu-se ao cruzamento visando identificar inconsistências, bem como a necessidade de exame documental direto, ressalvando que, no que concerne aos aspectos relativos à instrução e regularidade do processo na fase interna; nos procedimentos licitatórios; e nos</w:t>
      </w:r>
    </w:p>
    <w:p>
      <w:pPr>
        <w:spacing w:after="0" w:line="360" w:lineRule="auto"/>
        <w:jc w:val="both"/>
        <w:sectPr>
          <w:headerReference w:type="default" r:id="rId8"/>
          <w:footerReference w:type="default" r:id="rId9"/>
          <w:pgSz w:w="12240" w:h="15840"/>
          <w:pgMar w:header="722" w:footer="2046" w:top="2240" w:bottom="2240" w:left="1300" w:right="1300"/>
        </w:sectPr>
      </w:pPr>
    </w:p>
    <w:p>
      <w:pPr>
        <w:pStyle w:val="BodyText"/>
        <w:spacing w:before="7"/>
        <w:rPr>
          <w:sz w:val="11"/>
        </w:rPr>
      </w:pPr>
    </w:p>
    <w:p>
      <w:pPr>
        <w:pStyle w:val="BodyText"/>
        <w:spacing w:line="360" w:lineRule="auto" w:before="92"/>
        <w:ind w:left="118" w:right="116"/>
        <w:jc w:val="both"/>
      </w:pPr>
      <w:r>
        <w:rPr/>
        <w:t>procedimentos relativos aos aditivos e alterações contratuais, a opinião da auditoria fundamentou-se nas informações da Seção de Acompanhamento de Contratos (SEACO), integrante da Secretaria de Controle Interno do TRE/BA, que detém a competência regimental de controle concomitante de tais procedimentos, conforme registrado na Matriz anexa.</w:t>
      </w:r>
    </w:p>
    <w:p>
      <w:pPr>
        <w:pStyle w:val="BodyText"/>
        <w:spacing w:line="360" w:lineRule="auto" w:before="2"/>
        <w:ind w:left="118" w:right="112" w:firstLine="719"/>
        <w:jc w:val="both"/>
      </w:pPr>
      <w:r>
        <w:rPr/>
        <w:t>Em decorrência do cruzamento acima informado foram expedidas solicitações adicionais, com requisição de documentos para análise quando necessário.</w:t>
      </w:r>
    </w:p>
    <w:p>
      <w:pPr>
        <w:pStyle w:val="BodyText"/>
        <w:spacing w:line="360" w:lineRule="auto"/>
        <w:ind w:left="118" w:right="113" w:firstLine="719"/>
        <w:jc w:val="both"/>
      </w:pPr>
      <w:r>
        <w:rPr/>
        <w:t>Analisados os novos documentos recebidos, em confronto com as informações anteriormente obtidas, foram concluídos os trabalhos de auditoria, com registro dos resultados na matriz anexa.</w:t>
      </w:r>
    </w:p>
    <w:p>
      <w:pPr>
        <w:pStyle w:val="BodyText"/>
        <w:spacing w:line="360" w:lineRule="auto"/>
        <w:ind w:left="118" w:right="117" w:firstLine="719"/>
        <w:jc w:val="both"/>
      </w:pPr>
      <w:r>
        <w:rPr/>
        <w:t>Registre-se ainda que, em razão do limitado número de servidores alocados nas atividades de auditoria interna, os trabalhos foram realizados pelo Coordenador de Auditoria e Contas Eleitorais, que o subscreve.</w:t>
      </w:r>
    </w:p>
    <w:p>
      <w:pPr>
        <w:pStyle w:val="BodyText"/>
        <w:spacing w:before="11"/>
        <w:rPr>
          <w:sz w:val="20"/>
        </w:rPr>
      </w:pPr>
    </w:p>
    <w:p>
      <w:pPr>
        <w:pStyle w:val="Heading1"/>
        <w:jc w:val="both"/>
      </w:pPr>
      <w:r>
        <w:rPr/>
        <w:t>VI FONTES CONSULTADAS</w:t>
      </w:r>
    </w:p>
    <w:p>
      <w:pPr>
        <w:pStyle w:val="BodyText"/>
        <w:spacing w:before="9"/>
        <w:rPr>
          <w:b/>
          <w:sz w:val="32"/>
        </w:rPr>
      </w:pPr>
    </w:p>
    <w:p>
      <w:pPr>
        <w:pStyle w:val="ListParagraph"/>
        <w:numPr>
          <w:ilvl w:val="0"/>
          <w:numId w:val="2"/>
        </w:numPr>
        <w:tabs>
          <w:tab w:pos="1558" w:val="left" w:leader="none"/>
          <w:tab w:pos="1559" w:val="left" w:leader="none"/>
        </w:tabs>
        <w:spacing w:line="360" w:lineRule="auto" w:before="0" w:after="0"/>
        <w:ind w:left="118" w:right="117" w:firstLine="0"/>
        <w:jc w:val="left"/>
        <w:rPr>
          <w:sz w:val="24"/>
        </w:rPr>
      </w:pPr>
      <w:r>
        <w:rPr>
          <w:sz w:val="24"/>
        </w:rPr>
        <w:t>Os trabalhos de auditoria fundaram-se na aplicação das técnicas de auditoria acima relatadas a partir dos normativos e documentos abaixo</w:t>
      </w:r>
      <w:r>
        <w:rPr>
          <w:spacing w:val="-18"/>
          <w:sz w:val="24"/>
        </w:rPr>
        <w:t> </w:t>
      </w:r>
      <w:r>
        <w:rPr>
          <w:sz w:val="24"/>
        </w:rPr>
        <w:t>relacionados:</w:t>
      </w:r>
    </w:p>
    <w:p>
      <w:pPr>
        <w:spacing w:line="275" w:lineRule="exact" w:before="0"/>
        <w:ind w:left="1894" w:right="0" w:firstLine="0"/>
        <w:jc w:val="left"/>
        <w:rPr>
          <w:sz w:val="22"/>
        </w:rPr>
      </w:pPr>
      <w:r>
        <w:rPr>
          <w:rFonts w:ascii="Times New Roman" w:hAnsi="Times New Roman"/>
          <w:sz w:val="24"/>
        </w:rPr>
        <w:t>a. </w:t>
      </w:r>
      <w:r>
        <w:rPr>
          <w:sz w:val="22"/>
        </w:rPr>
        <w:t>Resolução CNJ n° 114/2010, de 20.04.2010;</w:t>
      </w:r>
    </w:p>
    <w:p>
      <w:pPr>
        <w:spacing w:before="122"/>
        <w:ind w:left="1894" w:right="0" w:firstLine="0"/>
        <w:jc w:val="left"/>
        <w:rPr>
          <w:sz w:val="22"/>
        </w:rPr>
      </w:pPr>
      <w:r>
        <w:rPr>
          <w:rFonts w:ascii="Times New Roman" w:hAnsi="Times New Roman"/>
          <w:sz w:val="24"/>
        </w:rPr>
        <w:t>b. </w:t>
      </w:r>
      <w:r>
        <w:rPr>
          <w:sz w:val="22"/>
        </w:rPr>
        <w:t>Resolução TSE n° 23.369/2011, de 13.12.2011;</w:t>
      </w:r>
    </w:p>
    <w:p>
      <w:pPr>
        <w:pStyle w:val="ListParagraph"/>
        <w:numPr>
          <w:ilvl w:val="1"/>
          <w:numId w:val="2"/>
        </w:numPr>
        <w:tabs>
          <w:tab w:pos="2255" w:val="left" w:leader="none"/>
        </w:tabs>
        <w:spacing w:line="240" w:lineRule="auto" w:before="123" w:after="0"/>
        <w:ind w:left="2254" w:right="0" w:hanging="361"/>
        <w:jc w:val="left"/>
        <w:rPr>
          <w:sz w:val="22"/>
        </w:rPr>
      </w:pPr>
      <w:r>
        <w:rPr>
          <w:sz w:val="22"/>
        </w:rPr>
        <w:t>Resolução Administrativa TRE/BA n</w:t>
      </w:r>
      <w:r>
        <w:rPr>
          <w:rFonts w:ascii="Symbol" w:hAnsi="Symbol"/>
          <w:sz w:val="22"/>
        </w:rPr>
        <w:t></w:t>
      </w:r>
      <w:r>
        <w:rPr>
          <w:rFonts w:ascii="Times New Roman" w:hAnsi="Times New Roman"/>
          <w:spacing w:val="2"/>
          <w:sz w:val="22"/>
        </w:rPr>
        <w:t> </w:t>
      </w:r>
      <w:r>
        <w:rPr>
          <w:sz w:val="22"/>
        </w:rPr>
        <w:t>01/2008;</w:t>
      </w:r>
    </w:p>
    <w:p>
      <w:pPr>
        <w:pStyle w:val="ListParagraph"/>
        <w:numPr>
          <w:ilvl w:val="1"/>
          <w:numId w:val="2"/>
        </w:numPr>
        <w:tabs>
          <w:tab w:pos="2255" w:val="left" w:leader="none"/>
        </w:tabs>
        <w:spacing w:line="240" w:lineRule="auto" w:before="132" w:after="0"/>
        <w:ind w:left="2254" w:right="0" w:hanging="361"/>
        <w:jc w:val="left"/>
        <w:rPr>
          <w:sz w:val="22"/>
        </w:rPr>
      </w:pPr>
      <w:r>
        <w:rPr>
          <w:sz w:val="22"/>
        </w:rPr>
        <w:t>Resolução Administrativa TRE/BA n</w:t>
      </w:r>
      <w:r>
        <w:rPr>
          <w:rFonts w:ascii="Symbol" w:hAnsi="Symbol"/>
          <w:sz w:val="22"/>
        </w:rPr>
        <w:t></w:t>
      </w:r>
      <w:r>
        <w:rPr>
          <w:rFonts w:ascii="Times New Roman" w:hAnsi="Times New Roman"/>
          <w:sz w:val="22"/>
        </w:rPr>
        <w:t> </w:t>
      </w:r>
      <w:r>
        <w:rPr>
          <w:sz w:val="22"/>
        </w:rPr>
        <w:t>02, de</w:t>
      </w:r>
      <w:r>
        <w:rPr>
          <w:spacing w:val="-8"/>
          <w:sz w:val="22"/>
        </w:rPr>
        <w:t> </w:t>
      </w:r>
      <w:r>
        <w:rPr>
          <w:sz w:val="22"/>
        </w:rPr>
        <w:t>25.04.2012;</w:t>
      </w:r>
    </w:p>
    <w:p>
      <w:pPr>
        <w:pStyle w:val="ListParagraph"/>
        <w:numPr>
          <w:ilvl w:val="1"/>
          <w:numId w:val="2"/>
        </w:numPr>
        <w:tabs>
          <w:tab w:pos="2255" w:val="left" w:leader="none"/>
        </w:tabs>
        <w:spacing w:line="240" w:lineRule="auto" w:before="130" w:after="0"/>
        <w:ind w:left="2254" w:right="0" w:hanging="361"/>
        <w:jc w:val="left"/>
        <w:rPr>
          <w:sz w:val="22"/>
        </w:rPr>
      </w:pPr>
      <w:r>
        <w:rPr>
          <w:sz w:val="22"/>
        </w:rPr>
        <w:t>Resolução Administrativa TRE/BA n° 03, de</w:t>
      </w:r>
      <w:r>
        <w:rPr>
          <w:spacing w:val="-14"/>
          <w:sz w:val="22"/>
        </w:rPr>
        <w:t> </w:t>
      </w:r>
      <w:r>
        <w:rPr>
          <w:sz w:val="22"/>
        </w:rPr>
        <w:t>17.04.2013;</w:t>
      </w:r>
    </w:p>
    <w:p>
      <w:pPr>
        <w:tabs>
          <w:tab w:pos="2254" w:val="left" w:leader="none"/>
        </w:tabs>
        <w:spacing w:before="120"/>
        <w:ind w:left="1894" w:right="0" w:firstLine="0"/>
        <w:jc w:val="left"/>
        <w:rPr>
          <w:sz w:val="22"/>
        </w:rPr>
      </w:pPr>
      <w:r>
        <w:rPr>
          <w:rFonts w:ascii="Times New Roman" w:hAnsi="Times New Roman"/>
          <w:sz w:val="24"/>
        </w:rPr>
        <w:t>f.</w:t>
        <w:tab/>
      </w:r>
      <w:r>
        <w:rPr>
          <w:sz w:val="22"/>
        </w:rPr>
        <w:t>Memorando n° 12/COORC/2013. de</w:t>
      </w:r>
      <w:r>
        <w:rPr>
          <w:spacing w:val="-15"/>
          <w:sz w:val="22"/>
        </w:rPr>
        <w:t> </w:t>
      </w:r>
      <w:r>
        <w:rPr>
          <w:sz w:val="22"/>
        </w:rPr>
        <w:t>19.04.2013;</w:t>
      </w:r>
    </w:p>
    <w:p>
      <w:pPr>
        <w:spacing w:before="122"/>
        <w:ind w:left="1894" w:right="0" w:firstLine="0"/>
        <w:jc w:val="left"/>
        <w:rPr>
          <w:sz w:val="22"/>
        </w:rPr>
      </w:pPr>
      <w:r>
        <w:rPr>
          <w:rFonts w:ascii="Times New Roman" w:hAnsi="Times New Roman"/>
          <w:sz w:val="24"/>
        </w:rPr>
        <w:t>g.   </w:t>
      </w:r>
      <w:r>
        <w:rPr>
          <w:sz w:val="22"/>
        </w:rPr>
        <w:t>Memorando n° 17/COORC/2013, de</w:t>
      </w:r>
      <w:r>
        <w:rPr>
          <w:spacing w:val="-16"/>
          <w:sz w:val="22"/>
        </w:rPr>
        <w:t> </w:t>
      </w:r>
      <w:r>
        <w:rPr>
          <w:sz w:val="22"/>
        </w:rPr>
        <w:t>06.05.2013;</w:t>
      </w:r>
    </w:p>
    <w:p>
      <w:pPr>
        <w:spacing w:before="120"/>
        <w:ind w:left="1894" w:right="0" w:firstLine="0"/>
        <w:jc w:val="left"/>
        <w:rPr>
          <w:sz w:val="22"/>
        </w:rPr>
      </w:pPr>
      <w:r>
        <w:rPr>
          <w:rFonts w:ascii="Times New Roman" w:hAnsi="Times New Roman"/>
          <w:sz w:val="24"/>
        </w:rPr>
        <w:t>h.   </w:t>
      </w:r>
      <w:r>
        <w:rPr>
          <w:sz w:val="22"/>
        </w:rPr>
        <w:t>Memorando n° 16/2013/SAD/GAB, de</w:t>
      </w:r>
      <w:r>
        <w:rPr>
          <w:spacing w:val="-11"/>
          <w:sz w:val="22"/>
        </w:rPr>
        <w:t> </w:t>
      </w:r>
      <w:r>
        <w:rPr>
          <w:sz w:val="22"/>
        </w:rPr>
        <w:t>20.05.2013;</w:t>
      </w:r>
    </w:p>
    <w:p>
      <w:pPr>
        <w:tabs>
          <w:tab w:pos="2254" w:val="left" w:leader="none"/>
        </w:tabs>
        <w:spacing w:before="120"/>
        <w:ind w:left="1894" w:right="0" w:firstLine="0"/>
        <w:jc w:val="left"/>
        <w:rPr>
          <w:sz w:val="22"/>
        </w:rPr>
      </w:pPr>
      <w:r>
        <w:rPr>
          <w:rFonts w:ascii="Times New Roman" w:hAnsi="Times New Roman"/>
          <w:sz w:val="24"/>
        </w:rPr>
        <w:t>i.</w:t>
        <w:tab/>
      </w:r>
      <w:r>
        <w:rPr>
          <w:sz w:val="22"/>
        </w:rPr>
        <w:t>Memorando n° 17/2013/SAD/GAB, de</w:t>
      </w:r>
      <w:r>
        <w:rPr>
          <w:spacing w:val="-12"/>
          <w:sz w:val="22"/>
        </w:rPr>
        <w:t> </w:t>
      </w:r>
      <w:r>
        <w:rPr>
          <w:sz w:val="22"/>
        </w:rPr>
        <w:t>23.05.2013;</w:t>
      </w:r>
    </w:p>
    <w:p>
      <w:pPr>
        <w:spacing w:after="0"/>
        <w:jc w:val="left"/>
        <w:rPr>
          <w:sz w:val="22"/>
        </w:rPr>
        <w:sectPr>
          <w:headerReference w:type="default" r:id="rId10"/>
          <w:footerReference w:type="default" r:id="rId11"/>
          <w:pgSz w:w="12240" w:h="15840"/>
          <w:pgMar w:header="722" w:footer="2046" w:top="2240" w:bottom="2240" w:left="1300" w:right="1300"/>
        </w:sectPr>
      </w:pPr>
    </w:p>
    <w:p>
      <w:pPr>
        <w:pStyle w:val="BodyText"/>
        <w:spacing w:before="8"/>
        <w:rPr>
          <w:sz w:val="11"/>
        </w:rPr>
      </w:pPr>
    </w:p>
    <w:p>
      <w:pPr>
        <w:tabs>
          <w:tab w:pos="2254" w:val="left" w:leader="none"/>
        </w:tabs>
        <w:spacing w:before="90"/>
        <w:ind w:left="1894" w:right="0" w:firstLine="0"/>
        <w:jc w:val="left"/>
        <w:rPr>
          <w:sz w:val="22"/>
        </w:rPr>
      </w:pPr>
      <w:r>
        <w:rPr>
          <w:rFonts w:ascii="Times New Roman" w:hAnsi="Times New Roman"/>
          <w:sz w:val="24"/>
        </w:rPr>
        <w:t>j.</w:t>
        <w:tab/>
      </w:r>
      <w:r>
        <w:rPr>
          <w:sz w:val="22"/>
        </w:rPr>
        <w:t>Memorando n° 18/2013/SAD/GAB, de</w:t>
      </w:r>
      <w:r>
        <w:rPr>
          <w:spacing w:val="-2"/>
          <w:sz w:val="22"/>
        </w:rPr>
        <w:t> </w:t>
      </w:r>
      <w:r>
        <w:rPr>
          <w:sz w:val="22"/>
        </w:rPr>
        <w:t>21.05.2013;</w:t>
      </w:r>
    </w:p>
    <w:p>
      <w:pPr>
        <w:pStyle w:val="ListParagraph"/>
        <w:numPr>
          <w:ilvl w:val="0"/>
          <w:numId w:val="3"/>
        </w:numPr>
        <w:tabs>
          <w:tab w:pos="2255" w:val="left" w:leader="none"/>
        </w:tabs>
        <w:spacing w:line="240" w:lineRule="auto" w:before="122" w:after="0"/>
        <w:ind w:left="2254" w:right="0" w:hanging="361"/>
        <w:jc w:val="left"/>
        <w:rPr>
          <w:sz w:val="22"/>
        </w:rPr>
      </w:pPr>
      <w:r>
        <w:rPr>
          <w:sz w:val="22"/>
        </w:rPr>
        <w:t>Memorando n° 19/2013/SAD/ASPLAN, de</w:t>
      </w:r>
      <w:r>
        <w:rPr>
          <w:spacing w:val="3"/>
          <w:sz w:val="22"/>
        </w:rPr>
        <w:t> </w:t>
      </w:r>
      <w:r>
        <w:rPr>
          <w:sz w:val="22"/>
        </w:rPr>
        <w:t>19.04.2013</w:t>
      </w:r>
    </w:p>
    <w:p>
      <w:pPr>
        <w:pStyle w:val="ListParagraph"/>
        <w:numPr>
          <w:ilvl w:val="0"/>
          <w:numId w:val="3"/>
        </w:numPr>
        <w:tabs>
          <w:tab w:pos="2254" w:val="left" w:leader="none"/>
          <w:tab w:pos="2255" w:val="left" w:leader="none"/>
        </w:tabs>
        <w:spacing w:line="240" w:lineRule="auto" w:before="120" w:after="0"/>
        <w:ind w:left="2254" w:right="0" w:hanging="361"/>
        <w:jc w:val="left"/>
        <w:rPr>
          <w:sz w:val="22"/>
        </w:rPr>
      </w:pPr>
      <w:r>
        <w:rPr>
          <w:sz w:val="22"/>
        </w:rPr>
        <w:t>Manifestação S/N SEACO/2013, de</w:t>
      </w:r>
      <w:r>
        <w:rPr>
          <w:spacing w:val="-1"/>
          <w:sz w:val="22"/>
        </w:rPr>
        <w:t> </w:t>
      </w:r>
      <w:r>
        <w:rPr>
          <w:sz w:val="22"/>
        </w:rPr>
        <w:t>26.04.2013.</w:t>
      </w:r>
    </w:p>
    <w:p>
      <w:pPr>
        <w:pStyle w:val="BodyText"/>
        <w:spacing w:before="8"/>
        <w:rPr>
          <w:sz w:val="31"/>
        </w:rPr>
      </w:pPr>
    </w:p>
    <w:p>
      <w:pPr>
        <w:pStyle w:val="Heading1"/>
        <w:tabs>
          <w:tab w:pos="615" w:val="left" w:leader="none"/>
        </w:tabs>
      </w:pPr>
      <w:r>
        <w:rPr/>
        <w:t>V</w:t>
        <w:tab/>
        <w:t>RESULTADOS DE</w:t>
      </w:r>
      <w:r>
        <w:rPr>
          <w:spacing w:val="2"/>
        </w:rPr>
        <w:t> </w:t>
      </w:r>
      <w:r>
        <w:rPr/>
        <w:t>AUDITORIA</w:t>
      </w:r>
    </w:p>
    <w:p>
      <w:pPr>
        <w:pStyle w:val="BodyText"/>
        <w:spacing w:before="9"/>
        <w:rPr>
          <w:b/>
          <w:sz w:val="32"/>
        </w:rPr>
      </w:pPr>
    </w:p>
    <w:p>
      <w:pPr>
        <w:pStyle w:val="ListParagraph"/>
        <w:numPr>
          <w:ilvl w:val="0"/>
          <w:numId w:val="2"/>
        </w:numPr>
        <w:tabs>
          <w:tab w:pos="1558" w:val="left" w:leader="none"/>
          <w:tab w:pos="1559" w:val="left" w:leader="none"/>
        </w:tabs>
        <w:spacing w:line="360" w:lineRule="auto" w:before="0" w:after="0"/>
        <w:ind w:left="118" w:right="112" w:firstLine="0"/>
        <w:jc w:val="both"/>
        <w:rPr>
          <w:sz w:val="24"/>
        </w:rPr>
      </w:pPr>
      <w:r>
        <w:rPr>
          <w:sz w:val="24"/>
        </w:rPr>
        <w:t>Dos exames realizados restaram evidenciados os resultados reportados na “Matriz de Procedimentos – Obras Públicas” anexa a este</w:t>
      </w:r>
      <w:r>
        <w:rPr>
          <w:spacing w:val="-7"/>
          <w:sz w:val="24"/>
        </w:rPr>
        <w:t> </w:t>
      </w:r>
      <w:r>
        <w:rPr>
          <w:sz w:val="24"/>
        </w:rPr>
        <w:t>relatório.</w:t>
      </w:r>
    </w:p>
    <w:p>
      <w:pPr>
        <w:pStyle w:val="BodyText"/>
        <w:spacing w:before="10"/>
        <w:rPr>
          <w:sz w:val="20"/>
        </w:rPr>
      </w:pPr>
    </w:p>
    <w:p>
      <w:pPr>
        <w:pStyle w:val="Heading1"/>
        <w:jc w:val="both"/>
      </w:pPr>
      <w:r>
        <w:rPr/>
        <w:t>VI.</w:t>
      </w:r>
      <w:r>
        <w:rPr>
          <w:spacing w:val="66"/>
        </w:rPr>
        <w:t> </w:t>
      </w:r>
      <w:r>
        <w:rPr/>
        <w:t>CONCLUSÃO</w:t>
      </w:r>
    </w:p>
    <w:p>
      <w:pPr>
        <w:pStyle w:val="ListParagraph"/>
        <w:numPr>
          <w:ilvl w:val="0"/>
          <w:numId w:val="2"/>
        </w:numPr>
        <w:tabs>
          <w:tab w:pos="1558" w:val="left" w:leader="none"/>
          <w:tab w:pos="1559" w:val="left" w:leader="none"/>
        </w:tabs>
        <w:spacing w:line="360" w:lineRule="auto" w:before="199" w:after="0"/>
        <w:ind w:left="118" w:right="112" w:firstLine="0"/>
        <w:jc w:val="both"/>
        <w:rPr>
          <w:sz w:val="24"/>
        </w:rPr>
      </w:pPr>
      <w:r>
        <w:rPr>
          <w:sz w:val="24"/>
        </w:rPr>
        <w:t>Dos exames realizados, avaliamos como satisfatórios os aspectos técnicos e legais, e os custos e preços de orçamentos, das obras em execução no TRE/BA, concluindo pela aderência às diretrizes estabelecidas na Resolução CNJ n</w:t>
      </w:r>
      <w:r>
        <w:rPr>
          <w:rFonts w:ascii="Symbol" w:hAnsi="Symbol"/>
          <w:sz w:val="24"/>
        </w:rPr>
        <w:t>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114/2010, não havendo providências a serem recomendadas por esta unidade de auditoria, sem prejuízo, contudo, de ulteriores recomendações consideradas necessárias pelo</w:t>
      </w:r>
      <w:r>
        <w:rPr>
          <w:spacing w:val="2"/>
          <w:sz w:val="24"/>
        </w:rPr>
        <w:t> </w:t>
      </w:r>
      <w:r>
        <w:rPr>
          <w:sz w:val="24"/>
        </w:rPr>
        <w:t>CNJ.</w:t>
      </w:r>
    </w:p>
    <w:p>
      <w:pPr>
        <w:spacing w:line="360" w:lineRule="auto" w:before="0"/>
        <w:ind w:left="118" w:right="112" w:firstLine="1439"/>
        <w:jc w:val="both"/>
        <w:rPr>
          <w:sz w:val="24"/>
        </w:rPr>
      </w:pPr>
      <w:r>
        <w:rPr>
          <w:sz w:val="24"/>
        </w:rPr>
        <w:t>Assim, sugere-se o encaminhamento do presente Relatório à Presidente desta Casa, a quem compete a apreciação e a autorização de remessa ao TSE para que aquele promova o encaminhamento ao CNJ, </w:t>
      </w:r>
      <w:r>
        <w:rPr>
          <w:b/>
          <w:i/>
          <w:sz w:val="24"/>
        </w:rPr>
        <w:t>ressaltando o prazo limite de 29 de </w:t>
      </w:r>
      <w:r>
        <w:rPr>
          <w:b/>
          <w:i/>
          <w:sz w:val="24"/>
        </w:rPr>
        <w:t>maio corrente para a remessa das informações, em observância ao cronograma fixado pelo CNJ</w:t>
      </w:r>
      <w:r>
        <w:rPr>
          <w:sz w:val="24"/>
        </w:rPr>
        <w:t>. É o relatório. À consideração da Secretária de Controle Interno.</w:t>
      </w:r>
    </w:p>
    <w:p>
      <w:pPr>
        <w:pStyle w:val="BodyText"/>
        <w:spacing w:line="276" w:lineRule="exact"/>
        <w:ind w:left="3186"/>
        <w:jc w:val="both"/>
      </w:pPr>
      <w:r>
        <w:rPr/>
        <w:t>Salvador, 24 de maio de 2013.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91"/>
        <w:ind w:left="1502" w:right="1613"/>
        <w:jc w:val="center"/>
      </w:pPr>
      <w:r>
        <w:rPr/>
        <w:t>Geomário Lima Silva Filho</w:t>
      </w:r>
    </w:p>
    <w:p>
      <w:pPr>
        <w:spacing w:before="136"/>
        <w:ind w:left="1506" w:right="1613" w:firstLine="0"/>
        <w:jc w:val="center"/>
        <w:rPr>
          <w:i/>
          <w:sz w:val="22"/>
        </w:rPr>
      </w:pPr>
      <w:r>
        <w:rPr>
          <w:i/>
          <w:sz w:val="22"/>
        </w:rPr>
        <w:t>Coordenador de Auditoria e Contas Eleitorais</w:t>
      </w:r>
    </w:p>
    <w:sectPr>
      <w:headerReference w:type="default" r:id="rId12"/>
      <w:footerReference w:type="default" r:id="rId13"/>
      <w:pgSz w:w="12240" w:h="15840"/>
      <w:pgMar w:header="722" w:footer="2046" w:top="2240" w:bottom="2240" w:left="130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70.944pt;margin-top:675.720032pt;width:468.43pt;height:.47998pt;mso-position-horizontal-relative:page;mso-position-vertical-relative:page;z-index:-15860224" filled="true" fillcolor="#000000" stroked="false">
          <v:fill type="solid"/>
          <w10:wrap type="none"/>
        </v:rect>
      </w:pict>
    </w:r>
    <w:r>
      <w:rPr/>
      <w:pict>
        <v:shape style="position:absolute;margin-left:73.424004pt;margin-top:675.226563pt;width:463.5pt;height:11.15pt;mso-position-horizontal-relative:page;mso-position-vertical-relative:page;z-index:-1585971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Courier New" w:hAnsi="Courier New"/>
                    <w:i/>
                    <w:sz w:val="16"/>
                  </w:rPr>
                </w:pPr>
                <w:r>
                  <w:rPr>
                    <w:rFonts w:ascii="Courier New" w:hAnsi="Courier New"/>
                    <w:i/>
                    <w:sz w:val="16"/>
                  </w:rPr>
                  <w:t>Relatório de Auditoria 02/2013 – Ações Coordenadas de Auditoria CNJ/TSE/TRE-BA – Exercício</w:t>
                </w:r>
                <w:r>
                  <w:rPr>
                    <w:rFonts w:ascii="Courier New" w:hAnsi="Courier New"/>
                    <w:i/>
                    <w:spacing w:val="66"/>
                    <w:sz w:val="16"/>
                  </w:rPr>
                  <w:t> </w:t>
                </w:r>
                <w:r>
                  <w:rPr>
                    <w:rFonts w:ascii="Courier New" w:hAnsi="Courier New"/>
                    <w:i/>
                    <w:sz w:val="16"/>
                  </w:rPr>
                  <w:t>2013</w:t>
                </w:r>
              </w:p>
            </w:txbxContent>
          </v:textbox>
          <w10:wrap type="none"/>
        </v:shape>
      </w:pict>
    </w:r>
    <w:r>
      <w:rPr/>
      <w:pict>
        <v:shape style="position:absolute;margin-left:73.424004pt;margin-top:688.906555pt;width:107.6pt;height:11.15pt;mso-position-horizontal-relative:page;mso-position-vertical-relative:page;z-index:-1585920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Courier New" w:hAnsi="Courier New"/>
                    <w:i/>
                    <w:sz w:val="16"/>
                  </w:rPr>
                </w:pPr>
                <w:r>
                  <w:rPr>
                    <w:rFonts w:ascii="Courier New" w:hAnsi="Courier New"/>
                    <w:i/>
                    <w:sz w:val="16"/>
                  </w:rPr>
                  <w:t>– Área: Obras Públicas</w:t>
                </w:r>
              </w:p>
            </w:txbxContent>
          </v:textbox>
          <w10:wrap type="none"/>
        </v:shape>
      </w:pict>
    </w:r>
    <w:r>
      <w:rPr/>
      <w:pict>
        <v:shape style="position:absolute;margin-left:467.100006pt;margin-top:688.906555pt;width:64.45pt;height:11.15pt;mso-position-horizontal-relative:page;mso-position-vertical-relative:page;z-index:-1585868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Courier New" w:hAnsi="Courier New"/>
                    <w:i/>
                    <w:sz w:val="16"/>
                  </w:rPr>
                </w:pPr>
                <w:r>
                  <w:rPr>
                    <w:rFonts w:ascii="Courier New" w:hAnsi="Courier New"/>
                    <w:i/>
                    <w:sz w:val="16"/>
                  </w:rPr>
                  <w:t>Página 2 de 5</w:t>
                </w:r>
              </w:p>
            </w:txbxContent>
          </v:textbox>
          <w10:wrap type="none"/>
        </v:shape>
      </w:pict>
    </w:r>
    <w:r>
      <w:rPr/>
      <w:pict>
        <v:shape style="position:absolute;margin-left:286.450012pt;margin-top:747.237854pt;width:10.9pt;height:9.75pt;mso-position-horizontal-relative:page;mso-position-vertical-relative:page;z-index:-15858176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Times New Roman"/>
                    <w:sz w:val="14"/>
                  </w:rPr>
                </w:pPr>
                <w:r>
                  <w:rPr>
                    <w:rFonts w:ascii="Times New Roman"/>
                    <w:sz w:val="14"/>
                  </w:rPr>
                  <w:t>2/5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70.944pt;margin-top:675.720032pt;width:468.43pt;height:.47998pt;mso-position-horizontal-relative:page;mso-position-vertical-relative:page;z-index:-15856128" filled="true" fillcolor="#000000" stroked="false">
          <v:fill type="solid"/>
          <w10:wrap type="none"/>
        </v:rect>
      </w:pict>
    </w:r>
    <w:r>
      <w:rPr/>
      <w:pict>
        <v:shape style="position:absolute;margin-left:73.424004pt;margin-top:675.226563pt;width:463.5pt;height:11.15pt;mso-position-horizontal-relative:page;mso-position-vertical-relative:page;z-index:-1585561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Courier New" w:hAnsi="Courier New"/>
                    <w:i/>
                    <w:sz w:val="16"/>
                  </w:rPr>
                </w:pPr>
                <w:r>
                  <w:rPr>
                    <w:rFonts w:ascii="Courier New" w:hAnsi="Courier New"/>
                    <w:i/>
                    <w:sz w:val="16"/>
                  </w:rPr>
                  <w:t>Relatório de Auditoria 02/2013 – Ações Coordenadas de Auditoria CNJ/TSE/TRE-BA – Exercício</w:t>
                </w:r>
                <w:r>
                  <w:rPr>
                    <w:rFonts w:ascii="Courier New" w:hAnsi="Courier New"/>
                    <w:i/>
                    <w:spacing w:val="66"/>
                    <w:sz w:val="16"/>
                  </w:rPr>
                  <w:t> </w:t>
                </w:r>
                <w:r>
                  <w:rPr>
                    <w:rFonts w:ascii="Courier New" w:hAnsi="Courier New"/>
                    <w:i/>
                    <w:sz w:val="16"/>
                  </w:rPr>
                  <w:t>2013</w:t>
                </w:r>
              </w:p>
            </w:txbxContent>
          </v:textbox>
          <w10:wrap type="none"/>
        </v:shape>
      </w:pict>
    </w:r>
    <w:r>
      <w:rPr/>
      <w:pict>
        <v:shape style="position:absolute;margin-left:73.424004pt;margin-top:688.906555pt;width:107.6pt;height:11.15pt;mso-position-horizontal-relative:page;mso-position-vertical-relative:page;z-index:-1585510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Courier New" w:hAnsi="Courier New"/>
                    <w:i/>
                    <w:sz w:val="16"/>
                  </w:rPr>
                </w:pPr>
                <w:r>
                  <w:rPr>
                    <w:rFonts w:ascii="Courier New" w:hAnsi="Courier New"/>
                    <w:i/>
                    <w:sz w:val="16"/>
                  </w:rPr>
                  <w:t>– Área: Obras Públicas</w:t>
                </w:r>
              </w:p>
            </w:txbxContent>
          </v:textbox>
          <w10:wrap type="none"/>
        </v:shape>
      </w:pict>
    </w:r>
    <w:r>
      <w:rPr/>
      <w:pict>
        <v:shape style="position:absolute;margin-left:467.100006pt;margin-top:688.906555pt;width:64.45pt;height:11.15pt;mso-position-horizontal-relative:page;mso-position-vertical-relative:page;z-index:-1585459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Courier New" w:hAnsi="Courier New"/>
                    <w:i/>
                    <w:sz w:val="16"/>
                  </w:rPr>
                </w:pPr>
                <w:r>
                  <w:rPr>
                    <w:rFonts w:ascii="Courier New" w:hAnsi="Courier New"/>
                    <w:i/>
                    <w:sz w:val="16"/>
                  </w:rPr>
                  <w:t>Página 3 de 5</w:t>
                </w:r>
              </w:p>
            </w:txbxContent>
          </v:textbox>
          <w10:wrap type="none"/>
        </v:shape>
      </w:pict>
    </w:r>
    <w:r>
      <w:rPr/>
      <w:pict>
        <v:shape style="position:absolute;margin-left:286.450012pt;margin-top:747.237854pt;width:10.9pt;height:9.75pt;mso-position-horizontal-relative:page;mso-position-vertical-relative:page;z-index:-15854080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Times New Roman"/>
                    <w:sz w:val="14"/>
                  </w:rPr>
                </w:pPr>
                <w:r>
                  <w:rPr>
                    <w:rFonts w:ascii="Times New Roman"/>
                    <w:sz w:val="14"/>
                  </w:rPr>
                  <w:t>3/5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70.944pt;margin-top:675.720032pt;width:468.43pt;height:.47998pt;mso-position-horizontal-relative:page;mso-position-vertical-relative:page;z-index:-15852032" filled="true" fillcolor="#000000" stroked="false">
          <v:fill type="solid"/>
          <w10:wrap type="none"/>
        </v:rect>
      </w:pict>
    </w:r>
    <w:r>
      <w:rPr/>
      <w:pict>
        <v:shape style="position:absolute;margin-left:73.424004pt;margin-top:675.226563pt;width:463.5pt;height:11.15pt;mso-position-horizontal-relative:page;mso-position-vertical-relative:page;z-index:-1585152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Courier New" w:hAnsi="Courier New"/>
                    <w:i/>
                    <w:sz w:val="16"/>
                  </w:rPr>
                </w:pPr>
                <w:r>
                  <w:rPr>
                    <w:rFonts w:ascii="Courier New" w:hAnsi="Courier New"/>
                    <w:i/>
                    <w:sz w:val="16"/>
                  </w:rPr>
                  <w:t>Relatório de Auditoria 02/2013 – Ações Coordenadas de Auditoria CNJ/TSE/TRE-BA – Exercício</w:t>
                </w:r>
                <w:r>
                  <w:rPr>
                    <w:rFonts w:ascii="Courier New" w:hAnsi="Courier New"/>
                    <w:i/>
                    <w:spacing w:val="66"/>
                    <w:sz w:val="16"/>
                  </w:rPr>
                  <w:t> </w:t>
                </w:r>
                <w:r>
                  <w:rPr>
                    <w:rFonts w:ascii="Courier New" w:hAnsi="Courier New"/>
                    <w:i/>
                    <w:sz w:val="16"/>
                  </w:rPr>
                  <w:t>2013</w:t>
                </w:r>
              </w:p>
            </w:txbxContent>
          </v:textbox>
          <w10:wrap type="none"/>
        </v:shape>
      </w:pict>
    </w:r>
    <w:r>
      <w:rPr/>
      <w:pict>
        <v:shape style="position:absolute;margin-left:73.424004pt;margin-top:688.906555pt;width:107.6pt;height:11.15pt;mso-position-horizontal-relative:page;mso-position-vertical-relative:page;z-index:-1585100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Courier New" w:hAnsi="Courier New"/>
                    <w:i/>
                    <w:sz w:val="16"/>
                  </w:rPr>
                </w:pPr>
                <w:r>
                  <w:rPr>
                    <w:rFonts w:ascii="Courier New" w:hAnsi="Courier New"/>
                    <w:i/>
                    <w:sz w:val="16"/>
                  </w:rPr>
                  <w:t>– Área: Obras Públicas</w:t>
                </w:r>
              </w:p>
            </w:txbxContent>
          </v:textbox>
          <w10:wrap type="none"/>
        </v:shape>
      </w:pict>
    </w:r>
    <w:r>
      <w:rPr/>
      <w:pict>
        <v:shape style="position:absolute;margin-left:467.100006pt;margin-top:688.906555pt;width:64.45pt;height:11.15pt;mso-position-horizontal-relative:page;mso-position-vertical-relative:page;z-index:-1585049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Courier New" w:hAnsi="Courier New"/>
                    <w:i/>
                    <w:sz w:val="16"/>
                  </w:rPr>
                </w:pPr>
                <w:r>
                  <w:rPr>
                    <w:rFonts w:ascii="Courier New" w:hAnsi="Courier New"/>
                    <w:i/>
                    <w:sz w:val="16"/>
                  </w:rPr>
                  <w:t>Página 4 de 5</w:t>
                </w:r>
              </w:p>
            </w:txbxContent>
          </v:textbox>
          <w10:wrap type="none"/>
        </v:shape>
      </w:pict>
    </w:r>
    <w:r>
      <w:rPr/>
      <w:pict>
        <v:shape style="position:absolute;margin-left:286.450012pt;margin-top:747.237854pt;width:10.9pt;height:9.75pt;mso-position-horizontal-relative:page;mso-position-vertical-relative:page;z-index:-15849984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Times New Roman"/>
                    <w:sz w:val="14"/>
                  </w:rPr>
                </w:pPr>
                <w:r>
                  <w:rPr>
                    <w:rFonts w:ascii="Times New Roman"/>
                    <w:sz w:val="14"/>
                  </w:rPr>
                  <w:t>4/5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70.944pt;margin-top:675.720032pt;width:468.43pt;height:.47998pt;mso-position-horizontal-relative:page;mso-position-vertical-relative:page;z-index:-15847936" filled="true" fillcolor="#000000" stroked="false">
          <v:fill type="solid"/>
          <w10:wrap type="none"/>
        </v:rect>
      </w:pict>
    </w:r>
    <w:r>
      <w:rPr/>
      <w:pict>
        <v:shape style="position:absolute;margin-left:73.424004pt;margin-top:675.226563pt;width:463.5pt;height:11.15pt;mso-position-horizontal-relative:page;mso-position-vertical-relative:page;z-index:-1584742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Courier New" w:hAnsi="Courier New"/>
                    <w:i/>
                    <w:sz w:val="16"/>
                  </w:rPr>
                </w:pPr>
                <w:r>
                  <w:rPr>
                    <w:rFonts w:ascii="Courier New" w:hAnsi="Courier New"/>
                    <w:i/>
                    <w:sz w:val="16"/>
                  </w:rPr>
                  <w:t>Relatório de Auditoria 02/2013 – Ações Coordenadas de Auditoria CNJ/TSE/TRE-BA – Exercício</w:t>
                </w:r>
                <w:r>
                  <w:rPr>
                    <w:rFonts w:ascii="Courier New" w:hAnsi="Courier New"/>
                    <w:i/>
                    <w:spacing w:val="66"/>
                    <w:sz w:val="16"/>
                  </w:rPr>
                  <w:t> </w:t>
                </w:r>
                <w:r>
                  <w:rPr>
                    <w:rFonts w:ascii="Courier New" w:hAnsi="Courier New"/>
                    <w:i/>
                    <w:sz w:val="16"/>
                  </w:rPr>
                  <w:t>2013</w:t>
                </w:r>
              </w:p>
            </w:txbxContent>
          </v:textbox>
          <w10:wrap type="none"/>
        </v:shape>
      </w:pict>
    </w:r>
    <w:r>
      <w:rPr/>
      <w:pict>
        <v:shape style="position:absolute;margin-left:73.424004pt;margin-top:688.906555pt;width:107.6pt;height:11.15pt;mso-position-horizontal-relative:page;mso-position-vertical-relative:page;z-index:-1584691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Courier New" w:hAnsi="Courier New"/>
                    <w:i/>
                    <w:sz w:val="16"/>
                  </w:rPr>
                </w:pPr>
                <w:r>
                  <w:rPr>
                    <w:rFonts w:ascii="Courier New" w:hAnsi="Courier New"/>
                    <w:i/>
                    <w:sz w:val="16"/>
                  </w:rPr>
                  <w:t>– Área: Obras Públicas</w:t>
                </w:r>
              </w:p>
            </w:txbxContent>
          </v:textbox>
          <w10:wrap type="none"/>
        </v:shape>
      </w:pict>
    </w:r>
    <w:r>
      <w:rPr/>
      <w:pict>
        <v:shape style="position:absolute;margin-left:467.100006pt;margin-top:688.906555pt;width:64.45pt;height:11.15pt;mso-position-horizontal-relative:page;mso-position-vertical-relative:page;z-index:-1584640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Courier New" w:hAnsi="Courier New"/>
                    <w:i/>
                    <w:sz w:val="16"/>
                  </w:rPr>
                </w:pPr>
                <w:r>
                  <w:rPr>
                    <w:rFonts w:ascii="Courier New" w:hAnsi="Courier New"/>
                    <w:i/>
                    <w:sz w:val="16"/>
                  </w:rPr>
                  <w:t>Página 5 de 5</w:t>
                </w:r>
              </w:p>
            </w:txbxContent>
          </v:textbox>
          <w10:wrap type="none"/>
        </v:shape>
      </w:pict>
    </w:r>
    <w:r>
      <w:rPr/>
      <w:pict>
        <v:shape style="position:absolute;margin-left:286.450012pt;margin-top:747.237854pt;width:10.9pt;height:9.75pt;mso-position-horizontal-relative:page;mso-position-vertical-relative:page;z-index:-15845888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Times New Roman"/>
                    <w:sz w:val="14"/>
                  </w:rPr>
                </w:pPr>
                <w:r>
                  <w:rPr>
                    <w:rFonts w:ascii="Times New Roman"/>
                    <w:sz w:val="14"/>
                  </w:rPr>
                  <w:t>5/5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454720">
          <wp:simplePos x="0" y="0"/>
          <wp:positionH relativeFrom="page">
            <wp:posOffset>902335</wp:posOffset>
          </wp:positionH>
          <wp:positionV relativeFrom="page">
            <wp:posOffset>483234</wp:posOffset>
          </wp:positionV>
          <wp:extent cx="866775" cy="911225"/>
          <wp:effectExtent l="0" t="0" r="0" b="0"/>
          <wp:wrapNone/>
          <wp:docPr id="3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6775" cy="911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66.744003pt;margin-top:111.979965pt;width:487.65pt;height:.5pt;mso-position-horizontal-relative:page;mso-position-vertical-relative:page;z-index:-15861248" coordorigin="1335,2240" coordsize="9753,10" path="m11087,2240l2859,2240,2854,2240,2844,2240,1335,2240,1335,2249,2844,2249,2854,2249,2859,2249,11087,2249,11087,2240xe" filled="true" fillcolor="#000000" stroked="false">
          <v:path arrowok="t"/>
          <v:fill type="solid"/>
          <w10:wrap type="none"/>
        </v:shap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45.419998pt;margin-top:35.085781pt;width:312.75pt;height:71.25pt;mso-position-horizontal-relative:page;mso-position-vertical-relative:page;z-index:-15860736" type="#_x0000_t202" filled="false" stroked="false">
          <v:textbox inset="0,0,0,0">
            <w:txbxContent>
              <w:p>
                <w:pPr>
                  <w:spacing w:line="360" w:lineRule="auto" w:before="13"/>
                  <w:ind w:left="20" w:right="1424" w:firstLine="0"/>
                  <w:jc w:val="left"/>
                  <w:rPr>
                    <w:b/>
                    <w:sz w:val="22"/>
                  </w:rPr>
                </w:pPr>
                <w:r>
                  <w:rPr>
                    <w:b/>
                    <w:sz w:val="22"/>
                  </w:rPr>
                  <w:t>TRIBUNAL REGIONAL ELEITORAL DA BAHIA SECRETARIA DE CONTROLE INTERNO</w:t>
                </w:r>
              </w:p>
              <w:p>
                <w:pPr>
                  <w:spacing w:before="0"/>
                  <w:ind w:left="20" w:right="0" w:firstLine="0"/>
                  <w:jc w:val="left"/>
                  <w:rPr>
                    <w:b/>
                    <w:sz w:val="22"/>
                  </w:rPr>
                </w:pPr>
                <w:r>
                  <w:rPr>
                    <w:b/>
                    <w:sz w:val="22"/>
                  </w:rPr>
                  <w:t>COORDENADORIA DE AUDITORIA E CONTAS ELEITORAIS</w:t>
                </w:r>
              </w:p>
              <w:p>
                <w:pPr>
                  <w:spacing w:before="126"/>
                  <w:ind w:left="20" w:right="0" w:firstLine="0"/>
                  <w:jc w:val="left"/>
                  <w:rPr>
                    <w:b/>
                    <w:sz w:val="22"/>
                  </w:rPr>
                </w:pPr>
                <w:r>
                  <w:rPr>
                    <w:b/>
                    <w:sz w:val="22"/>
                  </w:rPr>
                  <w:t>SEÇÃO DE AUDITORIA INTERNA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458816">
          <wp:simplePos x="0" y="0"/>
          <wp:positionH relativeFrom="page">
            <wp:posOffset>902335</wp:posOffset>
          </wp:positionH>
          <wp:positionV relativeFrom="page">
            <wp:posOffset>483234</wp:posOffset>
          </wp:positionV>
          <wp:extent cx="866775" cy="911225"/>
          <wp:effectExtent l="0" t="0" r="0" b="0"/>
          <wp:wrapNone/>
          <wp:docPr id="5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6775" cy="911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66.744003pt;margin-top:111.979965pt;width:487.65pt;height:.5pt;mso-position-horizontal-relative:page;mso-position-vertical-relative:page;z-index:-15857152" coordorigin="1335,2240" coordsize="9753,10" path="m11087,2240l2859,2240,2854,2240,2844,2240,1335,2240,1335,2249,2844,2249,2854,2249,2859,2249,11087,2249,11087,2240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145.419998pt;margin-top:35.085781pt;width:312.75pt;height:71.25pt;mso-position-horizontal-relative:page;mso-position-vertical-relative:page;z-index:-15856640" type="#_x0000_t202" filled="false" stroked="false">
          <v:textbox inset="0,0,0,0">
            <w:txbxContent>
              <w:p>
                <w:pPr>
                  <w:spacing w:line="360" w:lineRule="auto" w:before="13"/>
                  <w:ind w:left="20" w:right="1424" w:firstLine="0"/>
                  <w:jc w:val="left"/>
                  <w:rPr>
                    <w:b/>
                    <w:sz w:val="22"/>
                  </w:rPr>
                </w:pPr>
                <w:r>
                  <w:rPr>
                    <w:b/>
                    <w:sz w:val="22"/>
                  </w:rPr>
                  <w:t>TRIBUNAL REGIONAL ELEITORAL DA BAHIA SECRETARIA DE CONTROLE INTERNO</w:t>
                </w:r>
              </w:p>
              <w:p>
                <w:pPr>
                  <w:spacing w:before="0"/>
                  <w:ind w:left="20" w:right="0" w:firstLine="0"/>
                  <w:jc w:val="left"/>
                  <w:rPr>
                    <w:b/>
                    <w:sz w:val="22"/>
                  </w:rPr>
                </w:pPr>
                <w:r>
                  <w:rPr>
                    <w:b/>
                    <w:sz w:val="22"/>
                  </w:rPr>
                  <w:t>COORDENADORIA DE AUDITORIA E CONTAS ELEITORAIS</w:t>
                </w:r>
              </w:p>
              <w:p>
                <w:pPr>
                  <w:spacing w:before="126"/>
                  <w:ind w:left="20" w:right="0" w:firstLine="0"/>
                  <w:jc w:val="left"/>
                  <w:rPr>
                    <w:b/>
                    <w:sz w:val="22"/>
                  </w:rPr>
                </w:pPr>
                <w:r>
                  <w:rPr>
                    <w:b/>
                    <w:sz w:val="22"/>
                  </w:rPr>
                  <w:t>SEÇÃO DE AUDITORIA INTERNA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462912">
          <wp:simplePos x="0" y="0"/>
          <wp:positionH relativeFrom="page">
            <wp:posOffset>902335</wp:posOffset>
          </wp:positionH>
          <wp:positionV relativeFrom="page">
            <wp:posOffset>483234</wp:posOffset>
          </wp:positionV>
          <wp:extent cx="866775" cy="911225"/>
          <wp:effectExtent l="0" t="0" r="0" b="0"/>
          <wp:wrapNone/>
          <wp:docPr id="7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6775" cy="911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66.744003pt;margin-top:111.979965pt;width:487.65pt;height:.5pt;mso-position-horizontal-relative:page;mso-position-vertical-relative:page;z-index:-15853056" coordorigin="1335,2240" coordsize="9753,10" path="m11087,2240l2859,2240,2854,2240,2844,2240,1335,2240,1335,2249,2844,2249,2854,2249,2859,2249,11087,2249,11087,2240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145.419998pt;margin-top:35.085781pt;width:312.75pt;height:71.25pt;mso-position-horizontal-relative:page;mso-position-vertical-relative:page;z-index:-15852544" type="#_x0000_t202" filled="false" stroked="false">
          <v:textbox inset="0,0,0,0">
            <w:txbxContent>
              <w:p>
                <w:pPr>
                  <w:spacing w:line="360" w:lineRule="auto" w:before="13"/>
                  <w:ind w:left="20" w:right="1424" w:firstLine="0"/>
                  <w:jc w:val="left"/>
                  <w:rPr>
                    <w:b/>
                    <w:sz w:val="22"/>
                  </w:rPr>
                </w:pPr>
                <w:r>
                  <w:rPr>
                    <w:b/>
                    <w:sz w:val="22"/>
                  </w:rPr>
                  <w:t>TRIBUNAL REGIONAL ELEITORAL DA BAHIA SECRETARIA DE CONTROLE INTERNO</w:t>
                </w:r>
              </w:p>
              <w:p>
                <w:pPr>
                  <w:spacing w:before="0"/>
                  <w:ind w:left="20" w:right="0" w:firstLine="0"/>
                  <w:jc w:val="left"/>
                  <w:rPr>
                    <w:b/>
                    <w:sz w:val="22"/>
                  </w:rPr>
                </w:pPr>
                <w:r>
                  <w:rPr>
                    <w:b/>
                    <w:sz w:val="22"/>
                  </w:rPr>
                  <w:t>COORDENADORIA DE AUDITORIA E CONTAS ELEITORAIS</w:t>
                </w:r>
              </w:p>
              <w:p>
                <w:pPr>
                  <w:spacing w:before="126"/>
                  <w:ind w:left="20" w:right="0" w:firstLine="0"/>
                  <w:jc w:val="left"/>
                  <w:rPr>
                    <w:b/>
                    <w:sz w:val="22"/>
                  </w:rPr>
                </w:pPr>
                <w:r>
                  <w:rPr>
                    <w:b/>
                    <w:sz w:val="22"/>
                  </w:rPr>
                  <w:t>SEÇÃO DE AUDITORIA INTERNA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467008">
          <wp:simplePos x="0" y="0"/>
          <wp:positionH relativeFrom="page">
            <wp:posOffset>902335</wp:posOffset>
          </wp:positionH>
          <wp:positionV relativeFrom="page">
            <wp:posOffset>483234</wp:posOffset>
          </wp:positionV>
          <wp:extent cx="866775" cy="911225"/>
          <wp:effectExtent l="0" t="0" r="0" b="0"/>
          <wp:wrapNone/>
          <wp:docPr id="9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6775" cy="911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66.744003pt;margin-top:111.979965pt;width:487.65pt;height:.5pt;mso-position-horizontal-relative:page;mso-position-vertical-relative:page;z-index:-15848960" coordorigin="1335,2240" coordsize="9753,10" path="m11087,2240l2859,2240,2854,2240,2844,2240,1335,2240,1335,2249,2844,2249,2854,2249,2859,2249,11087,2249,11087,2240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145.419998pt;margin-top:35.085781pt;width:312.75pt;height:71.25pt;mso-position-horizontal-relative:page;mso-position-vertical-relative:page;z-index:-15848448" type="#_x0000_t202" filled="false" stroked="false">
          <v:textbox inset="0,0,0,0">
            <w:txbxContent>
              <w:p>
                <w:pPr>
                  <w:spacing w:line="360" w:lineRule="auto" w:before="13"/>
                  <w:ind w:left="20" w:right="1424" w:firstLine="0"/>
                  <w:jc w:val="left"/>
                  <w:rPr>
                    <w:b/>
                    <w:sz w:val="22"/>
                  </w:rPr>
                </w:pPr>
                <w:r>
                  <w:rPr>
                    <w:b/>
                    <w:sz w:val="22"/>
                  </w:rPr>
                  <w:t>TRIBUNAL REGIONAL ELEITORAL DA BAHIA SECRETARIA DE CONTROLE INTERNO</w:t>
                </w:r>
              </w:p>
              <w:p>
                <w:pPr>
                  <w:spacing w:before="0"/>
                  <w:ind w:left="20" w:right="0" w:firstLine="0"/>
                  <w:jc w:val="left"/>
                  <w:rPr>
                    <w:b/>
                    <w:sz w:val="22"/>
                  </w:rPr>
                </w:pPr>
                <w:r>
                  <w:rPr>
                    <w:b/>
                    <w:sz w:val="22"/>
                  </w:rPr>
                  <w:t>COORDENADORIA DE AUDITORIA E CONTAS ELEITORAIS</w:t>
                </w:r>
              </w:p>
              <w:p>
                <w:pPr>
                  <w:spacing w:before="126"/>
                  <w:ind w:left="20" w:right="0" w:firstLine="0"/>
                  <w:jc w:val="left"/>
                  <w:rPr>
                    <w:b/>
                    <w:sz w:val="22"/>
                  </w:rPr>
                </w:pPr>
                <w:r>
                  <w:rPr>
                    <w:b/>
                    <w:sz w:val="22"/>
                  </w:rPr>
                  <w:t>SEÇÃO DE AUDITORIA INTERNA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1"/>
      <w:numFmt w:val="lowerLetter"/>
      <w:lvlText w:val="%1."/>
      <w:lvlJc w:val="left"/>
      <w:pPr>
        <w:ind w:left="2254" w:hanging="360"/>
        <w:jc w:val="left"/>
      </w:pPr>
      <w:rPr>
        <w:rFonts w:hint="default" w:ascii="Times New Roman" w:hAnsi="Times New Roman" w:eastAsia="Times New Roman" w:cs="Times New Roman"/>
        <w:spacing w:val="-4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998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736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474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212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950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88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26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164" w:hanging="360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18" w:hanging="1440"/>
        <w:jc w:val="left"/>
      </w:pPr>
      <w:rPr>
        <w:rFonts w:hint="default" w:ascii="Arial" w:hAnsi="Arial" w:eastAsia="Arial" w:cs="Arial"/>
        <w:b/>
        <w:bCs/>
        <w:w w:val="99"/>
        <w:sz w:val="24"/>
        <w:szCs w:val="24"/>
        <w:lang w:val="pt-PT" w:eastAsia="en-US" w:bidi="ar-SA"/>
      </w:rPr>
    </w:lvl>
    <w:lvl w:ilvl="1">
      <w:start w:val="3"/>
      <w:numFmt w:val="lowerLetter"/>
      <w:lvlText w:val="%2."/>
      <w:lvlJc w:val="left"/>
      <w:pPr>
        <w:ind w:left="2254" w:hanging="360"/>
        <w:jc w:val="left"/>
      </w:pPr>
      <w:rPr>
        <w:rFonts w:hint="default" w:ascii="Times New Roman" w:hAnsi="Times New Roman" w:eastAsia="Times New Roman" w:cs="Times New Roman"/>
        <w:spacing w:val="-4"/>
        <w:w w:val="100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080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900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720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40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360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180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00" w:hanging="360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1"/>
      <w:numFmt w:val="upperRoman"/>
      <w:lvlText w:val="%1"/>
      <w:lvlJc w:val="left"/>
      <w:pPr>
        <w:ind w:left="519" w:hanging="401"/>
        <w:jc w:val="left"/>
      </w:pPr>
      <w:rPr>
        <w:rFonts w:hint="default" w:ascii="Arial" w:hAnsi="Arial" w:eastAsia="Arial" w:cs="Arial"/>
        <w:b/>
        <w:bCs/>
        <w:spacing w:val="-8"/>
        <w:w w:val="99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432" w:hanging="401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44" w:hanging="40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256" w:hanging="40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68" w:hanging="40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80" w:hanging="40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992" w:hanging="40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904" w:hanging="40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816" w:hanging="401"/>
      </w:pPr>
      <w:rPr>
        <w:rFonts w:hint="default"/>
        <w:lang w:val="pt-P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118"/>
      <w:outlineLvl w:val="1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ind w:left="118"/>
    </w:pPr>
    <w:rPr>
      <w:rFonts w:ascii="Arial" w:hAnsi="Arial" w:eastAsia="Arial" w:cs="Arial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footer" Target="footer3.xml"/><Relationship Id="rId12" Type="http://schemas.openxmlformats.org/officeDocument/2006/relationships/header" Target="header4.xml"/><Relationship Id="rId13" Type="http://schemas.openxmlformats.org/officeDocument/2006/relationships/footer" Target="footer4.xml"/><Relationship Id="rId14" Type="http://schemas.openxmlformats.org/officeDocument/2006/relationships/numbering" Target="numbering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2021-05-13T18:03:00Z</dcterms:created>
  <dcterms:modified xsi:type="dcterms:W3CDTF">2021-05-13T18:03:00Z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2021-05-13T00:00:00Z</vt:filetime>
  </property>
</Properties>
</file>