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054" w:rsidRPr="0069002E" w:rsidRDefault="00355054" w:rsidP="00355054">
      <w:pPr>
        <w:widowControl w:val="0"/>
        <w:tabs>
          <w:tab w:val="left" w:pos="214"/>
        </w:tabs>
        <w:spacing w:before="120"/>
        <w:jc w:val="center"/>
        <w:rPr>
          <w:b/>
          <w:sz w:val="24"/>
          <w:szCs w:val="24"/>
        </w:rPr>
      </w:pPr>
    </w:p>
    <w:p w:rsidR="00355054" w:rsidRPr="0069002E" w:rsidRDefault="00355054" w:rsidP="00355054">
      <w:pPr>
        <w:widowControl w:val="0"/>
        <w:tabs>
          <w:tab w:val="left" w:pos="214"/>
        </w:tabs>
        <w:spacing w:before="120"/>
        <w:jc w:val="center"/>
        <w:rPr>
          <w:b/>
          <w:sz w:val="24"/>
          <w:szCs w:val="24"/>
        </w:rPr>
      </w:pPr>
    </w:p>
    <w:p w:rsidR="00355054" w:rsidRPr="0069002E" w:rsidRDefault="00355054" w:rsidP="00355054">
      <w:pPr>
        <w:widowControl w:val="0"/>
        <w:tabs>
          <w:tab w:val="left" w:pos="214"/>
        </w:tabs>
        <w:spacing w:before="120"/>
        <w:jc w:val="center"/>
        <w:rPr>
          <w:b/>
          <w:sz w:val="24"/>
          <w:szCs w:val="24"/>
        </w:rPr>
      </w:pPr>
    </w:p>
    <w:p w:rsidR="00355054" w:rsidRPr="0069002E" w:rsidRDefault="00355054" w:rsidP="00355054">
      <w:pPr>
        <w:widowControl w:val="0"/>
        <w:tabs>
          <w:tab w:val="left" w:pos="214"/>
        </w:tabs>
        <w:spacing w:before="120"/>
        <w:jc w:val="center"/>
        <w:rPr>
          <w:b/>
          <w:sz w:val="24"/>
          <w:szCs w:val="24"/>
        </w:rPr>
      </w:pPr>
    </w:p>
    <w:p w:rsidR="00355054" w:rsidRPr="00F74D23" w:rsidRDefault="00355054" w:rsidP="00355054">
      <w:pPr>
        <w:widowControl w:val="0"/>
        <w:tabs>
          <w:tab w:val="left" w:pos="214"/>
        </w:tabs>
        <w:spacing w:before="120"/>
        <w:jc w:val="center"/>
        <w:rPr>
          <w:b/>
          <w:sz w:val="24"/>
          <w:szCs w:val="24"/>
        </w:rPr>
      </w:pPr>
    </w:p>
    <w:p w:rsidR="00355054" w:rsidRPr="00F74D23" w:rsidRDefault="00355054" w:rsidP="00355054">
      <w:pPr>
        <w:widowControl w:val="0"/>
        <w:tabs>
          <w:tab w:val="left" w:pos="214"/>
        </w:tabs>
        <w:spacing w:before="120"/>
        <w:jc w:val="center"/>
        <w:rPr>
          <w:b/>
          <w:sz w:val="24"/>
          <w:szCs w:val="24"/>
        </w:rPr>
      </w:pPr>
    </w:p>
    <w:p w:rsidR="00A1504D" w:rsidRPr="00F74D23" w:rsidRDefault="00A1504D" w:rsidP="0061372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355054" w:rsidRPr="00F74D23" w:rsidRDefault="00355054" w:rsidP="0061372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355054" w:rsidRPr="00F74D23" w:rsidRDefault="00355054" w:rsidP="0061372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A1504D" w:rsidRPr="00F74D23" w:rsidRDefault="00495A98" w:rsidP="00355054">
      <w:pPr>
        <w:spacing w:line="360" w:lineRule="auto"/>
        <w:jc w:val="center"/>
        <w:rPr>
          <w:b/>
          <w:sz w:val="24"/>
          <w:szCs w:val="24"/>
        </w:rPr>
      </w:pPr>
      <w:r w:rsidRPr="00F74D23">
        <w:rPr>
          <w:b/>
          <w:sz w:val="24"/>
          <w:szCs w:val="24"/>
        </w:rPr>
        <w:t>RELATÓRIO</w:t>
      </w:r>
      <w:r w:rsidR="00914D3A" w:rsidRPr="00F74D23">
        <w:rPr>
          <w:b/>
          <w:sz w:val="24"/>
          <w:szCs w:val="24"/>
        </w:rPr>
        <w:t xml:space="preserve"> DE FISCALIZAÇÃO </w:t>
      </w:r>
      <w:r w:rsidR="001C548E" w:rsidRPr="00F74D23">
        <w:rPr>
          <w:b/>
          <w:sz w:val="24"/>
          <w:szCs w:val="24"/>
        </w:rPr>
        <w:t xml:space="preserve">DOS PROCEDIMENTOS LICITATÓRIOS RELATIVOS AO </w:t>
      </w:r>
      <w:r w:rsidR="00F5717C" w:rsidRPr="00F74D23">
        <w:rPr>
          <w:b/>
          <w:sz w:val="24"/>
          <w:szCs w:val="24"/>
        </w:rPr>
        <w:t xml:space="preserve">PRIMEIRO </w:t>
      </w:r>
      <w:r w:rsidR="00111B2A" w:rsidRPr="00F74D23">
        <w:rPr>
          <w:b/>
          <w:sz w:val="24"/>
          <w:szCs w:val="24"/>
        </w:rPr>
        <w:t>SEMESTRE DE 2016</w:t>
      </w:r>
    </w:p>
    <w:p w:rsidR="00355054" w:rsidRPr="00F74D23" w:rsidRDefault="00355054" w:rsidP="00355054">
      <w:pPr>
        <w:widowControl w:val="0"/>
        <w:tabs>
          <w:tab w:val="left" w:pos="214"/>
        </w:tabs>
        <w:spacing w:before="120"/>
        <w:jc w:val="center"/>
        <w:rPr>
          <w:b/>
          <w:sz w:val="24"/>
          <w:szCs w:val="24"/>
        </w:rPr>
      </w:pPr>
    </w:p>
    <w:p w:rsidR="003506AB" w:rsidRPr="00F74D23" w:rsidRDefault="003506AB" w:rsidP="000A78F6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:rsidR="00A1504D" w:rsidRPr="00F74D23" w:rsidRDefault="00A1504D" w:rsidP="0061372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355054" w:rsidRPr="00F74D23" w:rsidRDefault="00355054" w:rsidP="00355054">
      <w:pPr>
        <w:spacing w:after="0"/>
        <w:jc w:val="center"/>
        <w:rPr>
          <w:b/>
          <w:sz w:val="24"/>
          <w:szCs w:val="24"/>
        </w:rPr>
      </w:pPr>
    </w:p>
    <w:p w:rsidR="00355054" w:rsidRPr="00F74D23" w:rsidRDefault="00355054" w:rsidP="00355054">
      <w:pPr>
        <w:spacing w:after="0"/>
        <w:jc w:val="center"/>
        <w:rPr>
          <w:b/>
          <w:sz w:val="24"/>
          <w:szCs w:val="24"/>
        </w:rPr>
      </w:pPr>
    </w:p>
    <w:p w:rsidR="00355054" w:rsidRPr="00F74D23" w:rsidRDefault="00355054" w:rsidP="00355054">
      <w:pPr>
        <w:spacing w:after="0"/>
        <w:jc w:val="center"/>
        <w:rPr>
          <w:b/>
          <w:sz w:val="24"/>
          <w:szCs w:val="24"/>
        </w:rPr>
      </w:pPr>
    </w:p>
    <w:p w:rsidR="009E5DF0" w:rsidRPr="00F74D23" w:rsidRDefault="009E5DF0" w:rsidP="00355054">
      <w:pPr>
        <w:spacing w:after="0"/>
        <w:jc w:val="center"/>
        <w:rPr>
          <w:b/>
          <w:sz w:val="24"/>
          <w:szCs w:val="24"/>
        </w:rPr>
      </w:pPr>
    </w:p>
    <w:p w:rsidR="009E5DF0" w:rsidRPr="00F74D23" w:rsidRDefault="009E5DF0" w:rsidP="00355054">
      <w:pPr>
        <w:spacing w:after="0"/>
        <w:jc w:val="center"/>
        <w:rPr>
          <w:b/>
          <w:sz w:val="24"/>
          <w:szCs w:val="24"/>
        </w:rPr>
      </w:pPr>
    </w:p>
    <w:p w:rsidR="009E5DF0" w:rsidRPr="00F74D23" w:rsidRDefault="009E5DF0" w:rsidP="00355054">
      <w:pPr>
        <w:spacing w:after="0"/>
        <w:jc w:val="center"/>
        <w:rPr>
          <w:b/>
          <w:sz w:val="24"/>
          <w:szCs w:val="24"/>
        </w:rPr>
      </w:pPr>
    </w:p>
    <w:p w:rsidR="00355054" w:rsidRPr="00F74D23" w:rsidRDefault="00355054" w:rsidP="00355054">
      <w:pPr>
        <w:spacing w:after="0"/>
        <w:jc w:val="center"/>
        <w:rPr>
          <w:b/>
          <w:sz w:val="24"/>
          <w:szCs w:val="24"/>
        </w:rPr>
      </w:pPr>
    </w:p>
    <w:p w:rsidR="00355054" w:rsidRPr="00F74D23" w:rsidRDefault="00355054" w:rsidP="00355054">
      <w:pPr>
        <w:spacing w:after="0"/>
        <w:jc w:val="center"/>
        <w:rPr>
          <w:b/>
          <w:sz w:val="24"/>
          <w:szCs w:val="24"/>
        </w:rPr>
      </w:pPr>
    </w:p>
    <w:p w:rsidR="00A1504D" w:rsidRPr="00F74D23" w:rsidRDefault="00A1504D" w:rsidP="0061372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494B5E" w:rsidRPr="00F74D23" w:rsidRDefault="00494B5E" w:rsidP="003506AB">
      <w:pPr>
        <w:spacing w:line="360" w:lineRule="auto"/>
        <w:jc w:val="center"/>
        <w:rPr>
          <w:sz w:val="24"/>
          <w:szCs w:val="24"/>
        </w:rPr>
      </w:pPr>
    </w:p>
    <w:p w:rsidR="00EF50F1" w:rsidRPr="00F74D23" w:rsidRDefault="00EF50F1" w:rsidP="003506AB">
      <w:pPr>
        <w:spacing w:line="360" w:lineRule="auto"/>
        <w:jc w:val="center"/>
        <w:rPr>
          <w:sz w:val="24"/>
          <w:szCs w:val="24"/>
        </w:rPr>
      </w:pPr>
    </w:p>
    <w:p w:rsidR="00A851C9" w:rsidRPr="00F74D23" w:rsidRDefault="00A851C9" w:rsidP="001F317A">
      <w:pPr>
        <w:spacing w:line="360" w:lineRule="auto"/>
        <w:rPr>
          <w:sz w:val="24"/>
          <w:szCs w:val="24"/>
        </w:rPr>
      </w:pPr>
    </w:p>
    <w:p w:rsidR="00850644" w:rsidRPr="00F74D23" w:rsidRDefault="00850644" w:rsidP="001206BD">
      <w:pPr>
        <w:spacing w:line="360" w:lineRule="auto"/>
        <w:rPr>
          <w:sz w:val="24"/>
          <w:szCs w:val="24"/>
        </w:rPr>
      </w:pPr>
    </w:p>
    <w:p w:rsidR="00A9155C" w:rsidRPr="00F74D23" w:rsidRDefault="00A9155C" w:rsidP="00A9155C">
      <w:pPr>
        <w:spacing w:after="0"/>
        <w:jc w:val="center"/>
        <w:rPr>
          <w:b/>
          <w:sz w:val="24"/>
          <w:szCs w:val="24"/>
        </w:rPr>
      </w:pPr>
      <w:r w:rsidRPr="00F74D23">
        <w:rPr>
          <w:b/>
          <w:sz w:val="24"/>
          <w:szCs w:val="24"/>
        </w:rPr>
        <w:t>Salvador - BA</w:t>
      </w:r>
    </w:p>
    <w:p w:rsidR="00A9155C" w:rsidRPr="00F74D23" w:rsidRDefault="00A81160" w:rsidP="00A9155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Fevereiro</w:t>
      </w:r>
      <w:r w:rsidR="00A9155C" w:rsidRPr="00F74D23">
        <w:rPr>
          <w:b/>
          <w:sz w:val="24"/>
          <w:szCs w:val="24"/>
        </w:rPr>
        <w:t>/</w:t>
      </w:r>
      <w:r w:rsidR="005E2368">
        <w:rPr>
          <w:b/>
          <w:sz w:val="24"/>
          <w:szCs w:val="24"/>
        </w:rPr>
        <w:t>2017</w:t>
      </w:r>
    </w:p>
    <w:p w:rsidR="00EF50F1" w:rsidRPr="00F74D23" w:rsidRDefault="00EF50F1" w:rsidP="003506AB">
      <w:pPr>
        <w:spacing w:line="360" w:lineRule="auto"/>
        <w:jc w:val="center"/>
        <w:rPr>
          <w:sz w:val="24"/>
          <w:szCs w:val="24"/>
        </w:rPr>
      </w:pPr>
    </w:p>
    <w:p w:rsidR="00EF50F1" w:rsidRPr="00F74D23" w:rsidRDefault="00EF50F1" w:rsidP="003506AB">
      <w:pPr>
        <w:spacing w:line="360" w:lineRule="auto"/>
        <w:jc w:val="center"/>
        <w:rPr>
          <w:sz w:val="24"/>
          <w:szCs w:val="24"/>
        </w:rPr>
      </w:pPr>
    </w:p>
    <w:p w:rsidR="001F317A" w:rsidRPr="00F74D23" w:rsidRDefault="001F317A" w:rsidP="003506AB">
      <w:pPr>
        <w:spacing w:line="360" w:lineRule="auto"/>
        <w:jc w:val="center"/>
        <w:rPr>
          <w:sz w:val="24"/>
          <w:szCs w:val="24"/>
        </w:rPr>
      </w:pPr>
    </w:p>
    <w:p w:rsidR="001206BD" w:rsidRPr="00F74D23" w:rsidRDefault="001206BD" w:rsidP="003506AB">
      <w:pPr>
        <w:spacing w:line="360" w:lineRule="auto"/>
        <w:jc w:val="center"/>
        <w:rPr>
          <w:sz w:val="24"/>
          <w:szCs w:val="24"/>
        </w:rPr>
      </w:pPr>
    </w:p>
    <w:p w:rsidR="0091712B" w:rsidRPr="00F74D23" w:rsidRDefault="0091712B" w:rsidP="00355054">
      <w:pPr>
        <w:spacing w:line="360" w:lineRule="auto"/>
        <w:jc w:val="center"/>
        <w:rPr>
          <w:b/>
          <w:sz w:val="24"/>
          <w:szCs w:val="24"/>
        </w:rPr>
      </w:pPr>
    </w:p>
    <w:p w:rsidR="00111B2A" w:rsidRPr="00F74D23" w:rsidRDefault="00111B2A" w:rsidP="00111B2A">
      <w:pPr>
        <w:spacing w:line="360" w:lineRule="auto"/>
        <w:jc w:val="center"/>
        <w:rPr>
          <w:b/>
          <w:sz w:val="24"/>
          <w:szCs w:val="24"/>
        </w:rPr>
      </w:pPr>
      <w:r w:rsidRPr="00F74D23">
        <w:rPr>
          <w:b/>
          <w:sz w:val="24"/>
          <w:szCs w:val="24"/>
        </w:rPr>
        <w:t xml:space="preserve">RELATÓRIO DE FISCALIZAÇÃO DOS PROCEDIMENTOS LICITATÓRIOS RELATIVOS AO </w:t>
      </w:r>
      <w:r w:rsidR="00295294">
        <w:rPr>
          <w:b/>
          <w:sz w:val="24"/>
          <w:szCs w:val="24"/>
        </w:rPr>
        <w:t xml:space="preserve">PRIMEIRO </w:t>
      </w:r>
      <w:r w:rsidRPr="00F74D23">
        <w:rPr>
          <w:b/>
          <w:sz w:val="24"/>
          <w:szCs w:val="24"/>
        </w:rPr>
        <w:t>SEMESTRE DE 2016</w:t>
      </w:r>
    </w:p>
    <w:p w:rsidR="001C548E" w:rsidRPr="00F74D23" w:rsidRDefault="001C548E" w:rsidP="001C548E">
      <w:pPr>
        <w:spacing w:line="360" w:lineRule="auto"/>
        <w:jc w:val="center"/>
        <w:rPr>
          <w:b/>
          <w:sz w:val="24"/>
          <w:szCs w:val="24"/>
        </w:rPr>
      </w:pPr>
    </w:p>
    <w:p w:rsidR="00783C52" w:rsidRPr="00F74D23" w:rsidRDefault="00783C52" w:rsidP="00355054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:rsidR="00AB6882" w:rsidRPr="00F74D23" w:rsidRDefault="001F317A" w:rsidP="00AB6882">
      <w:pPr>
        <w:spacing w:after="0"/>
        <w:ind w:left="3200"/>
        <w:jc w:val="both"/>
        <w:rPr>
          <w:sz w:val="24"/>
          <w:szCs w:val="24"/>
        </w:rPr>
      </w:pPr>
      <w:r w:rsidRPr="00F74D23">
        <w:rPr>
          <w:sz w:val="24"/>
          <w:szCs w:val="24"/>
        </w:rPr>
        <w:t xml:space="preserve">Relatório preliminar de fiscalização dos procedimentos licitatórios relativos ao </w:t>
      </w:r>
      <w:r w:rsidR="00295294">
        <w:rPr>
          <w:sz w:val="24"/>
          <w:szCs w:val="24"/>
        </w:rPr>
        <w:t xml:space="preserve">primeiro </w:t>
      </w:r>
      <w:r w:rsidRPr="00F74D23">
        <w:rPr>
          <w:sz w:val="24"/>
          <w:szCs w:val="24"/>
        </w:rPr>
        <w:t>semestre</w:t>
      </w:r>
      <w:r w:rsidR="00295294">
        <w:rPr>
          <w:sz w:val="24"/>
          <w:szCs w:val="24"/>
        </w:rPr>
        <w:t xml:space="preserve"> de</w:t>
      </w:r>
      <w:r w:rsidRPr="00F74D23">
        <w:rPr>
          <w:sz w:val="24"/>
          <w:szCs w:val="24"/>
        </w:rPr>
        <w:t xml:space="preserve"> 2016</w:t>
      </w:r>
      <w:r w:rsidRPr="002F3A3C">
        <w:rPr>
          <w:sz w:val="24"/>
          <w:szCs w:val="24"/>
        </w:rPr>
        <w:t>,</w:t>
      </w:r>
      <w:r w:rsidR="00355054" w:rsidRPr="002F3A3C">
        <w:rPr>
          <w:sz w:val="24"/>
          <w:szCs w:val="24"/>
        </w:rPr>
        <w:t xml:space="preserve"> amparada</w:t>
      </w:r>
      <w:r w:rsidR="00355054" w:rsidRPr="00F74D23">
        <w:rPr>
          <w:sz w:val="24"/>
          <w:szCs w:val="24"/>
        </w:rPr>
        <w:t xml:space="preserve"> pelo Plano Anual de </w:t>
      </w:r>
      <w:r w:rsidR="00111B2A" w:rsidRPr="00F74D23">
        <w:rPr>
          <w:sz w:val="24"/>
          <w:szCs w:val="24"/>
        </w:rPr>
        <w:t>Atividades 2016 (PAA 2016</w:t>
      </w:r>
      <w:r w:rsidR="00AB6882" w:rsidRPr="00F74D23">
        <w:rPr>
          <w:sz w:val="24"/>
          <w:szCs w:val="24"/>
        </w:rPr>
        <w:t xml:space="preserve">), aprovado por meio da Portaria da Presidência do TRE-BA nº </w:t>
      </w:r>
      <w:r w:rsidR="00111B2A" w:rsidRPr="00F74D23">
        <w:rPr>
          <w:sz w:val="24"/>
          <w:szCs w:val="24"/>
        </w:rPr>
        <w:t>538</w:t>
      </w:r>
      <w:r w:rsidR="00AB6882" w:rsidRPr="00F74D23">
        <w:rPr>
          <w:sz w:val="24"/>
          <w:szCs w:val="24"/>
        </w:rPr>
        <w:t>, de</w:t>
      </w:r>
      <w:r w:rsidR="00111B2A" w:rsidRPr="00F74D23">
        <w:rPr>
          <w:sz w:val="24"/>
          <w:szCs w:val="24"/>
        </w:rPr>
        <w:t xml:space="preserve"> 23 de novembro de 2015</w:t>
      </w:r>
      <w:r w:rsidR="00AB6882" w:rsidRPr="00F74D23">
        <w:rPr>
          <w:sz w:val="24"/>
          <w:szCs w:val="24"/>
        </w:rPr>
        <w:t>.</w:t>
      </w:r>
    </w:p>
    <w:p w:rsidR="00355054" w:rsidRPr="00F74D23" w:rsidRDefault="00355054" w:rsidP="00EF50F1">
      <w:pPr>
        <w:spacing w:after="0"/>
        <w:ind w:left="3200"/>
        <w:jc w:val="both"/>
        <w:rPr>
          <w:sz w:val="24"/>
          <w:szCs w:val="24"/>
        </w:rPr>
      </w:pPr>
      <w:r w:rsidRPr="00F74D23">
        <w:rPr>
          <w:sz w:val="24"/>
          <w:szCs w:val="24"/>
        </w:rPr>
        <w:t xml:space="preserve"> </w:t>
      </w:r>
    </w:p>
    <w:p w:rsidR="00B7409F" w:rsidRPr="00F74D23" w:rsidRDefault="00B7409F" w:rsidP="00EF50F1">
      <w:pPr>
        <w:spacing w:after="0"/>
        <w:ind w:left="3200"/>
        <w:jc w:val="both"/>
        <w:rPr>
          <w:sz w:val="24"/>
          <w:szCs w:val="24"/>
        </w:rPr>
      </w:pPr>
    </w:p>
    <w:p w:rsidR="00EF50F1" w:rsidRPr="00F74D23" w:rsidRDefault="00EF50F1" w:rsidP="00EF50F1">
      <w:pPr>
        <w:spacing w:after="0"/>
        <w:ind w:left="3200"/>
        <w:jc w:val="both"/>
        <w:rPr>
          <w:sz w:val="24"/>
          <w:szCs w:val="24"/>
        </w:rPr>
      </w:pPr>
    </w:p>
    <w:p w:rsidR="0077351F" w:rsidRPr="00F74D23" w:rsidRDefault="007320F3" w:rsidP="00EF50F1">
      <w:pPr>
        <w:spacing w:after="0"/>
        <w:ind w:left="3200"/>
        <w:jc w:val="both"/>
        <w:rPr>
          <w:sz w:val="24"/>
          <w:szCs w:val="24"/>
        </w:rPr>
      </w:pPr>
      <w:r w:rsidRPr="00F74D23">
        <w:rPr>
          <w:sz w:val="24"/>
          <w:szCs w:val="24"/>
        </w:rPr>
        <w:t xml:space="preserve">Elaboração: Seção de Acompanhamento e Orientação </w:t>
      </w:r>
      <w:r w:rsidR="00303151" w:rsidRPr="00F74D23">
        <w:rPr>
          <w:sz w:val="24"/>
          <w:szCs w:val="24"/>
        </w:rPr>
        <w:t>à</w:t>
      </w:r>
      <w:r w:rsidRPr="00F74D23">
        <w:rPr>
          <w:sz w:val="24"/>
          <w:szCs w:val="24"/>
        </w:rPr>
        <w:t xml:space="preserve"> Gestão</w:t>
      </w:r>
      <w:r w:rsidR="00303151" w:rsidRPr="00F74D23">
        <w:rPr>
          <w:sz w:val="24"/>
          <w:szCs w:val="24"/>
        </w:rPr>
        <w:t xml:space="preserve"> Administrativa</w:t>
      </w:r>
      <w:r w:rsidRPr="00F74D23">
        <w:rPr>
          <w:sz w:val="24"/>
          <w:szCs w:val="24"/>
        </w:rPr>
        <w:t xml:space="preserve"> (SEAGES)</w:t>
      </w:r>
    </w:p>
    <w:p w:rsidR="00BF44D9" w:rsidRPr="00F74D23" w:rsidRDefault="007320F3" w:rsidP="00EF50F1">
      <w:pPr>
        <w:spacing w:after="0"/>
        <w:ind w:left="3200"/>
        <w:jc w:val="both"/>
        <w:rPr>
          <w:sz w:val="24"/>
          <w:szCs w:val="24"/>
        </w:rPr>
      </w:pPr>
      <w:r w:rsidRPr="00F74D23">
        <w:rPr>
          <w:sz w:val="24"/>
          <w:szCs w:val="24"/>
        </w:rPr>
        <w:t>Auditor</w:t>
      </w:r>
      <w:r w:rsidR="00BF44D9" w:rsidRPr="00F74D23">
        <w:rPr>
          <w:sz w:val="24"/>
          <w:szCs w:val="24"/>
        </w:rPr>
        <w:t>es</w:t>
      </w:r>
      <w:r w:rsidR="00B7409F" w:rsidRPr="00F74D23">
        <w:rPr>
          <w:sz w:val="24"/>
          <w:szCs w:val="24"/>
        </w:rPr>
        <w:t xml:space="preserve"> Interno</w:t>
      </w:r>
      <w:r w:rsidR="00BF44D9" w:rsidRPr="00F74D23">
        <w:rPr>
          <w:sz w:val="24"/>
          <w:szCs w:val="24"/>
        </w:rPr>
        <w:t>s</w:t>
      </w:r>
      <w:r w:rsidRPr="00F74D23">
        <w:rPr>
          <w:sz w:val="24"/>
          <w:szCs w:val="24"/>
        </w:rPr>
        <w:t xml:space="preserve">: </w:t>
      </w:r>
      <w:r w:rsidR="00111B2A" w:rsidRPr="00F74D23">
        <w:rPr>
          <w:sz w:val="24"/>
          <w:szCs w:val="24"/>
        </w:rPr>
        <w:t>Cristian Patric de Sousa Santos</w:t>
      </w:r>
    </w:p>
    <w:p w:rsidR="004F01A5" w:rsidRPr="00F74D23" w:rsidRDefault="004F01A5" w:rsidP="00EF50F1">
      <w:pPr>
        <w:spacing w:after="0"/>
        <w:ind w:left="3200"/>
        <w:jc w:val="both"/>
        <w:rPr>
          <w:sz w:val="24"/>
          <w:szCs w:val="24"/>
        </w:rPr>
      </w:pPr>
      <w:r w:rsidRPr="00F74D23">
        <w:rPr>
          <w:sz w:val="24"/>
          <w:szCs w:val="24"/>
        </w:rPr>
        <w:t xml:space="preserve">                                Eduardo Machado Oliveira</w:t>
      </w:r>
    </w:p>
    <w:p w:rsidR="0077351F" w:rsidRPr="00F74D23" w:rsidRDefault="0077351F">
      <w:pPr>
        <w:rPr>
          <w:sz w:val="24"/>
          <w:szCs w:val="24"/>
        </w:rPr>
      </w:pPr>
    </w:p>
    <w:p w:rsidR="0077351F" w:rsidRPr="00F74D23" w:rsidRDefault="0077351F">
      <w:pPr>
        <w:rPr>
          <w:sz w:val="24"/>
          <w:szCs w:val="24"/>
        </w:rPr>
      </w:pPr>
    </w:p>
    <w:p w:rsidR="0077351F" w:rsidRPr="00F74D23" w:rsidRDefault="0077351F">
      <w:pPr>
        <w:rPr>
          <w:sz w:val="24"/>
          <w:szCs w:val="24"/>
        </w:rPr>
      </w:pPr>
    </w:p>
    <w:p w:rsidR="00597523" w:rsidRPr="00F74D23" w:rsidRDefault="00597523">
      <w:pPr>
        <w:rPr>
          <w:sz w:val="24"/>
          <w:szCs w:val="24"/>
        </w:rPr>
      </w:pPr>
    </w:p>
    <w:p w:rsidR="00597523" w:rsidRPr="00F74D23" w:rsidRDefault="00597523">
      <w:pPr>
        <w:rPr>
          <w:sz w:val="24"/>
          <w:szCs w:val="24"/>
        </w:rPr>
      </w:pPr>
    </w:p>
    <w:p w:rsidR="00EF50F1" w:rsidRPr="00F74D23" w:rsidRDefault="00EF50F1">
      <w:pPr>
        <w:rPr>
          <w:sz w:val="24"/>
          <w:szCs w:val="24"/>
        </w:rPr>
      </w:pPr>
    </w:p>
    <w:p w:rsidR="0091712B" w:rsidRPr="00F74D23" w:rsidRDefault="0091712B">
      <w:pPr>
        <w:rPr>
          <w:sz w:val="24"/>
          <w:szCs w:val="24"/>
        </w:rPr>
      </w:pPr>
    </w:p>
    <w:p w:rsidR="001206BD" w:rsidRDefault="001206BD">
      <w:pPr>
        <w:rPr>
          <w:sz w:val="24"/>
          <w:szCs w:val="24"/>
        </w:rPr>
      </w:pPr>
    </w:p>
    <w:p w:rsidR="008B3285" w:rsidRDefault="008B3285">
      <w:pPr>
        <w:rPr>
          <w:sz w:val="24"/>
          <w:szCs w:val="24"/>
        </w:rPr>
      </w:pPr>
    </w:p>
    <w:p w:rsidR="008B3285" w:rsidRDefault="008B3285">
      <w:pPr>
        <w:rPr>
          <w:sz w:val="24"/>
          <w:szCs w:val="24"/>
        </w:rPr>
      </w:pPr>
    </w:p>
    <w:p w:rsidR="008B3285" w:rsidRDefault="008B3285">
      <w:pPr>
        <w:rPr>
          <w:sz w:val="24"/>
          <w:szCs w:val="24"/>
        </w:rPr>
      </w:pPr>
    </w:p>
    <w:p w:rsidR="008B3285" w:rsidRDefault="008B3285">
      <w:pPr>
        <w:rPr>
          <w:sz w:val="24"/>
          <w:szCs w:val="24"/>
        </w:rPr>
      </w:pPr>
    </w:p>
    <w:p w:rsidR="0077351F" w:rsidRPr="00F74D23" w:rsidRDefault="0077351F">
      <w:pPr>
        <w:rPr>
          <w:sz w:val="24"/>
          <w:szCs w:val="24"/>
        </w:rPr>
      </w:pPr>
    </w:p>
    <w:p w:rsidR="0077351F" w:rsidRPr="00F74D23" w:rsidRDefault="00DD7D90" w:rsidP="00B7409F">
      <w:pPr>
        <w:spacing w:after="0"/>
        <w:jc w:val="center"/>
        <w:rPr>
          <w:sz w:val="24"/>
          <w:szCs w:val="24"/>
        </w:rPr>
      </w:pPr>
      <w:r w:rsidRPr="00F74D23">
        <w:rPr>
          <w:sz w:val="24"/>
          <w:szCs w:val="24"/>
        </w:rPr>
        <w:t>Salvador</w:t>
      </w:r>
      <w:r w:rsidR="0077351F" w:rsidRPr="00F74D23">
        <w:rPr>
          <w:sz w:val="24"/>
          <w:szCs w:val="24"/>
        </w:rPr>
        <w:t xml:space="preserve"> - </w:t>
      </w:r>
      <w:r w:rsidR="001B54E1" w:rsidRPr="00F74D23">
        <w:rPr>
          <w:sz w:val="24"/>
          <w:szCs w:val="24"/>
        </w:rPr>
        <w:t>BA</w:t>
      </w:r>
    </w:p>
    <w:p w:rsidR="0077351F" w:rsidRPr="00F74D23" w:rsidRDefault="00A81160" w:rsidP="00B7409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Fevereiro</w:t>
      </w:r>
      <w:r w:rsidR="005E2368">
        <w:rPr>
          <w:sz w:val="24"/>
          <w:szCs w:val="24"/>
        </w:rPr>
        <w:t>/2017</w:t>
      </w:r>
    </w:p>
    <w:p w:rsidR="00B95D7B" w:rsidRPr="00F74D23" w:rsidRDefault="00B95D7B" w:rsidP="001206BD">
      <w:pPr>
        <w:pStyle w:val="CabealhodoSumrio1"/>
        <w:rPr>
          <w:rFonts w:ascii="Times New Roman" w:hAnsi="Times New Roman"/>
          <w:caps/>
          <w:color w:val="auto"/>
          <w:sz w:val="24"/>
          <w:szCs w:val="24"/>
        </w:rPr>
      </w:pPr>
    </w:p>
    <w:p w:rsidR="001638B9" w:rsidRPr="00F74D23" w:rsidRDefault="001638B9" w:rsidP="004408FF">
      <w:pPr>
        <w:widowControl w:val="0"/>
        <w:tabs>
          <w:tab w:val="left" w:pos="0"/>
        </w:tabs>
        <w:spacing w:line="360" w:lineRule="auto"/>
        <w:jc w:val="center"/>
        <w:rPr>
          <w:b/>
          <w:sz w:val="24"/>
          <w:szCs w:val="24"/>
        </w:rPr>
      </w:pPr>
      <w:r w:rsidRPr="00F74D23">
        <w:rPr>
          <w:b/>
          <w:sz w:val="24"/>
          <w:szCs w:val="24"/>
        </w:rPr>
        <w:t>RESUMO</w:t>
      </w:r>
    </w:p>
    <w:p w:rsidR="002F3A3C" w:rsidRDefault="004408FF" w:rsidP="00F73BFF">
      <w:pPr>
        <w:ind w:firstLine="1134"/>
        <w:jc w:val="both"/>
        <w:rPr>
          <w:rFonts w:cs="Arial"/>
          <w:sz w:val="24"/>
          <w:szCs w:val="24"/>
        </w:rPr>
      </w:pPr>
      <w:r w:rsidRPr="00F74D23">
        <w:rPr>
          <w:sz w:val="24"/>
          <w:szCs w:val="24"/>
        </w:rPr>
        <w:t xml:space="preserve">A Secretaria de Controle Interno e Auditoria (SCI), por intermédio da Seção de Acompanhamento e Orientação à Gestão </w:t>
      </w:r>
      <w:r w:rsidRPr="00F73BFF">
        <w:rPr>
          <w:sz w:val="24"/>
          <w:szCs w:val="24"/>
        </w:rPr>
        <w:t>Administrativa</w:t>
      </w:r>
      <w:r w:rsidR="00B57687" w:rsidRPr="00F73BFF">
        <w:rPr>
          <w:sz w:val="24"/>
          <w:szCs w:val="24"/>
        </w:rPr>
        <w:t xml:space="preserve"> </w:t>
      </w:r>
      <w:r w:rsidR="002F3A3C" w:rsidRPr="00F73BFF">
        <w:rPr>
          <w:sz w:val="24"/>
          <w:szCs w:val="24"/>
        </w:rPr>
        <w:t>(SEAGES)</w:t>
      </w:r>
      <w:r w:rsidRPr="00F73BFF">
        <w:rPr>
          <w:sz w:val="24"/>
          <w:szCs w:val="24"/>
        </w:rPr>
        <w:t>, vinculada</w:t>
      </w:r>
      <w:r w:rsidRPr="00F74D23">
        <w:rPr>
          <w:sz w:val="24"/>
          <w:szCs w:val="24"/>
        </w:rPr>
        <w:t xml:space="preserve"> à Coordenadoria de Auditoria, Acompanhamento e Orientação da Gestão (COGES), realizou a </w:t>
      </w:r>
      <w:r w:rsidRPr="00F74D23">
        <w:rPr>
          <w:rFonts w:cs="Arial"/>
          <w:sz w:val="24"/>
          <w:szCs w:val="24"/>
        </w:rPr>
        <w:t>fiscalização dos procedimentos licitatórios concluídos no primeiro semestre de 2016, com o objetivo de avaliar a conformidade e regularidade das fases interna e externa, notadamente quanto à legalidade dos atos que compõem o proce</w:t>
      </w:r>
      <w:r w:rsidR="003C5B4F" w:rsidRPr="00F74D23">
        <w:rPr>
          <w:rFonts w:cs="Arial"/>
          <w:sz w:val="24"/>
          <w:szCs w:val="24"/>
        </w:rPr>
        <w:t xml:space="preserve">sso. </w:t>
      </w:r>
    </w:p>
    <w:p w:rsidR="002F3A3C" w:rsidRPr="008A5B0F" w:rsidRDefault="000F4F02" w:rsidP="00F73BFF">
      <w:pPr>
        <w:ind w:firstLine="1134"/>
        <w:jc w:val="both"/>
        <w:rPr>
          <w:rFonts w:cs="Arial"/>
          <w:sz w:val="24"/>
          <w:szCs w:val="24"/>
        </w:rPr>
      </w:pPr>
      <w:r w:rsidRPr="008A5B0F">
        <w:rPr>
          <w:rFonts w:eastAsia="Calibri"/>
          <w:sz w:val="24"/>
          <w:szCs w:val="24"/>
          <w:lang w:eastAsia="en-US"/>
        </w:rPr>
        <w:t xml:space="preserve">O referido exame decorreu de previsão constante do Plano Anual de Atividades da COGES </w:t>
      </w:r>
      <w:r w:rsidR="004408FF" w:rsidRPr="008A5B0F">
        <w:rPr>
          <w:rFonts w:cs="Arial"/>
          <w:sz w:val="24"/>
          <w:szCs w:val="24"/>
        </w:rPr>
        <w:t xml:space="preserve">(PAA2016). </w:t>
      </w:r>
      <w:r w:rsidR="00FE1971" w:rsidRPr="008A5B0F">
        <w:rPr>
          <w:rFonts w:cs="Arial"/>
          <w:sz w:val="24"/>
          <w:szCs w:val="24"/>
        </w:rPr>
        <w:t xml:space="preserve">A condução e fundamentação dos trabalhos firmaram-se na Resolução CNJ </w:t>
      </w:r>
      <w:r w:rsidR="004F5280" w:rsidRPr="008A5B0F">
        <w:rPr>
          <w:rFonts w:cs="Arial"/>
          <w:sz w:val="24"/>
          <w:szCs w:val="24"/>
        </w:rPr>
        <w:t>nº</w:t>
      </w:r>
      <w:r w:rsidR="00755BEC">
        <w:rPr>
          <w:rFonts w:cs="Arial"/>
          <w:sz w:val="24"/>
          <w:szCs w:val="24"/>
        </w:rPr>
        <w:t xml:space="preserve"> </w:t>
      </w:r>
      <w:r w:rsidR="00FE1971" w:rsidRPr="008A5B0F">
        <w:rPr>
          <w:rFonts w:cs="Arial"/>
          <w:sz w:val="24"/>
          <w:szCs w:val="24"/>
        </w:rPr>
        <w:t>171, de 1º de março de 2013</w:t>
      </w:r>
      <w:r w:rsidR="00F916B2" w:rsidRPr="008A5B0F">
        <w:rPr>
          <w:rFonts w:cs="Arial"/>
          <w:sz w:val="24"/>
          <w:szCs w:val="24"/>
        </w:rPr>
        <w:t>, que</w:t>
      </w:r>
      <w:r w:rsidR="00F73BFF" w:rsidRPr="008A5B0F">
        <w:rPr>
          <w:rFonts w:cs="Arial"/>
          <w:sz w:val="24"/>
          <w:szCs w:val="24"/>
        </w:rPr>
        <w:t xml:space="preserve"> </w:t>
      </w:r>
      <w:r w:rsidR="00F916B2" w:rsidRPr="008A5B0F">
        <w:rPr>
          <w:rFonts w:cs="Arial"/>
          <w:sz w:val="24"/>
          <w:szCs w:val="24"/>
        </w:rPr>
        <w:t>d</w:t>
      </w:r>
      <w:r w:rsidR="00F73BFF" w:rsidRPr="008A5B0F">
        <w:rPr>
          <w:rFonts w:cs="Arial"/>
          <w:sz w:val="24"/>
          <w:szCs w:val="24"/>
        </w:rPr>
        <w:t>ispõe sobre as normas técnicas de auditoria, inspeção administrativa e fiscalização nas unidades jurisdicionais vinculadas ao Conselho Nacional de Justiça</w:t>
      </w:r>
      <w:r w:rsidR="00FE1971" w:rsidRPr="008A5B0F">
        <w:rPr>
          <w:rFonts w:cs="Arial"/>
          <w:sz w:val="24"/>
          <w:szCs w:val="24"/>
        </w:rPr>
        <w:t xml:space="preserve">, na Resolução TRE-BA </w:t>
      </w:r>
      <w:r w:rsidR="004F5280" w:rsidRPr="008A5B0F">
        <w:rPr>
          <w:rFonts w:cs="Arial"/>
          <w:sz w:val="24"/>
          <w:szCs w:val="24"/>
        </w:rPr>
        <w:t>nº</w:t>
      </w:r>
      <w:r w:rsidR="00FE1971" w:rsidRPr="008A5B0F">
        <w:rPr>
          <w:rFonts w:cs="Arial"/>
          <w:sz w:val="24"/>
          <w:szCs w:val="24"/>
        </w:rPr>
        <w:t xml:space="preserve"> 06/2015</w:t>
      </w:r>
      <w:r w:rsidR="00F916B2" w:rsidRPr="008A5B0F">
        <w:rPr>
          <w:rFonts w:cs="Arial"/>
          <w:sz w:val="24"/>
          <w:szCs w:val="24"/>
        </w:rPr>
        <w:t>, que regulamenta e estabelece as atividades de auditoria, inspeção administrativa e fiscalização no âmbito da Secretaria do Tribunal Regional Eleitoral da Bahia e dos Cartórios das Zonas Eleitorais da Bahia</w:t>
      </w:r>
      <w:r w:rsidR="00FE1971" w:rsidRPr="008A5B0F">
        <w:rPr>
          <w:rFonts w:cs="Arial"/>
          <w:sz w:val="24"/>
          <w:szCs w:val="24"/>
        </w:rPr>
        <w:t xml:space="preserve">, nas Leis </w:t>
      </w:r>
      <w:r w:rsidR="004F5280" w:rsidRPr="008A5B0F">
        <w:rPr>
          <w:rFonts w:cs="Arial"/>
          <w:sz w:val="24"/>
          <w:szCs w:val="24"/>
        </w:rPr>
        <w:t>nº</w:t>
      </w:r>
      <w:r w:rsidR="00FE1971" w:rsidRPr="008A5B0F">
        <w:rPr>
          <w:rFonts w:cs="Arial"/>
          <w:sz w:val="24"/>
          <w:szCs w:val="24"/>
        </w:rPr>
        <w:t xml:space="preserve"> 8.666, de 21 de junho de 1993</w:t>
      </w:r>
      <w:r w:rsidR="00F916B2" w:rsidRPr="008A5B0F">
        <w:rPr>
          <w:rFonts w:cs="Arial"/>
          <w:sz w:val="24"/>
          <w:szCs w:val="24"/>
        </w:rPr>
        <w:t xml:space="preserve"> – Lei de Licitações e Contratos Administrativos –</w:t>
      </w:r>
      <w:r w:rsidR="00FE1971" w:rsidRPr="008A5B0F">
        <w:rPr>
          <w:rFonts w:cs="Arial"/>
          <w:sz w:val="24"/>
          <w:szCs w:val="24"/>
        </w:rPr>
        <w:t>, e</w:t>
      </w:r>
      <w:r w:rsidR="00F916B2" w:rsidRPr="008A5B0F">
        <w:rPr>
          <w:rFonts w:cs="Arial"/>
          <w:sz w:val="24"/>
          <w:szCs w:val="24"/>
        </w:rPr>
        <w:t xml:space="preserve"> 10.520, de 17 de julho de 2002 – Lei do Pregão –,</w:t>
      </w:r>
      <w:r w:rsidR="00FE1971" w:rsidRPr="008A5B0F">
        <w:rPr>
          <w:rFonts w:cs="Arial"/>
          <w:sz w:val="24"/>
          <w:szCs w:val="24"/>
        </w:rPr>
        <w:t xml:space="preserve"> nos Decretos </w:t>
      </w:r>
      <w:r w:rsidR="004F5280" w:rsidRPr="008A5B0F">
        <w:rPr>
          <w:rFonts w:cs="Arial"/>
          <w:sz w:val="24"/>
          <w:szCs w:val="24"/>
        </w:rPr>
        <w:t>nº</w:t>
      </w:r>
      <w:r w:rsidR="00F916B2" w:rsidRPr="008A5B0F">
        <w:rPr>
          <w:rFonts w:cs="Arial"/>
          <w:sz w:val="24"/>
          <w:szCs w:val="24"/>
        </w:rPr>
        <w:t xml:space="preserve"> 3.555, de </w:t>
      </w:r>
      <w:proofErr w:type="gramStart"/>
      <w:r w:rsidR="00F916B2" w:rsidRPr="008A5B0F">
        <w:rPr>
          <w:rFonts w:cs="Arial"/>
          <w:sz w:val="24"/>
          <w:szCs w:val="24"/>
        </w:rPr>
        <w:t>8</w:t>
      </w:r>
      <w:proofErr w:type="gramEnd"/>
      <w:r w:rsidR="00F916B2" w:rsidRPr="008A5B0F">
        <w:rPr>
          <w:rFonts w:cs="Arial"/>
          <w:sz w:val="24"/>
          <w:szCs w:val="24"/>
        </w:rPr>
        <w:t xml:space="preserve"> de agosto de 2000, que aprova o Regulamento para a modalidade de licitação denominada pregão, para aquisição de bens e serviços comuns</w:t>
      </w:r>
      <w:r w:rsidR="00223DB0" w:rsidRPr="008A5B0F">
        <w:rPr>
          <w:rFonts w:cs="Arial"/>
          <w:sz w:val="24"/>
          <w:szCs w:val="24"/>
        </w:rPr>
        <w:t>,</w:t>
      </w:r>
      <w:r w:rsidR="00852241" w:rsidRPr="008A5B0F">
        <w:rPr>
          <w:rFonts w:cs="Arial"/>
          <w:sz w:val="24"/>
          <w:szCs w:val="24"/>
        </w:rPr>
        <w:t xml:space="preserve"> </w:t>
      </w:r>
      <w:r w:rsidRPr="008A5B0F">
        <w:rPr>
          <w:rFonts w:cs="Arial"/>
          <w:sz w:val="24"/>
          <w:szCs w:val="24"/>
        </w:rPr>
        <w:t>e 5.450, de 31 de maio de 2005</w:t>
      </w:r>
      <w:r w:rsidR="007F71BB" w:rsidRPr="008A5B0F">
        <w:rPr>
          <w:rFonts w:cs="Arial"/>
          <w:sz w:val="24"/>
          <w:szCs w:val="24"/>
        </w:rPr>
        <w:t>, que r</w:t>
      </w:r>
      <w:r w:rsidR="00F916B2" w:rsidRPr="008A5B0F">
        <w:rPr>
          <w:rFonts w:cs="Arial"/>
          <w:sz w:val="24"/>
          <w:szCs w:val="24"/>
        </w:rPr>
        <w:t>egulamenta o pregão, na forma eletrônica, para aquisição de bens e serviços comuns.</w:t>
      </w:r>
      <w:r w:rsidR="00F73BFF" w:rsidRPr="008A5B0F">
        <w:rPr>
          <w:rFonts w:cs="Arial"/>
          <w:sz w:val="24"/>
          <w:szCs w:val="24"/>
        </w:rPr>
        <w:t xml:space="preserve"> </w:t>
      </w:r>
    </w:p>
    <w:p w:rsidR="002F3A3C" w:rsidRDefault="00FE1971" w:rsidP="00F73BFF">
      <w:pPr>
        <w:ind w:firstLine="1134"/>
        <w:jc w:val="both"/>
        <w:rPr>
          <w:sz w:val="24"/>
          <w:szCs w:val="24"/>
        </w:rPr>
      </w:pPr>
      <w:r w:rsidRPr="00F74D23">
        <w:rPr>
          <w:sz w:val="24"/>
          <w:szCs w:val="24"/>
        </w:rPr>
        <w:t xml:space="preserve">Após os exames e análises, </w:t>
      </w:r>
      <w:r w:rsidR="004F18B3">
        <w:rPr>
          <w:sz w:val="24"/>
          <w:szCs w:val="24"/>
        </w:rPr>
        <w:t>a partir</w:t>
      </w:r>
      <w:r w:rsidRPr="00F74D23">
        <w:rPr>
          <w:sz w:val="24"/>
          <w:szCs w:val="24"/>
        </w:rPr>
        <w:t xml:space="preserve"> das questões de auditoria formuladas na fase de planejamento, </w:t>
      </w:r>
      <w:r w:rsidR="00CE2945" w:rsidRPr="00F74D23">
        <w:rPr>
          <w:sz w:val="24"/>
          <w:szCs w:val="24"/>
        </w:rPr>
        <w:t xml:space="preserve">evidenciaram-se situações </w:t>
      </w:r>
      <w:r w:rsidR="004F18B3">
        <w:rPr>
          <w:sz w:val="24"/>
          <w:szCs w:val="24"/>
        </w:rPr>
        <w:t>desconformes com critérios adotados</w:t>
      </w:r>
      <w:r w:rsidR="00CE2945" w:rsidRPr="00F74D23">
        <w:rPr>
          <w:sz w:val="24"/>
          <w:szCs w:val="24"/>
        </w:rPr>
        <w:t xml:space="preserve">, das quais se destacam: ausência de estudos técnicos e de plano de trabalho para serviços preliminares à contratação; ausência de formação de grupo de trabalho ou comissão específica para elaboração de Termo de Referência ou Projeto Básico em casos de contratações inéditas ou complexas; </w:t>
      </w:r>
      <w:r w:rsidR="00030505" w:rsidRPr="00F74D23">
        <w:rPr>
          <w:sz w:val="24"/>
          <w:szCs w:val="24"/>
        </w:rPr>
        <w:t xml:space="preserve">não adoção de critérios de sustentabilidade; ofensa ao princípio da segregação de funções; morosidade na fase interna da licitação, </w:t>
      </w:r>
      <w:r w:rsidR="000F4F02">
        <w:rPr>
          <w:sz w:val="24"/>
          <w:szCs w:val="24"/>
        </w:rPr>
        <w:t>dentre outros</w:t>
      </w:r>
      <w:r w:rsidR="00030505" w:rsidRPr="00F74D23">
        <w:rPr>
          <w:sz w:val="24"/>
          <w:szCs w:val="24"/>
        </w:rPr>
        <w:t xml:space="preserve">. </w:t>
      </w:r>
    </w:p>
    <w:p w:rsidR="00FE1971" w:rsidRDefault="00030505" w:rsidP="00F73BFF">
      <w:pPr>
        <w:ind w:firstLine="1134"/>
        <w:jc w:val="both"/>
        <w:rPr>
          <w:sz w:val="24"/>
          <w:szCs w:val="24"/>
        </w:rPr>
      </w:pPr>
      <w:r w:rsidRPr="00F74D23">
        <w:rPr>
          <w:sz w:val="24"/>
          <w:szCs w:val="24"/>
        </w:rPr>
        <w:t xml:space="preserve">As propostas de encaminhamento formuladas, além </w:t>
      </w:r>
      <w:r w:rsidRPr="00F73BFF">
        <w:rPr>
          <w:sz w:val="24"/>
          <w:szCs w:val="24"/>
        </w:rPr>
        <w:t>de objetivar</w:t>
      </w:r>
      <w:r w:rsidR="00F73BFF" w:rsidRPr="00F73BFF">
        <w:rPr>
          <w:sz w:val="24"/>
          <w:szCs w:val="24"/>
        </w:rPr>
        <w:t>em</w:t>
      </w:r>
      <w:r w:rsidRPr="00F73BFF">
        <w:rPr>
          <w:sz w:val="24"/>
          <w:szCs w:val="24"/>
        </w:rPr>
        <w:t xml:space="preserve"> sanear fragilidades nos mecanismos de controle interno das unidades envolvidas no processo licitatório, aspiram assegurar à Administração </w:t>
      </w:r>
      <w:r w:rsidR="00B57687" w:rsidRPr="00F73BFF">
        <w:rPr>
          <w:sz w:val="24"/>
          <w:szCs w:val="24"/>
        </w:rPr>
        <w:t>incremento da</w:t>
      </w:r>
      <w:r w:rsidRPr="00F73BFF">
        <w:rPr>
          <w:sz w:val="24"/>
          <w:szCs w:val="24"/>
        </w:rPr>
        <w:t xml:space="preserve"> maturidade nos processos de contratações, melhorando o sistema de governança das aquisições públicas.</w:t>
      </w:r>
    </w:p>
    <w:p w:rsidR="002F3A3C" w:rsidRDefault="002F3A3C" w:rsidP="002F3A3C">
      <w:pPr>
        <w:spacing w:after="0"/>
        <w:ind w:firstLine="1134"/>
        <w:jc w:val="both"/>
        <w:rPr>
          <w:sz w:val="24"/>
          <w:szCs w:val="24"/>
        </w:rPr>
      </w:pPr>
    </w:p>
    <w:p w:rsidR="004408FF" w:rsidRPr="00F74D23" w:rsidRDefault="004408FF" w:rsidP="002F3A3C">
      <w:pPr>
        <w:spacing w:after="0"/>
        <w:ind w:firstLine="1134"/>
        <w:jc w:val="both"/>
        <w:rPr>
          <w:rFonts w:cs="Arial"/>
          <w:sz w:val="24"/>
          <w:szCs w:val="24"/>
        </w:rPr>
      </w:pPr>
    </w:p>
    <w:p w:rsidR="004408FF" w:rsidRPr="00F74D23" w:rsidRDefault="004408FF" w:rsidP="002F3A3C">
      <w:pPr>
        <w:spacing w:after="0"/>
        <w:ind w:firstLine="1134"/>
        <w:jc w:val="both"/>
        <w:rPr>
          <w:rFonts w:cs="Arial"/>
          <w:sz w:val="24"/>
          <w:szCs w:val="24"/>
        </w:rPr>
      </w:pPr>
    </w:p>
    <w:p w:rsidR="001638B9" w:rsidRPr="00F74D23" w:rsidRDefault="001638B9" w:rsidP="002F3A3C">
      <w:pPr>
        <w:pStyle w:val="Default"/>
        <w:ind w:firstLine="1134"/>
        <w:jc w:val="both"/>
        <w:rPr>
          <w:color w:val="FF0000"/>
        </w:rPr>
      </w:pPr>
    </w:p>
    <w:p w:rsidR="001638B9" w:rsidRPr="00F74D23" w:rsidRDefault="001638B9" w:rsidP="002F3A3C">
      <w:pPr>
        <w:pStyle w:val="Default"/>
        <w:ind w:firstLine="1134"/>
        <w:jc w:val="both"/>
      </w:pPr>
    </w:p>
    <w:p w:rsidR="001638B9" w:rsidRPr="00F74D23" w:rsidRDefault="001638B9" w:rsidP="002F3A3C">
      <w:pPr>
        <w:pStyle w:val="Default"/>
        <w:ind w:firstLine="1134"/>
        <w:jc w:val="both"/>
      </w:pPr>
    </w:p>
    <w:p w:rsidR="001638B9" w:rsidRPr="00F74D23" w:rsidRDefault="001638B9" w:rsidP="002F3A3C">
      <w:pPr>
        <w:pStyle w:val="Default"/>
        <w:ind w:firstLine="1134"/>
        <w:jc w:val="both"/>
      </w:pPr>
    </w:p>
    <w:p w:rsidR="001638B9" w:rsidRPr="00F74D23" w:rsidRDefault="001638B9" w:rsidP="001638B9">
      <w:pPr>
        <w:pStyle w:val="Default"/>
        <w:spacing w:after="120"/>
        <w:jc w:val="both"/>
      </w:pPr>
    </w:p>
    <w:p w:rsidR="001638B9" w:rsidRPr="00F74D23" w:rsidRDefault="001638B9" w:rsidP="001638B9">
      <w:pPr>
        <w:pStyle w:val="Default"/>
        <w:spacing w:after="120"/>
        <w:jc w:val="both"/>
      </w:pPr>
    </w:p>
    <w:p w:rsidR="000F4F02" w:rsidRDefault="000F4F02" w:rsidP="001638B9">
      <w:pPr>
        <w:pStyle w:val="Default"/>
        <w:spacing w:after="120"/>
        <w:jc w:val="both"/>
        <w:sectPr w:rsidR="000F4F02" w:rsidSect="00955FDF">
          <w:headerReference w:type="default" r:id="rId9"/>
          <w:footerReference w:type="even" r:id="rId10"/>
          <w:headerReference w:type="first" r:id="rId11"/>
          <w:footerReference w:type="first" r:id="rId12"/>
          <w:pgSz w:w="11907" w:h="16840" w:code="9"/>
          <w:pgMar w:top="1418" w:right="1134" w:bottom="1134" w:left="1418" w:header="283" w:footer="283" w:gutter="0"/>
          <w:pgNumType w:start="1"/>
          <w:cols w:space="708"/>
          <w:titlePg/>
          <w:docGrid w:linePitch="272"/>
        </w:sectPr>
      </w:pPr>
    </w:p>
    <w:p w:rsidR="004408FF" w:rsidRPr="00F74D23" w:rsidRDefault="004408FF" w:rsidP="00AE371B">
      <w:pPr>
        <w:pStyle w:val="CabealhodoSumrio1"/>
        <w:jc w:val="center"/>
        <w:rPr>
          <w:rFonts w:ascii="Times New Roman" w:hAnsi="Times New Roman"/>
          <w:caps/>
          <w:color w:val="auto"/>
          <w:sz w:val="24"/>
          <w:szCs w:val="24"/>
        </w:rPr>
      </w:pPr>
    </w:p>
    <w:p w:rsidR="00AE371B" w:rsidRPr="00F74D23" w:rsidRDefault="001206BD" w:rsidP="00AE371B">
      <w:pPr>
        <w:pStyle w:val="CabealhodoSumrio1"/>
        <w:jc w:val="center"/>
        <w:rPr>
          <w:rFonts w:ascii="Times New Roman" w:hAnsi="Times New Roman"/>
          <w:caps/>
          <w:color w:val="auto"/>
          <w:sz w:val="24"/>
          <w:szCs w:val="24"/>
        </w:rPr>
      </w:pPr>
      <w:r w:rsidRPr="00F74D23">
        <w:rPr>
          <w:rFonts w:ascii="Times New Roman" w:hAnsi="Times New Roman"/>
          <w:caps/>
          <w:color w:val="auto"/>
          <w:sz w:val="24"/>
          <w:szCs w:val="24"/>
        </w:rPr>
        <w:t>Sumário</w:t>
      </w:r>
    </w:p>
    <w:p w:rsidR="00AE371B" w:rsidRPr="00F74D23" w:rsidRDefault="00AE371B" w:rsidP="00AE371B">
      <w:pPr>
        <w:rPr>
          <w:sz w:val="24"/>
          <w:szCs w:val="24"/>
        </w:rPr>
      </w:pPr>
    </w:p>
    <w:p w:rsidR="00AE371B" w:rsidRPr="00F74D23" w:rsidRDefault="00AE371B" w:rsidP="00AE371B">
      <w:pPr>
        <w:rPr>
          <w:sz w:val="24"/>
          <w:szCs w:val="24"/>
        </w:rPr>
      </w:pPr>
    </w:p>
    <w:p w:rsidR="00AE371B" w:rsidRPr="00F74D23" w:rsidRDefault="00AE371B" w:rsidP="00AE371B">
      <w:pPr>
        <w:rPr>
          <w:sz w:val="24"/>
          <w:szCs w:val="24"/>
        </w:rPr>
      </w:pPr>
    </w:p>
    <w:p w:rsidR="00AE371B" w:rsidRPr="00F74D23" w:rsidRDefault="00AE371B" w:rsidP="00AE371B">
      <w:pPr>
        <w:rPr>
          <w:sz w:val="24"/>
          <w:szCs w:val="24"/>
        </w:rPr>
      </w:pPr>
    </w:p>
    <w:p w:rsidR="00AE371B" w:rsidRPr="00F74D23" w:rsidRDefault="00AE371B" w:rsidP="000913AB">
      <w:pPr>
        <w:pStyle w:val="Sumrio1"/>
        <w:rPr>
          <w:rFonts w:ascii="Calibri" w:hAnsi="Calibri"/>
        </w:rPr>
      </w:pPr>
      <w:r w:rsidRPr="00F74D23">
        <w:fldChar w:fldCharType="begin"/>
      </w:r>
      <w:r w:rsidRPr="00F74D23">
        <w:instrText xml:space="preserve"> TOC \o "1-3" \h \z \u </w:instrText>
      </w:r>
      <w:r w:rsidRPr="00F74D23">
        <w:fldChar w:fldCharType="separate"/>
      </w:r>
    </w:p>
    <w:p w:rsidR="00AE371B" w:rsidRPr="000913AB" w:rsidRDefault="00D66587" w:rsidP="000913AB">
      <w:pPr>
        <w:pStyle w:val="Sumrio1"/>
        <w:rPr>
          <w:rFonts w:ascii="Calibri" w:hAnsi="Calibri"/>
        </w:rPr>
      </w:pPr>
      <w:hyperlink w:anchor="_Toc396482381" w:history="1">
        <w:r w:rsidR="00DB2B69" w:rsidRPr="000913AB">
          <w:rPr>
            <w:rStyle w:val="Hyperlink"/>
            <w:color w:val="auto"/>
          </w:rPr>
          <w:t>1</w:t>
        </w:r>
        <w:r w:rsidR="001F317A" w:rsidRPr="000913AB">
          <w:rPr>
            <w:rStyle w:val="Hyperlink"/>
            <w:color w:val="auto"/>
          </w:rPr>
          <w:t>.</w:t>
        </w:r>
        <w:r w:rsidR="00AE371B" w:rsidRPr="000913AB">
          <w:rPr>
            <w:rFonts w:ascii="Calibri" w:hAnsi="Calibri"/>
          </w:rPr>
          <w:tab/>
        </w:r>
        <w:r w:rsidR="00AE371B" w:rsidRPr="000913AB">
          <w:rPr>
            <w:rStyle w:val="Hyperlink"/>
            <w:color w:val="auto"/>
          </w:rPr>
          <w:t>INTRODUÇÃO......................................................................</w:t>
        </w:r>
        <w:r w:rsidR="000F4F02" w:rsidRPr="000913AB">
          <w:rPr>
            <w:rStyle w:val="Hyperlink"/>
            <w:color w:val="auto"/>
          </w:rPr>
          <w:t>..............................</w:t>
        </w:r>
        <w:r w:rsidR="00AE371B" w:rsidRPr="000913AB">
          <w:rPr>
            <w:rStyle w:val="Hyperlink"/>
            <w:color w:val="auto"/>
          </w:rPr>
          <w:t>.</w:t>
        </w:r>
        <w:r w:rsidR="001F317A" w:rsidRPr="000913AB">
          <w:rPr>
            <w:rStyle w:val="Hyperlink"/>
            <w:color w:val="auto"/>
          </w:rPr>
          <w:t>.....</w:t>
        </w:r>
        <w:r w:rsidR="00F853B1" w:rsidRPr="000913AB">
          <w:rPr>
            <w:rStyle w:val="Hyperlink"/>
            <w:color w:val="auto"/>
          </w:rPr>
          <w:t>.</w:t>
        </w:r>
        <w:r w:rsidR="001F317A" w:rsidRPr="000913AB">
          <w:rPr>
            <w:rStyle w:val="Hyperlink"/>
            <w:color w:val="auto"/>
          </w:rPr>
          <w:t>............</w:t>
        </w:r>
        <w:r w:rsidR="00AE371B" w:rsidRPr="000913AB">
          <w:rPr>
            <w:rStyle w:val="Hyperlink"/>
            <w:color w:val="auto"/>
          </w:rPr>
          <w:t>.</w:t>
        </w:r>
      </w:hyperlink>
      <w:r w:rsidR="000913AB" w:rsidRPr="000913AB">
        <w:rPr>
          <w:rStyle w:val="Hyperlink"/>
          <w:color w:val="auto"/>
          <w:u w:val="none"/>
        </w:rPr>
        <w:t>5</w:t>
      </w:r>
    </w:p>
    <w:p w:rsidR="00AE371B" w:rsidRPr="00F74D23" w:rsidRDefault="00D66587" w:rsidP="000913AB">
      <w:pPr>
        <w:pStyle w:val="Sumrio1"/>
        <w:rPr>
          <w:rFonts w:ascii="Calibri" w:hAnsi="Calibri"/>
        </w:rPr>
      </w:pPr>
      <w:hyperlink w:anchor="_Toc396482382" w:history="1">
        <w:r w:rsidR="002E7C7F">
          <w:rPr>
            <w:rStyle w:val="Hyperlink"/>
          </w:rPr>
          <w:t>2</w:t>
        </w:r>
        <w:r w:rsidR="008D7B53" w:rsidRPr="00F74D23">
          <w:rPr>
            <w:rStyle w:val="Hyperlink"/>
          </w:rPr>
          <w:t>.</w:t>
        </w:r>
        <w:r w:rsidR="00AE371B" w:rsidRPr="00F74D23">
          <w:rPr>
            <w:rFonts w:ascii="Calibri" w:hAnsi="Calibri"/>
          </w:rPr>
          <w:tab/>
        </w:r>
        <w:r w:rsidR="00AE371B" w:rsidRPr="00F74D23">
          <w:rPr>
            <w:rStyle w:val="Hyperlink"/>
          </w:rPr>
          <w:t xml:space="preserve">ACHADOS DE </w:t>
        </w:r>
        <w:r w:rsidR="001F317A" w:rsidRPr="00F74D23">
          <w:rPr>
            <w:rStyle w:val="Hyperlink"/>
          </w:rPr>
          <w:t>FISCALIZAÇÃO</w:t>
        </w:r>
        <w:r w:rsidR="00AE371B" w:rsidRPr="00F74D23">
          <w:rPr>
            <w:webHidden/>
          </w:rPr>
          <w:tab/>
          <w:t>..</w:t>
        </w:r>
        <w:r w:rsidR="0076124D" w:rsidRPr="00F74D23">
          <w:rPr>
            <w:webHidden/>
          </w:rPr>
          <w:t>....</w:t>
        </w:r>
        <w:r w:rsidR="00AE371B" w:rsidRPr="00F74D23">
          <w:rPr>
            <w:webHidden/>
          </w:rPr>
          <w:t>.</w:t>
        </w:r>
        <w:r w:rsidR="001F317A" w:rsidRPr="00F74D23">
          <w:rPr>
            <w:webHidden/>
          </w:rPr>
          <w:t>..........................................................</w:t>
        </w:r>
        <w:r w:rsidR="000F4F02">
          <w:rPr>
            <w:webHidden/>
          </w:rPr>
          <w:t>..........</w:t>
        </w:r>
        <w:r w:rsidR="00F853B1">
          <w:rPr>
            <w:webHidden/>
          </w:rPr>
          <w:t>.</w:t>
        </w:r>
        <w:r w:rsidR="000F4F02">
          <w:rPr>
            <w:webHidden/>
          </w:rPr>
          <w:t>............</w:t>
        </w:r>
        <w:r w:rsidR="00AE371B" w:rsidRPr="00F74D23">
          <w:rPr>
            <w:webHidden/>
          </w:rPr>
          <w:t>.</w:t>
        </w:r>
        <w:r w:rsidR="0076124D" w:rsidRPr="00F74D23">
          <w:rPr>
            <w:webHidden/>
          </w:rPr>
          <w:t>.</w:t>
        </w:r>
        <w:r w:rsidR="00AE371B" w:rsidRPr="00F74D23">
          <w:rPr>
            <w:webHidden/>
          </w:rPr>
          <w:t>.</w:t>
        </w:r>
      </w:hyperlink>
      <w:r w:rsidR="000913AB">
        <w:t>6</w:t>
      </w:r>
    </w:p>
    <w:p w:rsidR="00AE371B" w:rsidRPr="00F74D23" w:rsidRDefault="00D66587" w:rsidP="000913AB">
      <w:pPr>
        <w:pStyle w:val="Sumrio1"/>
      </w:pPr>
      <w:hyperlink w:anchor="_Toc396482383" w:history="1">
        <w:r w:rsidR="002E7C7F">
          <w:rPr>
            <w:rStyle w:val="Hyperlink"/>
          </w:rPr>
          <w:t>3</w:t>
        </w:r>
        <w:r w:rsidR="008D7B53" w:rsidRPr="00F74D23">
          <w:rPr>
            <w:rStyle w:val="Hyperlink"/>
          </w:rPr>
          <w:t>.</w:t>
        </w:r>
        <w:r w:rsidR="00AE371B" w:rsidRPr="00F74D23">
          <w:rPr>
            <w:rFonts w:ascii="Calibri" w:hAnsi="Calibri"/>
          </w:rPr>
          <w:tab/>
        </w:r>
        <w:r w:rsidR="00AE371B" w:rsidRPr="00F74D23">
          <w:rPr>
            <w:rStyle w:val="Hyperlink"/>
          </w:rPr>
          <w:t>CONCLUSÃO</w:t>
        </w:r>
        <w:r w:rsidR="00AE371B" w:rsidRPr="00F74D23">
          <w:rPr>
            <w:webHidden/>
          </w:rPr>
          <w:tab/>
        </w:r>
        <w:r w:rsidR="001F317A" w:rsidRPr="00F74D23">
          <w:rPr>
            <w:webHidden/>
          </w:rPr>
          <w:t>........................</w:t>
        </w:r>
        <w:r w:rsidR="0076124D" w:rsidRPr="00F74D23">
          <w:rPr>
            <w:webHidden/>
          </w:rPr>
          <w:t>....</w:t>
        </w:r>
        <w:r w:rsidR="00AE371B" w:rsidRPr="00F74D23">
          <w:t>.</w:t>
        </w:r>
      </w:hyperlink>
      <w:r w:rsidR="00AE371B" w:rsidRPr="00F74D23">
        <w:tab/>
      </w:r>
      <w:r w:rsidR="000F4F02">
        <w:t>........</w:t>
      </w:r>
      <w:r w:rsidR="000913AB">
        <w:t>.</w:t>
      </w:r>
      <w:r w:rsidR="000F4F02">
        <w:t>.</w:t>
      </w:r>
      <w:r w:rsidR="000913AB">
        <w:t>11</w:t>
      </w:r>
    </w:p>
    <w:p w:rsidR="00AE371B" w:rsidRPr="00F74D23" w:rsidRDefault="002E7C7F" w:rsidP="00F13352">
      <w:pPr>
        <w:tabs>
          <w:tab w:val="left" w:pos="426"/>
        </w:tabs>
        <w:jc w:val="both"/>
        <w:rPr>
          <w:sz w:val="24"/>
          <w:szCs w:val="24"/>
        </w:rPr>
      </w:pPr>
      <w:r>
        <w:rPr>
          <w:rStyle w:val="Hyperlink"/>
          <w:noProof/>
          <w:color w:val="auto"/>
          <w:sz w:val="24"/>
          <w:szCs w:val="24"/>
          <w:u w:val="none"/>
        </w:rPr>
        <w:t>4</w:t>
      </w:r>
      <w:r w:rsidR="008D7B53" w:rsidRPr="00F74D23">
        <w:rPr>
          <w:rStyle w:val="Hyperlink"/>
          <w:noProof/>
          <w:color w:val="auto"/>
          <w:sz w:val="24"/>
          <w:szCs w:val="24"/>
          <w:u w:val="none"/>
        </w:rPr>
        <w:t>.</w:t>
      </w:r>
      <w:r w:rsidR="004B62E4" w:rsidRPr="00F74D23">
        <w:rPr>
          <w:rStyle w:val="Hyperlink"/>
          <w:noProof/>
          <w:color w:val="auto"/>
          <w:sz w:val="24"/>
          <w:szCs w:val="24"/>
          <w:u w:val="none"/>
        </w:rPr>
        <w:tab/>
      </w:r>
      <w:r w:rsidR="009070CA">
        <w:rPr>
          <w:rStyle w:val="Hyperlink"/>
          <w:noProof/>
          <w:color w:val="auto"/>
          <w:sz w:val="24"/>
          <w:szCs w:val="24"/>
          <w:u w:val="none"/>
        </w:rPr>
        <w:t>PROPOSTAS DE ENCAMINHAMENTO</w:t>
      </w:r>
      <w:r w:rsidR="001F317A" w:rsidRPr="00F74D23">
        <w:rPr>
          <w:rStyle w:val="Hyperlink"/>
          <w:noProof/>
          <w:color w:val="auto"/>
          <w:sz w:val="24"/>
          <w:szCs w:val="24"/>
          <w:u w:val="none"/>
        </w:rPr>
        <w:t>..................................................</w:t>
      </w:r>
      <w:r w:rsidR="009070CA">
        <w:rPr>
          <w:sz w:val="24"/>
          <w:szCs w:val="24"/>
        </w:rPr>
        <w:t>............</w:t>
      </w:r>
      <w:r w:rsidR="00AE371B" w:rsidRPr="00F74D23">
        <w:rPr>
          <w:sz w:val="24"/>
          <w:szCs w:val="24"/>
        </w:rPr>
        <w:t>.....</w:t>
      </w:r>
      <w:r w:rsidR="000913AB">
        <w:rPr>
          <w:sz w:val="24"/>
          <w:szCs w:val="24"/>
        </w:rPr>
        <w:t>.........13</w:t>
      </w:r>
    </w:p>
    <w:p w:rsidR="00A90BC6" w:rsidRDefault="00AE371B" w:rsidP="00AE371B">
      <w:pPr>
        <w:spacing w:line="360" w:lineRule="auto"/>
        <w:rPr>
          <w:sz w:val="24"/>
          <w:szCs w:val="24"/>
        </w:rPr>
      </w:pPr>
      <w:r w:rsidRPr="00F74D23">
        <w:rPr>
          <w:sz w:val="24"/>
          <w:szCs w:val="24"/>
        </w:rPr>
        <w:fldChar w:fldCharType="end"/>
      </w:r>
    </w:p>
    <w:p w:rsidR="006F72EA" w:rsidRPr="00F74D23" w:rsidRDefault="006F72EA" w:rsidP="00D63FA8">
      <w:pPr>
        <w:spacing w:line="360" w:lineRule="auto"/>
        <w:jc w:val="both"/>
        <w:rPr>
          <w:rFonts w:cs="Arial"/>
          <w:sz w:val="24"/>
          <w:szCs w:val="24"/>
        </w:rPr>
      </w:pPr>
      <w:bookmarkStart w:id="1" w:name="_GoBack"/>
      <w:bookmarkEnd w:id="1"/>
    </w:p>
    <w:p w:rsidR="006F72EA" w:rsidRPr="00F74D23" w:rsidRDefault="006F72EA" w:rsidP="00D63FA8">
      <w:pPr>
        <w:spacing w:line="360" w:lineRule="auto"/>
        <w:jc w:val="both"/>
        <w:rPr>
          <w:rFonts w:cs="Arial"/>
          <w:sz w:val="24"/>
          <w:szCs w:val="24"/>
        </w:rPr>
      </w:pPr>
    </w:p>
    <w:p w:rsidR="006F72EA" w:rsidRPr="00F74D23" w:rsidRDefault="006F72EA" w:rsidP="00D63FA8">
      <w:pPr>
        <w:spacing w:line="360" w:lineRule="auto"/>
        <w:jc w:val="both"/>
        <w:rPr>
          <w:rFonts w:cs="Arial"/>
          <w:sz w:val="24"/>
          <w:szCs w:val="24"/>
        </w:rPr>
      </w:pPr>
    </w:p>
    <w:p w:rsidR="006F72EA" w:rsidRPr="00F74D23" w:rsidRDefault="006F72EA" w:rsidP="00D63FA8">
      <w:pPr>
        <w:spacing w:line="360" w:lineRule="auto"/>
        <w:jc w:val="both"/>
        <w:rPr>
          <w:rFonts w:cs="Arial"/>
          <w:sz w:val="24"/>
          <w:szCs w:val="24"/>
        </w:rPr>
      </w:pPr>
    </w:p>
    <w:p w:rsidR="00052BE1" w:rsidRPr="00F74D23" w:rsidRDefault="00052BE1" w:rsidP="00D63FA8">
      <w:pPr>
        <w:spacing w:line="360" w:lineRule="auto"/>
        <w:jc w:val="both"/>
        <w:rPr>
          <w:rFonts w:cs="Arial"/>
          <w:sz w:val="24"/>
          <w:szCs w:val="24"/>
        </w:rPr>
      </w:pPr>
    </w:p>
    <w:p w:rsidR="00052BE1" w:rsidRPr="00F74D23" w:rsidRDefault="00052BE1" w:rsidP="00D63FA8">
      <w:pPr>
        <w:spacing w:line="360" w:lineRule="auto"/>
        <w:jc w:val="both"/>
        <w:rPr>
          <w:rFonts w:cs="Arial"/>
          <w:sz w:val="24"/>
          <w:szCs w:val="24"/>
        </w:rPr>
      </w:pPr>
    </w:p>
    <w:p w:rsidR="000075FC" w:rsidRPr="00F74D23" w:rsidRDefault="000075FC" w:rsidP="00D63FA8">
      <w:pPr>
        <w:spacing w:line="360" w:lineRule="auto"/>
        <w:jc w:val="both"/>
        <w:rPr>
          <w:rFonts w:cs="Arial"/>
          <w:sz w:val="24"/>
          <w:szCs w:val="24"/>
        </w:rPr>
      </w:pPr>
    </w:p>
    <w:p w:rsidR="000075FC" w:rsidRPr="00F74D23" w:rsidRDefault="000075FC" w:rsidP="00D63FA8">
      <w:pPr>
        <w:spacing w:line="360" w:lineRule="auto"/>
        <w:jc w:val="both"/>
        <w:rPr>
          <w:rFonts w:cs="Arial"/>
          <w:sz w:val="24"/>
          <w:szCs w:val="24"/>
        </w:rPr>
      </w:pPr>
    </w:p>
    <w:p w:rsidR="001B54E1" w:rsidRPr="00F74D23" w:rsidRDefault="001B54E1" w:rsidP="00D63FA8">
      <w:pPr>
        <w:spacing w:line="360" w:lineRule="auto"/>
        <w:jc w:val="both"/>
        <w:rPr>
          <w:rFonts w:cs="Arial"/>
          <w:sz w:val="24"/>
          <w:szCs w:val="24"/>
        </w:rPr>
      </w:pPr>
    </w:p>
    <w:p w:rsidR="001B54E1" w:rsidRPr="00F74D23" w:rsidRDefault="001B54E1" w:rsidP="00D63FA8">
      <w:pPr>
        <w:spacing w:line="360" w:lineRule="auto"/>
        <w:jc w:val="both"/>
        <w:rPr>
          <w:rFonts w:cs="Arial"/>
          <w:sz w:val="24"/>
          <w:szCs w:val="24"/>
        </w:rPr>
      </w:pPr>
    </w:p>
    <w:p w:rsidR="004408FF" w:rsidRPr="00F74D23" w:rsidRDefault="004408FF" w:rsidP="00D63FA8">
      <w:pPr>
        <w:spacing w:line="360" w:lineRule="auto"/>
        <w:jc w:val="both"/>
        <w:rPr>
          <w:rFonts w:cs="Arial"/>
          <w:sz w:val="24"/>
          <w:szCs w:val="24"/>
        </w:rPr>
      </w:pPr>
    </w:p>
    <w:p w:rsidR="001B54E1" w:rsidRPr="00F74D23" w:rsidRDefault="001B54E1" w:rsidP="00D63FA8">
      <w:pPr>
        <w:spacing w:line="360" w:lineRule="auto"/>
        <w:jc w:val="both"/>
        <w:rPr>
          <w:rFonts w:cs="Arial"/>
          <w:sz w:val="24"/>
          <w:szCs w:val="24"/>
        </w:rPr>
      </w:pPr>
    </w:p>
    <w:p w:rsidR="00B7409F" w:rsidRPr="00F74D23" w:rsidRDefault="00B7409F" w:rsidP="006F72EA">
      <w:pPr>
        <w:spacing w:line="360" w:lineRule="auto"/>
        <w:jc w:val="both"/>
        <w:rPr>
          <w:rFonts w:cs="Arial"/>
          <w:sz w:val="24"/>
          <w:szCs w:val="24"/>
        </w:rPr>
      </w:pPr>
    </w:p>
    <w:p w:rsidR="002E2AF3" w:rsidRDefault="002E2AF3" w:rsidP="00BE0713">
      <w:pPr>
        <w:rPr>
          <w:b/>
          <w:sz w:val="24"/>
          <w:szCs w:val="24"/>
        </w:rPr>
        <w:sectPr w:rsidR="002E2AF3" w:rsidSect="0011006E">
          <w:pgSz w:w="11907" w:h="16840" w:code="9"/>
          <w:pgMar w:top="1418" w:right="1134" w:bottom="1134" w:left="1418" w:header="283" w:footer="737" w:gutter="0"/>
          <w:pgNumType w:start="1"/>
          <w:cols w:space="708"/>
          <w:docGrid w:linePitch="272"/>
        </w:sectPr>
      </w:pPr>
    </w:p>
    <w:p w:rsidR="003C3CC8" w:rsidRPr="00F74D23" w:rsidRDefault="003C3CC8" w:rsidP="00BE0713">
      <w:pPr>
        <w:rPr>
          <w:b/>
          <w:sz w:val="24"/>
          <w:szCs w:val="24"/>
        </w:rPr>
      </w:pPr>
    </w:p>
    <w:p w:rsidR="0053275C" w:rsidRPr="00F74D23" w:rsidRDefault="0053275C" w:rsidP="0053275C">
      <w:pPr>
        <w:rPr>
          <w:b/>
          <w:sz w:val="24"/>
          <w:szCs w:val="24"/>
        </w:rPr>
      </w:pPr>
      <w:r w:rsidRPr="00F74D23">
        <w:rPr>
          <w:b/>
          <w:sz w:val="24"/>
          <w:szCs w:val="24"/>
        </w:rPr>
        <w:t xml:space="preserve">1. </w:t>
      </w:r>
      <w:r w:rsidR="00DB2B69" w:rsidRPr="00F74D23">
        <w:rPr>
          <w:b/>
          <w:sz w:val="24"/>
          <w:szCs w:val="24"/>
        </w:rPr>
        <w:t>INTRODUÇÃO</w:t>
      </w:r>
    </w:p>
    <w:p w:rsidR="00000BB7" w:rsidRPr="00F74D23" w:rsidRDefault="0053275C" w:rsidP="0053275C">
      <w:pPr>
        <w:jc w:val="both"/>
        <w:rPr>
          <w:rFonts w:cs="Arial"/>
          <w:sz w:val="24"/>
          <w:szCs w:val="24"/>
        </w:rPr>
      </w:pPr>
      <w:r w:rsidRPr="00F74D23">
        <w:rPr>
          <w:rFonts w:cs="Arial"/>
          <w:sz w:val="24"/>
          <w:szCs w:val="24"/>
        </w:rPr>
        <w:t xml:space="preserve">1.1 A Secretaria de Controle Interno e Auditoria (SCI), por intermédio da Seção de Acompanhamento e Orientação à Gestão Administrativa (SEAGES), vinculada à Coordenadoria de Auditoria, Acompanhamento e Orientação da Gestão (COGES), realizou, no período compreendido entre 30 de agosto </w:t>
      </w:r>
      <w:r w:rsidR="00B57687">
        <w:rPr>
          <w:rFonts w:cs="Arial"/>
          <w:sz w:val="24"/>
          <w:szCs w:val="24"/>
        </w:rPr>
        <w:t>a</w:t>
      </w:r>
      <w:r w:rsidR="00A90BC6">
        <w:rPr>
          <w:rFonts w:cs="Arial"/>
          <w:sz w:val="24"/>
          <w:szCs w:val="24"/>
        </w:rPr>
        <w:t xml:space="preserve"> </w:t>
      </w:r>
      <w:r w:rsidR="003C5B4F" w:rsidRPr="00F74D23">
        <w:rPr>
          <w:rFonts w:cs="Arial"/>
          <w:sz w:val="24"/>
          <w:szCs w:val="24"/>
        </w:rPr>
        <w:t>20</w:t>
      </w:r>
      <w:r w:rsidRPr="00F74D23">
        <w:rPr>
          <w:rFonts w:cs="Arial"/>
          <w:sz w:val="24"/>
          <w:szCs w:val="24"/>
        </w:rPr>
        <w:t xml:space="preserve"> de outubro </w:t>
      </w:r>
      <w:r w:rsidR="00755BEC">
        <w:rPr>
          <w:rFonts w:cs="Arial"/>
          <w:sz w:val="24"/>
          <w:szCs w:val="24"/>
        </w:rPr>
        <w:t>do exercício anterior</w:t>
      </w:r>
      <w:r w:rsidRPr="00F74D23">
        <w:rPr>
          <w:rFonts w:cs="Arial"/>
          <w:sz w:val="24"/>
          <w:szCs w:val="24"/>
        </w:rPr>
        <w:t xml:space="preserve">, fiscalização dos procedimentos licitatórios concluídos no primeiro semestre de 2016, com o objetivo de avaliar a conformidade e regularidade das fases interna e externa, notadamente quanto à legalidade dos atos que compõem o processo. </w:t>
      </w:r>
    </w:p>
    <w:p w:rsidR="00000BB7" w:rsidRDefault="00000BB7" w:rsidP="0053275C">
      <w:pPr>
        <w:jc w:val="both"/>
        <w:rPr>
          <w:rFonts w:cs="Arial"/>
          <w:sz w:val="24"/>
          <w:szCs w:val="24"/>
        </w:rPr>
      </w:pPr>
      <w:r w:rsidRPr="00F74D23">
        <w:rPr>
          <w:rFonts w:cs="Arial"/>
          <w:sz w:val="24"/>
          <w:szCs w:val="24"/>
        </w:rPr>
        <w:t xml:space="preserve">1.2 O referido procedimento de fiscalização está previsto no Plano Anual de Atividades </w:t>
      </w:r>
      <w:r w:rsidR="00295294">
        <w:rPr>
          <w:rFonts w:cs="Arial"/>
          <w:sz w:val="24"/>
          <w:szCs w:val="24"/>
        </w:rPr>
        <w:t>da COGES</w:t>
      </w:r>
      <w:r w:rsidRPr="00F74D23">
        <w:rPr>
          <w:rFonts w:cs="Arial"/>
          <w:sz w:val="24"/>
          <w:szCs w:val="24"/>
        </w:rPr>
        <w:t xml:space="preserve"> (PAA2016), </w:t>
      </w:r>
      <w:r w:rsidR="00F13352" w:rsidRPr="00F13352">
        <w:rPr>
          <w:rFonts w:eastAsia="Calibri"/>
          <w:sz w:val="24"/>
          <w:szCs w:val="24"/>
          <w:lang w:eastAsia="en-US"/>
        </w:rPr>
        <w:t xml:space="preserve">aprovado por meio da Portaria da Presidência do TRE-BA nº 538, de 23 de novembro de 2015, e constituiu objeto do Comunicado </w:t>
      </w:r>
      <w:r w:rsidRPr="00F74D23">
        <w:rPr>
          <w:rFonts w:cs="Arial"/>
          <w:sz w:val="24"/>
          <w:szCs w:val="24"/>
        </w:rPr>
        <w:t xml:space="preserve">Circular de Fiscalização </w:t>
      </w:r>
      <w:r w:rsidR="004F5280">
        <w:rPr>
          <w:rFonts w:cs="Arial"/>
          <w:sz w:val="24"/>
          <w:szCs w:val="24"/>
        </w:rPr>
        <w:t>nº</w:t>
      </w:r>
      <w:r w:rsidRPr="00F74D23">
        <w:rPr>
          <w:rFonts w:cs="Arial"/>
          <w:sz w:val="24"/>
          <w:szCs w:val="24"/>
        </w:rPr>
        <w:t xml:space="preserve"> 4/2016/COGES/SCI, que deu origem ao PAD </w:t>
      </w:r>
      <w:r w:rsidR="004F5280">
        <w:rPr>
          <w:rFonts w:cs="Arial"/>
          <w:sz w:val="24"/>
          <w:szCs w:val="24"/>
        </w:rPr>
        <w:t>nº</w:t>
      </w:r>
      <w:r w:rsidRPr="00F74D23">
        <w:rPr>
          <w:rFonts w:cs="Arial"/>
          <w:sz w:val="24"/>
          <w:szCs w:val="24"/>
        </w:rPr>
        <w:t xml:space="preserve"> 12.081/2016. </w:t>
      </w:r>
    </w:p>
    <w:p w:rsidR="00000BB7" w:rsidRPr="000F5C0C" w:rsidRDefault="00000BB7" w:rsidP="0053275C">
      <w:pPr>
        <w:jc w:val="both"/>
        <w:rPr>
          <w:rFonts w:cs="Arial"/>
          <w:color w:val="FF0000"/>
          <w:sz w:val="24"/>
          <w:szCs w:val="24"/>
        </w:rPr>
      </w:pPr>
      <w:r w:rsidRPr="00F74D23">
        <w:rPr>
          <w:rFonts w:cs="Arial"/>
          <w:sz w:val="24"/>
          <w:szCs w:val="24"/>
        </w:rPr>
        <w:t xml:space="preserve">1.3 A condução e fundamentação dos trabalhos firmaram-se na Resolução CNJ </w:t>
      </w:r>
      <w:r w:rsidR="004F5280">
        <w:rPr>
          <w:rFonts w:cs="Arial"/>
          <w:sz w:val="24"/>
          <w:szCs w:val="24"/>
        </w:rPr>
        <w:t>nº</w:t>
      </w:r>
      <w:r w:rsidR="00295294">
        <w:rPr>
          <w:rFonts w:cs="Arial"/>
          <w:sz w:val="24"/>
          <w:szCs w:val="24"/>
        </w:rPr>
        <w:t xml:space="preserve"> </w:t>
      </w:r>
      <w:r w:rsidRPr="00F74D23">
        <w:rPr>
          <w:rFonts w:cs="Arial"/>
          <w:sz w:val="24"/>
          <w:szCs w:val="24"/>
        </w:rPr>
        <w:t>171, de 1º de março de 2013,</w:t>
      </w:r>
      <w:r w:rsidR="00A07BD0">
        <w:rPr>
          <w:rFonts w:cs="Arial"/>
          <w:sz w:val="24"/>
          <w:szCs w:val="24"/>
        </w:rPr>
        <w:t xml:space="preserve"> e 182, de 17 de outubro de 2013,</w:t>
      </w:r>
      <w:r w:rsidRPr="00F74D23">
        <w:rPr>
          <w:rFonts w:cs="Arial"/>
          <w:sz w:val="24"/>
          <w:szCs w:val="24"/>
        </w:rPr>
        <w:t xml:space="preserve"> na Resolução TRE-BA </w:t>
      </w:r>
      <w:r w:rsidR="004F5280">
        <w:rPr>
          <w:rFonts w:cs="Arial"/>
          <w:sz w:val="24"/>
          <w:szCs w:val="24"/>
        </w:rPr>
        <w:t>nº</w:t>
      </w:r>
      <w:r w:rsidRPr="00F74D23">
        <w:rPr>
          <w:rFonts w:cs="Arial"/>
          <w:sz w:val="24"/>
          <w:szCs w:val="24"/>
        </w:rPr>
        <w:t xml:space="preserve"> 06/2015, nas Leis </w:t>
      </w:r>
      <w:r w:rsidR="004F5280">
        <w:rPr>
          <w:rFonts w:cs="Arial"/>
          <w:sz w:val="24"/>
          <w:szCs w:val="24"/>
        </w:rPr>
        <w:t>nº</w:t>
      </w:r>
      <w:r w:rsidRPr="00F74D23">
        <w:rPr>
          <w:rFonts w:cs="Arial"/>
          <w:sz w:val="24"/>
          <w:szCs w:val="24"/>
        </w:rPr>
        <w:t xml:space="preserve"> </w:t>
      </w:r>
      <w:r w:rsidR="00D14B53">
        <w:rPr>
          <w:rFonts w:cs="Arial"/>
          <w:sz w:val="24"/>
          <w:szCs w:val="24"/>
        </w:rPr>
        <w:t>8.666, de 21 de junho de 1993,</w:t>
      </w:r>
      <w:r w:rsidRPr="00F74D23">
        <w:rPr>
          <w:rFonts w:cs="Arial"/>
          <w:sz w:val="24"/>
          <w:szCs w:val="24"/>
        </w:rPr>
        <w:t xml:space="preserve"> 1</w:t>
      </w:r>
      <w:r w:rsidR="00F469F5">
        <w:rPr>
          <w:rFonts w:cs="Arial"/>
          <w:sz w:val="24"/>
          <w:szCs w:val="24"/>
        </w:rPr>
        <w:t>0.520, de 17 de julho de 2002,</w:t>
      </w:r>
      <w:r w:rsidRPr="00F74D23">
        <w:rPr>
          <w:rFonts w:cs="Arial"/>
          <w:sz w:val="24"/>
          <w:szCs w:val="24"/>
        </w:rPr>
        <w:t xml:space="preserve"> </w:t>
      </w:r>
      <w:r w:rsidR="00D14B53">
        <w:rPr>
          <w:rFonts w:cs="Arial"/>
          <w:sz w:val="24"/>
          <w:szCs w:val="24"/>
        </w:rPr>
        <w:t xml:space="preserve">e 9.874, de 29 de janeiro de 1999, </w:t>
      </w:r>
      <w:r w:rsidRPr="00F74D23">
        <w:rPr>
          <w:rFonts w:cs="Arial"/>
          <w:sz w:val="24"/>
          <w:szCs w:val="24"/>
        </w:rPr>
        <w:t xml:space="preserve">nos Decretos </w:t>
      </w:r>
      <w:r w:rsidR="004F5280">
        <w:rPr>
          <w:rFonts w:cs="Arial"/>
          <w:sz w:val="24"/>
          <w:szCs w:val="24"/>
        </w:rPr>
        <w:t>nº</w:t>
      </w:r>
      <w:r w:rsidRPr="00F74D23">
        <w:rPr>
          <w:rFonts w:cs="Arial"/>
          <w:sz w:val="24"/>
          <w:szCs w:val="24"/>
        </w:rPr>
        <w:t xml:space="preserve"> </w:t>
      </w:r>
      <w:r w:rsidR="00D14B53">
        <w:rPr>
          <w:rFonts w:cs="Arial"/>
          <w:sz w:val="24"/>
          <w:szCs w:val="24"/>
        </w:rPr>
        <w:t xml:space="preserve">1.171, de 22 de junho de 1994, </w:t>
      </w:r>
      <w:r w:rsidRPr="00F74D23">
        <w:rPr>
          <w:rFonts w:cs="Arial"/>
          <w:sz w:val="24"/>
          <w:szCs w:val="24"/>
        </w:rPr>
        <w:t xml:space="preserve">3.555, de </w:t>
      </w:r>
      <w:proofErr w:type="gramStart"/>
      <w:r w:rsidRPr="00F74D23">
        <w:rPr>
          <w:rFonts w:cs="Arial"/>
          <w:sz w:val="24"/>
          <w:szCs w:val="24"/>
        </w:rPr>
        <w:t>8</w:t>
      </w:r>
      <w:proofErr w:type="gramEnd"/>
      <w:r w:rsidRPr="00F74D23">
        <w:rPr>
          <w:rFonts w:cs="Arial"/>
          <w:sz w:val="24"/>
          <w:szCs w:val="24"/>
        </w:rPr>
        <w:t xml:space="preserve"> de agosto de 2000</w:t>
      </w:r>
      <w:r w:rsidR="00F363D9">
        <w:rPr>
          <w:rFonts w:cs="Arial"/>
          <w:sz w:val="24"/>
          <w:szCs w:val="24"/>
        </w:rPr>
        <w:t>,</w:t>
      </w:r>
      <w:r w:rsidR="001638B9" w:rsidRPr="00F74D23">
        <w:rPr>
          <w:rFonts w:cs="Arial"/>
          <w:sz w:val="24"/>
          <w:szCs w:val="24"/>
        </w:rPr>
        <w:t xml:space="preserve"> 5.450, de 31 de maio de 2005</w:t>
      </w:r>
      <w:r w:rsidR="00F469F5">
        <w:rPr>
          <w:rFonts w:cs="Arial"/>
          <w:sz w:val="24"/>
          <w:szCs w:val="24"/>
        </w:rPr>
        <w:t>,</w:t>
      </w:r>
      <w:r w:rsidR="00F363D9">
        <w:rPr>
          <w:rFonts w:cs="Arial"/>
          <w:sz w:val="24"/>
          <w:szCs w:val="24"/>
        </w:rPr>
        <w:t xml:space="preserve"> 7.746, de 5 de junho de 2014,</w:t>
      </w:r>
      <w:r w:rsidR="00F469F5">
        <w:rPr>
          <w:rFonts w:cs="Arial"/>
          <w:sz w:val="24"/>
          <w:szCs w:val="24"/>
        </w:rPr>
        <w:t xml:space="preserve"> nas Portarias DG TRE-BA n° 111, </w:t>
      </w:r>
      <w:r w:rsidR="00D14B53">
        <w:rPr>
          <w:rFonts w:cs="Arial"/>
          <w:sz w:val="24"/>
          <w:szCs w:val="24"/>
        </w:rPr>
        <w:t xml:space="preserve">144, </w:t>
      </w:r>
      <w:r w:rsidR="00F469F5">
        <w:rPr>
          <w:rFonts w:cs="Arial"/>
          <w:sz w:val="24"/>
          <w:szCs w:val="24"/>
        </w:rPr>
        <w:t>224 e 311/2014</w:t>
      </w:r>
      <w:r w:rsidR="00D14B53">
        <w:rPr>
          <w:rFonts w:cs="Arial"/>
          <w:sz w:val="24"/>
          <w:szCs w:val="24"/>
        </w:rPr>
        <w:t>,</w:t>
      </w:r>
      <w:r w:rsidR="00775FAC">
        <w:rPr>
          <w:rFonts w:cs="Arial"/>
          <w:sz w:val="24"/>
          <w:szCs w:val="24"/>
        </w:rPr>
        <w:t xml:space="preserve"> 455/2016,</w:t>
      </w:r>
      <w:r w:rsidR="00D14B53">
        <w:rPr>
          <w:rFonts w:cs="Arial"/>
          <w:sz w:val="24"/>
          <w:szCs w:val="24"/>
        </w:rPr>
        <w:t xml:space="preserve"> </w:t>
      </w:r>
      <w:r w:rsidR="002C3470">
        <w:rPr>
          <w:rFonts w:cs="Arial"/>
          <w:sz w:val="24"/>
          <w:szCs w:val="24"/>
        </w:rPr>
        <w:t xml:space="preserve">na </w:t>
      </w:r>
      <w:r w:rsidR="00D14B53">
        <w:rPr>
          <w:rFonts w:cs="Arial"/>
          <w:sz w:val="24"/>
          <w:szCs w:val="24"/>
        </w:rPr>
        <w:t>Instrução Normativa n° 01/2010/MPOG,</w:t>
      </w:r>
      <w:r w:rsidR="00775FAC">
        <w:rPr>
          <w:rFonts w:cs="Arial"/>
          <w:sz w:val="24"/>
          <w:szCs w:val="24"/>
        </w:rPr>
        <w:t xml:space="preserve"> </w:t>
      </w:r>
      <w:r w:rsidR="002C3470">
        <w:rPr>
          <w:rFonts w:cs="Arial"/>
          <w:sz w:val="24"/>
          <w:szCs w:val="24"/>
        </w:rPr>
        <w:t xml:space="preserve">na </w:t>
      </w:r>
      <w:r w:rsidR="00775FAC">
        <w:rPr>
          <w:rFonts w:cs="Arial"/>
          <w:sz w:val="24"/>
          <w:szCs w:val="24"/>
        </w:rPr>
        <w:t>Resolução TSE n° 23.234/2010 e</w:t>
      </w:r>
      <w:r w:rsidR="00D14B53">
        <w:rPr>
          <w:rFonts w:cs="Arial"/>
          <w:sz w:val="24"/>
          <w:szCs w:val="24"/>
        </w:rPr>
        <w:t xml:space="preserve"> nos Acórdãos do TCU n° 3.026/2010, 686/2011, 3.381/2013, 868/2013, </w:t>
      </w:r>
      <w:r w:rsidR="00775FAC">
        <w:rPr>
          <w:rFonts w:cs="Arial"/>
          <w:sz w:val="24"/>
          <w:szCs w:val="24"/>
        </w:rPr>
        <w:t xml:space="preserve">694/2014 e </w:t>
      </w:r>
      <w:r w:rsidR="00D14B53">
        <w:rPr>
          <w:rFonts w:cs="Arial"/>
          <w:sz w:val="24"/>
          <w:szCs w:val="24"/>
        </w:rPr>
        <w:t>2.829/2015</w:t>
      </w:r>
      <w:r w:rsidR="00775FAC">
        <w:rPr>
          <w:rFonts w:cs="Arial"/>
          <w:sz w:val="24"/>
          <w:szCs w:val="24"/>
        </w:rPr>
        <w:t>.</w:t>
      </w:r>
    </w:p>
    <w:p w:rsidR="001638B9" w:rsidRPr="000F5C0C" w:rsidRDefault="001638B9" w:rsidP="0053275C">
      <w:pPr>
        <w:jc w:val="both"/>
        <w:rPr>
          <w:rFonts w:cs="Arial"/>
          <w:color w:val="FF0000"/>
          <w:sz w:val="24"/>
          <w:szCs w:val="24"/>
        </w:rPr>
      </w:pPr>
      <w:r w:rsidRPr="00F74D23">
        <w:rPr>
          <w:rFonts w:cs="Arial"/>
          <w:sz w:val="24"/>
          <w:szCs w:val="24"/>
        </w:rPr>
        <w:t>1.4 Além das normas referidas</w:t>
      </w:r>
      <w:proofErr w:type="gramStart"/>
      <w:r w:rsidRPr="00F74D23">
        <w:rPr>
          <w:rFonts w:cs="Arial"/>
          <w:sz w:val="24"/>
          <w:szCs w:val="24"/>
        </w:rPr>
        <w:t>, utilizou-se</w:t>
      </w:r>
      <w:proofErr w:type="gramEnd"/>
      <w:r w:rsidRPr="00F74D23">
        <w:rPr>
          <w:rFonts w:cs="Arial"/>
          <w:sz w:val="24"/>
          <w:szCs w:val="24"/>
        </w:rPr>
        <w:t xml:space="preserve"> </w:t>
      </w:r>
      <w:r w:rsidR="004F5280">
        <w:rPr>
          <w:rFonts w:cs="Arial"/>
          <w:sz w:val="24"/>
          <w:szCs w:val="24"/>
        </w:rPr>
        <w:t xml:space="preserve">como fonte de informação </w:t>
      </w:r>
      <w:r w:rsidR="00442EE2" w:rsidRPr="00FB7328">
        <w:rPr>
          <w:rFonts w:cs="Arial"/>
          <w:sz w:val="24"/>
          <w:szCs w:val="24"/>
        </w:rPr>
        <w:t xml:space="preserve">o </w:t>
      </w:r>
      <w:r w:rsidR="00D54A42" w:rsidRPr="00FB7328">
        <w:rPr>
          <w:rFonts w:cs="Arial"/>
          <w:sz w:val="24"/>
          <w:szCs w:val="24"/>
        </w:rPr>
        <w:t>Inventário</w:t>
      </w:r>
      <w:r w:rsidR="00442EE2" w:rsidRPr="00FB7328">
        <w:rPr>
          <w:rFonts w:cs="Arial"/>
          <w:sz w:val="24"/>
          <w:szCs w:val="24"/>
        </w:rPr>
        <w:t xml:space="preserve"> de Riscos e Controles Internos das Aquisiçõ</w:t>
      </w:r>
      <w:r w:rsidR="0059141A" w:rsidRPr="00FB7328">
        <w:rPr>
          <w:rFonts w:cs="Arial"/>
          <w:sz w:val="24"/>
          <w:szCs w:val="24"/>
        </w:rPr>
        <w:t>es Públicas elaboradas pelo TCU</w:t>
      </w:r>
      <w:r w:rsidR="00FB7328" w:rsidRPr="00FB7328">
        <w:rPr>
          <w:rStyle w:val="Refdenotaderodap"/>
          <w:rFonts w:cs="Arial"/>
          <w:sz w:val="24"/>
          <w:szCs w:val="24"/>
        </w:rPr>
        <w:footnoteReference w:id="1"/>
      </w:r>
      <w:r w:rsidR="00F469F5">
        <w:rPr>
          <w:rFonts w:cs="Arial"/>
          <w:sz w:val="24"/>
          <w:szCs w:val="24"/>
        </w:rPr>
        <w:t xml:space="preserve"> e o Guia de Boas Práticas em Contratação de Soluções de Tecnologia da Informação (versão 1.0, TCU, 2012).</w:t>
      </w:r>
    </w:p>
    <w:p w:rsidR="00224B47" w:rsidRDefault="00715136" w:rsidP="00B31AD3">
      <w:pPr>
        <w:jc w:val="both"/>
        <w:rPr>
          <w:sz w:val="24"/>
          <w:szCs w:val="24"/>
          <w:highlight w:val="yellow"/>
        </w:rPr>
      </w:pPr>
      <w:r w:rsidRPr="00D54A42">
        <w:rPr>
          <w:rFonts w:cs="Arial"/>
          <w:sz w:val="24"/>
          <w:szCs w:val="24"/>
        </w:rPr>
        <w:t xml:space="preserve">1.5 </w:t>
      </w:r>
      <w:r w:rsidR="00436969" w:rsidRPr="00D54A42">
        <w:rPr>
          <w:sz w:val="24"/>
          <w:szCs w:val="24"/>
        </w:rPr>
        <w:t xml:space="preserve">Para tal desiderato, obteve-se </w:t>
      </w:r>
      <w:r w:rsidR="00D54A42" w:rsidRPr="00D54A42">
        <w:rPr>
          <w:sz w:val="24"/>
          <w:szCs w:val="24"/>
        </w:rPr>
        <w:t xml:space="preserve">o </w:t>
      </w:r>
      <w:r w:rsidR="00436969" w:rsidRPr="00D54A42">
        <w:rPr>
          <w:sz w:val="24"/>
          <w:szCs w:val="24"/>
        </w:rPr>
        <w:t xml:space="preserve">rol de processos licitatórios concluídos no primeiro semestre do ano </w:t>
      </w:r>
      <w:r w:rsidR="00755BEC">
        <w:rPr>
          <w:sz w:val="24"/>
          <w:szCs w:val="24"/>
        </w:rPr>
        <w:t xml:space="preserve">de 2016 </w:t>
      </w:r>
      <w:r w:rsidR="00D54A42" w:rsidRPr="00D54A42">
        <w:rPr>
          <w:sz w:val="24"/>
          <w:szCs w:val="24"/>
        </w:rPr>
        <w:t>por meio do</w:t>
      </w:r>
      <w:r w:rsidR="00436969" w:rsidRPr="00D54A42">
        <w:rPr>
          <w:sz w:val="24"/>
          <w:szCs w:val="24"/>
        </w:rPr>
        <w:t xml:space="preserve"> Doc. PAD </w:t>
      </w:r>
      <w:r w:rsidR="004F5280" w:rsidRPr="00D54A42">
        <w:rPr>
          <w:sz w:val="24"/>
          <w:szCs w:val="24"/>
        </w:rPr>
        <w:t>nº</w:t>
      </w:r>
      <w:r w:rsidR="00D54A42" w:rsidRPr="00D54A42">
        <w:rPr>
          <w:sz w:val="24"/>
          <w:szCs w:val="24"/>
        </w:rPr>
        <w:t xml:space="preserve"> 166.260/2016 e 169.037/</w:t>
      </w:r>
      <w:r w:rsidR="00D54A42" w:rsidRPr="00224B47">
        <w:rPr>
          <w:sz w:val="24"/>
          <w:szCs w:val="24"/>
        </w:rPr>
        <w:t>2016</w:t>
      </w:r>
      <w:r w:rsidR="00224B47" w:rsidRPr="00224B47">
        <w:rPr>
          <w:sz w:val="24"/>
          <w:szCs w:val="24"/>
        </w:rPr>
        <w:t xml:space="preserve"> e, </w:t>
      </w:r>
      <w:r w:rsidR="00224B47" w:rsidRPr="00224B47">
        <w:rPr>
          <w:rFonts w:eastAsia="Calibri"/>
          <w:sz w:val="24"/>
          <w:szCs w:val="24"/>
          <w:lang w:eastAsia="en-US"/>
        </w:rPr>
        <w:t xml:space="preserve">com base em critérios de materialidade e </w:t>
      </w:r>
      <w:r w:rsidR="00224B47" w:rsidRPr="00224B47">
        <w:rPr>
          <w:sz w:val="24"/>
          <w:szCs w:val="24"/>
        </w:rPr>
        <w:t>naqueles fixados na norma da ABNT NBR nº 5.426, foi</w:t>
      </w:r>
      <w:r w:rsidR="00224B47" w:rsidRPr="00CB2F09">
        <w:rPr>
          <w:sz w:val="24"/>
          <w:szCs w:val="24"/>
        </w:rPr>
        <w:t xml:space="preserve"> definida a amostra a ser analisada, sendo </w:t>
      </w:r>
      <w:r w:rsidR="00224B47" w:rsidRPr="00CB2F09">
        <w:rPr>
          <w:rFonts w:cs="Arial"/>
          <w:sz w:val="24"/>
          <w:szCs w:val="24"/>
        </w:rPr>
        <w:t>selecionados os processos administrativos digitais constantes do Anexo I do presente relatório.</w:t>
      </w:r>
      <w:r w:rsidR="00224B47">
        <w:rPr>
          <w:rFonts w:cs="Arial"/>
          <w:sz w:val="24"/>
          <w:szCs w:val="24"/>
        </w:rPr>
        <w:t xml:space="preserve"> </w:t>
      </w:r>
    </w:p>
    <w:p w:rsidR="00AD3916" w:rsidRPr="00F74D23" w:rsidRDefault="003C3CC8" w:rsidP="00AD3916">
      <w:pPr>
        <w:jc w:val="both"/>
        <w:rPr>
          <w:sz w:val="24"/>
          <w:szCs w:val="24"/>
        </w:rPr>
      </w:pPr>
      <w:r w:rsidRPr="00F74D23">
        <w:rPr>
          <w:rFonts w:cs="Arial"/>
          <w:sz w:val="24"/>
          <w:szCs w:val="24"/>
        </w:rPr>
        <w:t>1.</w:t>
      </w:r>
      <w:r w:rsidR="00D54A42">
        <w:rPr>
          <w:rFonts w:cs="Arial"/>
          <w:sz w:val="24"/>
          <w:szCs w:val="24"/>
        </w:rPr>
        <w:t>6</w:t>
      </w:r>
      <w:r w:rsidR="00AD3916" w:rsidRPr="00F74D23">
        <w:rPr>
          <w:rFonts w:cs="Arial"/>
          <w:sz w:val="24"/>
          <w:szCs w:val="24"/>
        </w:rPr>
        <w:t xml:space="preserve"> </w:t>
      </w:r>
      <w:r w:rsidR="00D54A42">
        <w:rPr>
          <w:rFonts w:cs="Arial"/>
          <w:sz w:val="24"/>
          <w:szCs w:val="24"/>
        </w:rPr>
        <w:t xml:space="preserve">Os </w:t>
      </w:r>
      <w:r w:rsidR="00D54A42" w:rsidRPr="00F74D23">
        <w:rPr>
          <w:rFonts w:cs="Arial"/>
          <w:sz w:val="24"/>
          <w:szCs w:val="24"/>
        </w:rPr>
        <w:t>processos</w:t>
      </w:r>
      <w:r w:rsidR="00D54A42" w:rsidRPr="00F74D23">
        <w:rPr>
          <w:sz w:val="24"/>
          <w:szCs w:val="24"/>
        </w:rPr>
        <w:t xml:space="preserve"> </w:t>
      </w:r>
      <w:r w:rsidR="00D54A42">
        <w:rPr>
          <w:sz w:val="24"/>
          <w:szCs w:val="24"/>
        </w:rPr>
        <w:t>f</w:t>
      </w:r>
      <w:r w:rsidR="00D54A42" w:rsidRPr="00F74D23">
        <w:rPr>
          <w:rFonts w:cs="Arial"/>
          <w:sz w:val="24"/>
          <w:szCs w:val="24"/>
        </w:rPr>
        <w:t xml:space="preserve">oram solicitados </w:t>
      </w:r>
      <w:r w:rsidR="00B678CA" w:rsidRPr="00F74D23">
        <w:rPr>
          <w:sz w:val="24"/>
          <w:szCs w:val="24"/>
        </w:rPr>
        <w:t xml:space="preserve">através </w:t>
      </w:r>
      <w:r w:rsidR="00B64EC4" w:rsidRPr="00F74D23">
        <w:rPr>
          <w:sz w:val="24"/>
          <w:szCs w:val="24"/>
        </w:rPr>
        <w:t>das Requisiçõe</w:t>
      </w:r>
      <w:r w:rsidRPr="00F74D23">
        <w:rPr>
          <w:sz w:val="24"/>
          <w:szCs w:val="24"/>
        </w:rPr>
        <w:t xml:space="preserve">s de Documentos e </w:t>
      </w:r>
      <w:r w:rsidRPr="00224B47">
        <w:rPr>
          <w:sz w:val="24"/>
          <w:szCs w:val="24"/>
        </w:rPr>
        <w:t xml:space="preserve">Informações </w:t>
      </w:r>
      <w:r w:rsidR="00A90BC6" w:rsidRPr="00224B47">
        <w:rPr>
          <w:sz w:val="24"/>
          <w:szCs w:val="24"/>
        </w:rPr>
        <w:t>(RDI)</w:t>
      </w:r>
      <w:r w:rsidR="00A90BC6">
        <w:rPr>
          <w:sz w:val="24"/>
          <w:szCs w:val="24"/>
        </w:rPr>
        <w:t xml:space="preserve"> </w:t>
      </w:r>
      <w:r w:rsidR="004F5280">
        <w:rPr>
          <w:sz w:val="24"/>
          <w:szCs w:val="24"/>
        </w:rPr>
        <w:t>nº</w:t>
      </w:r>
      <w:r w:rsidR="00B64EC4" w:rsidRPr="00F74D23">
        <w:rPr>
          <w:sz w:val="24"/>
          <w:szCs w:val="24"/>
        </w:rPr>
        <w:t xml:space="preserve"> 27/2016 (Doc. </w:t>
      </w:r>
      <w:r w:rsidRPr="00F74D23">
        <w:rPr>
          <w:sz w:val="24"/>
          <w:szCs w:val="24"/>
        </w:rPr>
        <w:t xml:space="preserve">PAD </w:t>
      </w:r>
      <w:r w:rsidR="004F5280">
        <w:rPr>
          <w:sz w:val="24"/>
          <w:szCs w:val="24"/>
        </w:rPr>
        <w:t>nº</w:t>
      </w:r>
      <w:r w:rsidR="00B64EC4" w:rsidRPr="00F74D23">
        <w:rPr>
          <w:sz w:val="24"/>
          <w:szCs w:val="24"/>
        </w:rPr>
        <w:t xml:space="preserve"> 167.131/2016), 28/2016 (Doc. </w:t>
      </w:r>
      <w:r w:rsidRPr="00F74D23">
        <w:rPr>
          <w:sz w:val="24"/>
          <w:szCs w:val="24"/>
        </w:rPr>
        <w:t xml:space="preserve">PAD </w:t>
      </w:r>
      <w:r w:rsidR="004F5280">
        <w:rPr>
          <w:sz w:val="24"/>
          <w:szCs w:val="24"/>
        </w:rPr>
        <w:t>nº</w:t>
      </w:r>
      <w:r w:rsidR="00B64EC4" w:rsidRPr="00F74D23">
        <w:rPr>
          <w:sz w:val="24"/>
          <w:szCs w:val="24"/>
        </w:rPr>
        <w:t xml:space="preserve"> 168.648/2016) e 29/2016 (Doc. </w:t>
      </w:r>
      <w:r w:rsidRPr="00F74D23">
        <w:rPr>
          <w:sz w:val="24"/>
          <w:szCs w:val="24"/>
        </w:rPr>
        <w:t xml:space="preserve">PAD </w:t>
      </w:r>
      <w:r w:rsidR="004F5280">
        <w:rPr>
          <w:sz w:val="24"/>
          <w:szCs w:val="24"/>
        </w:rPr>
        <w:t>nº</w:t>
      </w:r>
      <w:r w:rsidR="00B64EC4" w:rsidRPr="00F74D23">
        <w:rPr>
          <w:sz w:val="24"/>
          <w:szCs w:val="24"/>
        </w:rPr>
        <w:t xml:space="preserve"> 168.665/2016)</w:t>
      </w:r>
      <w:r w:rsidR="001B6501">
        <w:rPr>
          <w:sz w:val="24"/>
          <w:szCs w:val="24"/>
        </w:rPr>
        <w:t>, encaminhada</w:t>
      </w:r>
      <w:r w:rsidR="006C02CD" w:rsidRPr="00F74D23">
        <w:rPr>
          <w:sz w:val="24"/>
          <w:szCs w:val="24"/>
        </w:rPr>
        <w:t xml:space="preserve">s, respectivamente, à Secretaria de Gestão Administrativa (SGA), </w:t>
      </w:r>
      <w:r w:rsidR="00E46003" w:rsidRPr="00F74D23">
        <w:rPr>
          <w:sz w:val="24"/>
          <w:szCs w:val="24"/>
        </w:rPr>
        <w:t xml:space="preserve">à </w:t>
      </w:r>
      <w:r w:rsidR="006C02CD" w:rsidRPr="00F74D23">
        <w:rPr>
          <w:sz w:val="24"/>
          <w:szCs w:val="24"/>
        </w:rPr>
        <w:t xml:space="preserve">Seção de Logística e Voto Informatizado (SEVIN) e </w:t>
      </w:r>
      <w:r w:rsidR="00E46003" w:rsidRPr="00F74D23">
        <w:rPr>
          <w:sz w:val="24"/>
          <w:szCs w:val="24"/>
        </w:rPr>
        <w:t xml:space="preserve">à </w:t>
      </w:r>
      <w:r w:rsidR="006C02CD" w:rsidRPr="00F74D23">
        <w:rPr>
          <w:sz w:val="24"/>
          <w:szCs w:val="24"/>
        </w:rPr>
        <w:t>Seção de Ed</w:t>
      </w:r>
      <w:r w:rsidRPr="00F74D23">
        <w:rPr>
          <w:sz w:val="24"/>
          <w:szCs w:val="24"/>
        </w:rPr>
        <w:t>itoração e Publicação (SE</w:t>
      </w:r>
      <w:r w:rsidR="001B6501">
        <w:rPr>
          <w:sz w:val="24"/>
          <w:szCs w:val="24"/>
        </w:rPr>
        <w:t>PUBLI).</w:t>
      </w:r>
    </w:p>
    <w:p w:rsidR="00E625CE" w:rsidRPr="00F74D23" w:rsidRDefault="00826CAE" w:rsidP="006C02CD">
      <w:pPr>
        <w:jc w:val="both"/>
        <w:rPr>
          <w:sz w:val="24"/>
          <w:szCs w:val="24"/>
        </w:rPr>
      </w:pPr>
      <w:r w:rsidRPr="00F74D23">
        <w:rPr>
          <w:sz w:val="24"/>
          <w:szCs w:val="24"/>
        </w:rPr>
        <w:t>1.</w:t>
      </w:r>
      <w:r w:rsidR="00D54A42">
        <w:rPr>
          <w:sz w:val="24"/>
          <w:szCs w:val="24"/>
        </w:rPr>
        <w:t>7</w:t>
      </w:r>
      <w:r w:rsidR="00E625CE" w:rsidRPr="00F74D23">
        <w:rPr>
          <w:sz w:val="24"/>
          <w:szCs w:val="24"/>
        </w:rPr>
        <w:t xml:space="preserve"> O volume de recurso total empreendido na adjudicação dos </w:t>
      </w:r>
      <w:r w:rsidR="001B6501">
        <w:rPr>
          <w:sz w:val="24"/>
          <w:szCs w:val="24"/>
        </w:rPr>
        <w:t xml:space="preserve">três objetos mencionados </w:t>
      </w:r>
      <w:r w:rsidR="00295294">
        <w:rPr>
          <w:sz w:val="24"/>
          <w:szCs w:val="24"/>
        </w:rPr>
        <w:t>somou</w:t>
      </w:r>
      <w:r w:rsidR="00E625CE" w:rsidRPr="00F74D23">
        <w:rPr>
          <w:sz w:val="24"/>
          <w:szCs w:val="24"/>
        </w:rPr>
        <w:t xml:space="preserve"> R$ 3.693.842,73 (três milhões, seiscentos e noventa e três mil, oitocentos e quarenta e dois reais e setenta e três </w:t>
      </w:r>
      <w:r w:rsidR="00186087" w:rsidRPr="00F74D23">
        <w:rPr>
          <w:sz w:val="24"/>
          <w:szCs w:val="24"/>
        </w:rPr>
        <w:t>centavos</w:t>
      </w:r>
      <w:r w:rsidR="00E625CE" w:rsidRPr="00F74D23">
        <w:rPr>
          <w:sz w:val="24"/>
          <w:szCs w:val="24"/>
        </w:rPr>
        <w:t>).</w:t>
      </w:r>
    </w:p>
    <w:p w:rsidR="004E03A5" w:rsidRDefault="00826CAE" w:rsidP="006C02CD">
      <w:pPr>
        <w:jc w:val="both"/>
        <w:rPr>
          <w:rFonts w:cs="Arial"/>
          <w:sz w:val="24"/>
          <w:szCs w:val="24"/>
        </w:rPr>
      </w:pPr>
      <w:r w:rsidRPr="00F74D23">
        <w:rPr>
          <w:sz w:val="24"/>
          <w:szCs w:val="24"/>
        </w:rPr>
        <w:t>1.</w:t>
      </w:r>
      <w:r w:rsidR="00D54A42">
        <w:rPr>
          <w:sz w:val="24"/>
          <w:szCs w:val="24"/>
        </w:rPr>
        <w:t>8</w:t>
      </w:r>
      <w:r w:rsidR="00E625CE" w:rsidRPr="00F74D23">
        <w:rPr>
          <w:sz w:val="24"/>
          <w:szCs w:val="24"/>
        </w:rPr>
        <w:t xml:space="preserve"> </w:t>
      </w:r>
      <w:r w:rsidR="00D54A42">
        <w:rPr>
          <w:rFonts w:cs="Arial"/>
          <w:sz w:val="24"/>
          <w:szCs w:val="24"/>
        </w:rPr>
        <w:t>A partir d</w:t>
      </w:r>
      <w:r w:rsidR="00B678CA" w:rsidRPr="00F74D23">
        <w:rPr>
          <w:rFonts w:cs="Arial"/>
          <w:sz w:val="24"/>
          <w:szCs w:val="24"/>
        </w:rPr>
        <w:t>as questões de auditoria levantadas durante a fase de pl</w:t>
      </w:r>
      <w:r w:rsidR="006C02CD" w:rsidRPr="00F74D23">
        <w:rPr>
          <w:rFonts w:cs="Arial"/>
          <w:sz w:val="24"/>
          <w:szCs w:val="24"/>
        </w:rPr>
        <w:t xml:space="preserve">anejamento buscou-se avaliar a maturidade do </w:t>
      </w:r>
      <w:r w:rsidR="00D901D9">
        <w:rPr>
          <w:rFonts w:cs="Arial"/>
          <w:sz w:val="24"/>
          <w:szCs w:val="24"/>
        </w:rPr>
        <w:t>Órgão</w:t>
      </w:r>
      <w:r w:rsidR="006C02CD" w:rsidRPr="00F74D23">
        <w:rPr>
          <w:rFonts w:cs="Arial"/>
          <w:sz w:val="24"/>
          <w:szCs w:val="24"/>
        </w:rPr>
        <w:t xml:space="preserve"> acerca do planejamento das contratações e </w:t>
      </w:r>
      <w:r w:rsidR="000D728E">
        <w:rPr>
          <w:rFonts w:cs="Arial"/>
          <w:sz w:val="24"/>
          <w:szCs w:val="24"/>
        </w:rPr>
        <w:t>aspectos atinentes à</w:t>
      </w:r>
      <w:r w:rsidR="006C02CD" w:rsidRPr="00F74D23">
        <w:rPr>
          <w:rFonts w:cs="Arial"/>
          <w:sz w:val="24"/>
          <w:szCs w:val="24"/>
        </w:rPr>
        <w:t xml:space="preserve"> </w:t>
      </w:r>
      <w:r w:rsidR="006C02CD" w:rsidRPr="00F74D23">
        <w:rPr>
          <w:rFonts w:cs="Arial"/>
          <w:sz w:val="24"/>
          <w:szCs w:val="24"/>
        </w:rPr>
        <w:lastRenderedPageBreak/>
        <w:t xml:space="preserve">governança </w:t>
      </w:r>
      <w:r w:rsidR="006C02CD" w:rsidRPr="003B5D52">
        <w:rPr>
          <w:rFonts w:cs="Arial"/>
          <w:sz w:val="24"/>
          <w:szCs w:val="24"/>
        </w:rPr>
        <w:t>das aquisições públicas</w:t>
      </w:r>
      <w:r w:rsidR="00AC4A9E">
        <w:rPr>
          <w:rFonts w:cs="Arial"/>
          <w:sz w:val="24"/>
          <w:szCs w:val="24"/>
        </w:rPr>
        <w:t xml:space="preserve">, </w:t>
      </w:r>
      <w:r w:rsidR="006C02CD" w:rsidRPr="00AC4A9E">
        <w:rPr>
          <w:rFonts w:cs="Arial"/>
          <w:sz w:val="24"/>
          <w:szCs w:val="24"/>
        </w:rPr>
        <w:t>com questões voltadas</w:t>
      </w:r>
      <w:r w:rsidR="006C02CD" w:rsidRPr="00F74D23">
        <w:rPr>
          <w:rFonts w:cs="Arial"/>
          <w:sz w:val="24"/>
          <w:szCs w:val="24"/>
        </w:rPr>
        <w:t xml:space="preserve"> ao Plano A</w:t>
      </w:r>
      <w:r w:rsidR="002C6F9B">
        <w:rPr>
          <w:rFonts w:cs="Arial"/>
          <w:sz w:val="24"/>
          <w:szCs w:val="24"/>
        </w:rPr>
        <w:t>nual de Contratações (PLANCONT);</w:t>
      </w:r>
      <w:r w:rsidR="006C02CD" w:rsidRPr="00F74D23">
        <w:rPr>
          <w:rFonts w:cs="Arial"/>
          <w:sz w:val="24"/>
          <w:szCs w:val="24"/>
        </w:rPr>
        <w:t xml:space="preserve"> elaboração de estudos t</w:t>
      </w:r>
      <w:r w:rsidR="002C6F9B">
        <w:rPr>
          <w:rFonts w:cs="Arial"/>
          <w:sz w:val="24"/>
          <w:szCs w:val="24"/>
        </w:rPr>
        <w:t>écnicos preliminares</w:t>
      </w:r>
      <w:r w:rsidR="003B5D52">
        <w:rPr>
          <w:rFonts w:cs="Arial"/>
          <w:sz w:val="24"/>
          <w:szCs w:val="24"/>
        </w:rPr>
        <w:t xml:space="preserve"> </w:t>
      </w:r>
      <w:r w:rsidR="000D728E">
        <w:rPr>
          <w:rFonts w:cs="Arial"/>
          <w:sz w:val="24"/>
          <w:szCs w:val="24"/>
        </w:rPr>
        <w:t>voltados à contratação</w:t>
      </w:r>
      <w:r w:rsidR="002C6F9B">
        <w:rPr>
          <w:rFonts w:cs="Arial"/>
          <w:sz w:val="24"/>
          <w:szCs w:val="24"/>
        </w:rPr>
        <w:t>;</w:t>
      </w:r>
      <w:r w:rsidR="004E03A5">
        <w:rPr>
          <w:rFonts w:cs="Arial"/>
          <w:sz w:val="24"/>
          <w:szCs w:val="24"/>
        </w:rPr>
        <w:t xml:space="preserve"> </w:t>
      </w:r>
      <w:r w:rsidR="008E7AC6" w:rsidRPr="00F74D23">
        <w:rPr>
          <w:rFonts w:cs="Arial"/>
          <w:sz w:val="24"/>
          <w:szCs w:val="24"/>
        </w:rPr>
        <w:t xml:space="preserve">adoção de critérios de sustentabilidade e </w:t>
      </w:r>
      <w:r w:rsidR="008E7AC6" w:rsidRPr="00224B47">
        <w:rPr>
          <w:rFonts w:cs="Arial"/>
          <w:sz w:val="24"/>
          <w:szCs w:val="24"/>
        </w:rPr>
        <w:t>justificativa</w:t>
      </w:r>
      <w:r w:rsidR="00224B47" w:rsidRPr="00224B47">
        <w:rPr>
          <w:rFonts w:cs="Arial"/>
          <w:sz w:val="24"/>
          <w:szCs w:val="24"/>
        </w:rPr>
        <w:t>s</w:t>
      </w:r>
      <w:r w:rsidR="008E7AC6" w:rsidRPr="00F74D23">
        <w:rPr>
          <w:rFonts w:cs="Arial"/>
          <w:sz w:val="24"/>
          <w:szCs w:val="24"/>
        </w:rPr>
        <w:t xml:space="preserve"> para a contratação condizente com a Estratégia do </w:t>
      </w:r>
      <w:r w:rsidR="00D901D9">
        <w:rPr>
          <w:rFonts w:cs="Arial"/>
          <w:sz w:val="24"/>
          <w:szCs w:val="24"/>
        </w:rPr>
        <w:t>Órgão</w:t>
      </w:r>
      <w:r w:rsidR="008E7AC6" w:rsidRPr="002F668C">
        <w:rPr>
          <w:rFonts w:cs="Arial"/>
          <w:sz w:val="24"/>
          <w:szCs w:val="24"/>
        </w:rPr>
        <w:t>,</w:t>
      </w:r>
      <w:r w:rsidR="002F668C">
        <w:rPr>
          <w:rFonts w:cs="Arial"/>
          <w:sz w:val="24"/>
          <w:szCs w:val="24"/>
        </w:rPr>
        <w:t xml:space="preserve"> </w:t>
      </w:r>
      <w:r w:rsidR="002C6F9B">
        <w:rPr>
          <w:rFonts w:cs="Arial"/>
          <w:sz w:val="24"/>
          <w:szCs w:val="24"/>
        </w:rPr>
        <w:t>bem assim as</w:t>
      </w:r>
      <w:r w:rsidR="008E7AC6" w:rsidRPr="00F74D23">
        <w:rPr>
          <w:rFonts w:cs="Arial"/>
          <w:sz w:val="24"/>
          <w:szCs w:val="24"/>
        </w:rPr>
        <w:t xml:space="preserve"> questões voltadas ao </w:t>
      </w:r>
      <w:r w:rsidR="008E7AC6" w:rsidRPr="002F668C">
        <w:rPr>
          <w:rFonts w:cs="Arial"/>
          <w:sz w:val="24"/>
          <w:szCs w:val="24"/>
        </w:rPr>
        <w:t>levantamento d</w:t>
      </w:r>
      <w:r w:rsidR="002C6F9B" w:rsidRPr="002F668C">
        <w:rPr>
          <w:rFonts w:cs="Arial"/>
          <w:sz w:val="24"/>
          <w:szCs w:val="24"/>
        </w:rPr>
        <w:t>e mercado</w:t>
      </w:r>
      <w:r w:rsidR="000D728E" w:rsidRPr="002F668C">
        <w:rPr>
          <w:rFonts w:cs="Arial"/>
          <w:sz w:val="24"/>
          <w:szCs w:val="24"/>
        </w:rPr>
        <w:t xml:space="preserve"> para</w:t>
      </w:r>
      <w:r w:rsidR="000D728E">
        <w:rPr>
          <w:rFonts w:cs="Arial"/>
          <w:sz w:val="24"/>
          <w:szCs w:val="24"/>
        </w:rPr>
        <w:t xml:space="preserve"> identificação da melhor solução para a Administração</w:t>
      </w:r>
      <w:r w:rsidR="002C6F9B">
        <w:rPr>
          <w:rFonts w:cs="Arial"/>
          <w:sz w:val="24"/>
          <w:szCs w:val="24"/>
        </w:rPr>
        <w:t xml:space="preserve"> e pesquisas de preços;</w:t>
      </w:r>
      <w:r w:rsidR="008E7AC6" w:rsidRPr="00F74D23">
        <w:rPr>
          <w:rFonts w:cs="Arial"/>
          <w:sz w:val="24"/>
          <w:szCs w:val="24"/>
        </w:rPr>
        <w:t xml:space="preserve"> aspectos de conformida</w:t>
      </w:r>
      <w:r w:rsidR="002C6F9B">
        <w:rPr>
          <w:rFonts w:cs="Arial"/>
          <w:sz w:val="24"/>
          <w:szCs w:val="24"/>
        </w:rPr>
        <w:t>de na fase interna da licitação;</w:t>
      </w:r>
      <w:r w:rsidR="008E7AC6" w:rsidRPr="00F74D23">
        <w:rPr>
          <w:rFonts w:cs="Arial"/>
          <w:sz w:val="24"/>
          <w:szCs w:val="24"/>
        </w:rPr>
        <w:t xml:space="preserve"> </w:t>
      </w:r>
      <w:r w:rsidR="008E7AC6" w:rsidRPr="002F668C">
        <w:rPr>
          <w:rFonts w:cs="Arial"/>
          <w:sz w:val="24"/>
          <w:szCs w:val="24"/>
        </w:rPr>
        <w:t xml:space="preserve">verificação da atuação do pregoeiro durante </w:t>
      </w:r>
      <w:r w:rsidR="000D728E" w:rsidRPr="002F668C">
        <w:rPr>
          <w:rFonts w:cs="Arial"/>
          <w:sz w:val="24"/>
          <w:szCs w:val="24"/>
        </w:rPr>
        <w:t>o certame</w:t>
      </w:r>
      <w:r w:rsidR="000D728E">
        <w:rPr>
          <w:rFonts w:cs="Arial"/>
          <w:sz w:val="24"/>
          <w:szCs w:val="24"/>
        </w:rPr>
        <w:t xml:space="preserve"> licitatório</w:t>
      </w:r>
      <w:r w:rsidR="002C6F9B">
        <w:rPr>
          <w:rFonts w:cs="Arial"/>
          <w:sz w:val="24"/>
          <w:szCs w:val="24"/>
        </w:rPr>
        <w:t>;</w:t>
      </w:r>
      <w:r w:rsidR="009B11BC">
        <w:rPr>
          <w:rFonts w:cs="Arial"/>
          <w:sz w:val="24"/>
          <w:szCs w:val="24"/>
        </w:rPr>
        <w:t xml:space="preserve"> </w:t>
      </w:r>
      <w:r w:rsidR="009C0FD1" w:rsidRPr="00F74D23">
        <w:rPr>
          <w:rFonts w:cs="Arial"/>
          <w:sz w:val="24"/>
          <w:szCs w:val="24"/>
        </w:rPr>
        <w:t xml:space="preserve">e </w:t>
      </w:r>
      <w:r w:rsidR="008A5B0F">
        <w:rPr>
          <w:rFonts w:cs="Arial"/>
          <w:sz w:val="24"/>
          <w:szCs w:val="24"/>
        </w:rPr>
        <w:t>delimitação de competências administrativas dos servidores e unidades envolvidos na instrução do processo de contratação, com</w:t>
      </w:r>
      <w:r w:rsidR="009C0FD1" w:rsidRPr="00F74D23">
        <w:rPr>
          <w:rFonts w:cs="Arial"/>
          <w:sz w:val="24"/>
          <w:szCs w:val="24"/>
        </w:rPr>
        <w:t xml:space="preserve"> observância do princípio da segregação de funções</w:t>
      </w:r>
      <w:r w:rsidR="008A5B0F">
        <w:rPr>
          <w:rFonts w:cs="Arial"/>
          <w:sz w:val="24"/>
          <w:szCs w:val="24"/>
        </w:rPr>
        <w:t xml:space="preserve">. </w:t>
      </w:r>
    </w:p>
    <w:p w:rsidR="00B678CA" w:rsidRPr="00F74D23" w:rsidRDefault="00826CAE" w:rsidP="009C0FD1">
      <w:pPr>
        <w:jc w:val="both"/>
        <w:rPr>
          <w:bCs/>
          <w:sz w:val="24"/>
          <w:szCs w:val="24"/>
        </w:rPr>
      </w:pPr>
      <w:r w:rsidRPr="00F74D23">
        <w:rPr>
          <w:rFonts w:cs="Arial"/>
          <w:sz w:val="24"/>
          <w:szCs w:val="24"/>
        </w:rPr>
        <w:t>1.</w:t>
      </w:r>
      <w:r w:rsidR="002C6F9B">
        <w:rPr>
          <w:rFonts w:cs="Arial"/>
          <w:sz w:val="24"/>
          <w:szCs w:val="24"/>
        </w:rPr>
        <w:t>9</w:t>
      </w:r>
      <w:r w:rsidR="009C0FD1" w:rsidRPr="00F74D23">
        <w:rPr>
          <w:rFonts w:cs="Arial"/>
          <w:sz w:val="24"/>
          <w:szCs w:val="24"/>
        </w:rPr>
        <w:t xml:space="preserve"> </w:t>
      </w:r>
      <w:r w:rsidR="00B678CA" w:rsidRPr="00F74D23">
        <w:rPr>
          <w:bCs/>
          <w:sz w:val="24"/>
          <w:szCs w:val="24"/>
        </w:rPr>
        <w:t>Durante os</w:t>
      </w:r>
      <w:r w:rsidR="009C0FD1" w:rsidRPr="00F74D23">
        <w:rPr>
          <w:bCs/>
          <w:sz w:val="24"/>
          <w:szCs w:val="24"/>
        </w:rPr>
        <w:t xml:space="preserve"> trabalhos de fiscalização </w:t>
      </w:r>
      <w:r w:rsidRPr="00F74D23">
        <w:rPr>
          <w:bCs/>
          <w:sz w:val="24"/>
          <w:szCs w:val="24"/>
        </w:rPr>
        <w:t>foram elaborados os papéis de trabalho “Matriz de Plan</w:t>
      </w:r>
      <w:r w:rsidR="002C6F9B">
        <w:rPr>
          <w:bCs/>
          <w:sz w:val="24"/>
          <w:szCs w:val="24"/>
        </w:rPr>
        <w:t>ejamento”,</w:t>
      </w:r>
      <w:r w:rsidR="00B678CA" w:rsidRPr="00F74D23">
        <w:rPr>
          <w:bCs/>
          <w:sz w:val="24"/>
          <w:szCs w:val="24"/>
        </w:rPr>
        <w:t xml:space="preserve"> “</w:t>
      </w:r>
      <w:r w:rsidR="009C0FD1" w:rsidRPr="00F74D23">
        <w:rPr>
          <w:bCs/>
          <w:sz w:val="24"/>
          <w:szCs w:val="24"/>
        </w:rPr>
        <w:t>Análise de Conformidade e Integridade do Processo</w:t>
      </w:r>
      <w:r w:rsidR="00B678CA" w:rsidRPr="00F74D23">
        <w:rPr>
          <w:bCs/>
          <w:sz w:val="24"/>
          <w:szCs w:val="24"/>
        </w:rPr>
        <w:t>”</w:t>
      </w:r>
      <w:r w:rsidR="002C6F9B">
        <w:rPr>
          <w:bCs/>
          <w:sz w:val="24"/>
          <w:szCs w:val="24"/>
        </w:rPr>
        <w:t xml:space="preserve"> </w:t>
      </w:r>
      <w:r w:rsidR="002C6F9B">
        <w:rPr>
          <w:sz w:val="24"/>
          <w:szCs w:val="24"/>
        </w:rPr>
        <w:t>e</w:t>
      </w:r>
      <w:r w:rsidR="009C0FD1" w:rsidRPr="00F74D23">
        <w:rPr>
          <w:sz w:val="24"/>
          <w:szCs w:val="24"/>
        </w:rPr>
        <w:t xml:space="preserve"> </w:t>
      </w:r>
      <w:r w:rsidRPr="00F74D23">
        <w:rPr>
          <w:bCs/>
          <w:sz w:val="24"/>
          <w:szCs w:val="24"/>
        </w:rPr>
        <w:t xml:space="preserve">“Matriz de Achados”, </w:t>
      </w:r>
      <w:r w:rsidR="002C6F9B">
        <w:rPr>
          <w:bCs/>
          <w:sz w:val="24"/>
          <w:szCs w:val="24"/>
        </w:rPr>
        <w:t xml:space="preserve">cuja elaboração foi feita </w:t>
      </w:r>
      <w:r w:rsidRPr="00F74D23">
        <w:rPr>
          <w:bCs/>
          <w:sz w:val="24"/>
          <w:szCs w:val="24"/>
        </w:rPr>
        <w:t xml:space="preserve">confrontando-se os dispositivos legais aplicáveis à </w:t>
      </w:r>
      <w:r w:rsidR="0069783B">
        <w:rPr>
          <w:bCs/>
          <w:sz w:val="24"/>
          <w:szCs w:val="24"/>
        </w:rPr>
        <w:t>matéria</w:t>
      </w:r>
      <w:r w:rsidRPr="00F74D23">
        <w:rPr>
          <w:bCs/>
          <w:sz w:val="24"/>
          <w:szCs w:val="24"/>
        </w:rPr>
        <w:t xml:space="preserve"> com os fatos observados, os quais foram devidamente evidenciados por meio de documentos extraídos dos processos </w:t>
      </w:r>
      <w:r w:rsidRPr="0069783B">
        <w:rPr>
          <w:bCs/>
          <w:sz w:val="24"/>
          <w:szCs w:val="24"/>
        </w:rPr>
        <w:t xml:space="preserve">que </w:t>
      </w:r>
      <w:r w:rsidR="0069783B" w:rsidRPr="0069783B">
        <w:rPr>
          <w:bCs/>
          <w:sz w:val="24"/>
          <w:szCs w:val="24"/>
        </w:rPr>
        <w:t xml:space="preserve">instruíram </w:t>
      </w:r>
      <w:r w:rsidRPr="0069783B">
        <w:rPr>
          <w:bCs/>
          <w:sz w:val="24"/>
          <w:szCs w:val="24"/>
        </w:rPr>
        <w:t>a</w:t>
      </w:r>
      <w:r w:rsidRPr="00F74D23">
        <w:rPr>
          <w:bCs/>
          <w:sz w:val="24"/>
          <w:szCs w:val="24"/>
        </w:rPr>
        <w:t xml:space="preserve"> contratação. </w:t>
      </w:r>
    </w:p>
    <w:p w:rsidR="009C0FD1" w:rsidRPr="00F74D23" w:rsidRDefault="00DB5A1A" w:rsidP="009C0FD1">
      <w:pPr>
        <w:jc w:val="both"/>
        <w:rPr>
          <w:rFonts w:cs="Arial"/>
          <w:sz w:val="24"/>
          <w:szCs w:val="24"/>
        </w:rPr>
      </w:pPr>
      <w:r w:rsidRPr="00F74D23">
        <w:rPr>
          <w:bCs/>
          <w:sz w:val="24"/>
          <w:szCs w:val="24"/>
        </w:rPr>
        <w:t>1.1</w:t>
      </w:r>
      <w:r w:rsidR="0059141A">
        <w:rPr>
          <w:bCs/>
          <w:sz w:val="24"/>
          <w:szCs w:val="24"/>
        </w:rPr>
        <w:t>0</w:t>
      </w:r>
      <w:r w:rsidR="00E625CE" w:rsidRPr="00F74D23">
        <w:rPr>
          <w:bCs/>
          <w:sz w:val="24"/>
          <w:szCs w:val="24"/>
        </w:rPr>
        <w:t xml:space="preserve"> Registre-se, por oportuno, que nenhum óbice foi imposto ao desenvolvimento dos trabalhos da presente fiscalização. </w:t>
      </w:r>
    </w:p>
    <w:p w:rsidR="00B678CA" w:rsidRPr="008A5B0F" w:rsidRDefault="00DB5A1A" w:rsidP="00DB5A1A">
      <w:pPr>
        <w:jc w:val="both"/>
        <w:rPr>
          <w:sz w:val="24"/>
          <w:szCs w:val="24"/>
        </w:rPr>
      </w:pPr>
      <w:r w:rsidRPr="008A5B0F">
        <w:rPr>
          <w:sz w:val="24"/>
          <w:szCs w:val="24"/>
        </w:rPr>
        <w:t>1.1</w:t>
      </w:r>
      <w:r w:rsidR="0059141A" w:rsidRPr="008A5B0F">
        <w:rPr>
          <w:sz w:val="24"/>
          <w:szCs w:val="24"/>
        </w:rPr>
        <w:t>1</w:t>
      </w:r>
      <w:r w:rsidR="009C0FD1" w:rsidRPr="008A5B0F">
        <w:rPr>
          <w:sz w:val="24"/>
          <w:szCs w:val="24"/>
        </w:rPr>
        <w:t xml:space="preserve"> </w:t>
      </w:r>
      <w:r w:rsidR="00B678CA" w:rsidRPr="008A5B0F">
        <w:rPr>
          <w:sz w:val="24"/>
          <w:szCs w:val="24"/>
        </w:rPr>
        <w:t xml:space="preserve">Os benefícios esperados, provenientes dos trabalhos realizados são: </w:t>
      </w:r>
      <w:r w:rsidR="00826CAE" w:rsidRPr="008A5B0F">
        <w:rPr>
          <w:sz w:val="24"/>
          <w:szCs w:val="24"/>
        </w:rPr>
        <w:t>a)</w:t>
      </w:r>
      <w:r w:rsidR="00B678CA" w:rsidRPr="008A5B0F">
        <w:rPr>
          <w:sz w:val="24"/>
          <w:szCs w:val="24"/>
        </w:rPr>
        <w:t xml:space="preserve"> conhecimento </w:t>
      </w:r>
      <w:r w:rsidR="00826CAE" w:rsidRPr="008A5B0F">
        <w:rPr>
          <w:sz w:val="24"/>
          <w:szCs w:val="24"/>
        </w:rPr>
        <w:t>do nível de</w:t>
      </w:r>
      <w:r w:rsidR="009C0FD1" w:rsidRPr="008A5B0F">
        <w:rPr>
          <w:sz w:val="24"/>
          <w:szCs w:val="24"/>
        </w:rPr>
        <w:t xml:space="preserve"> maturidade do </w:t>
      </w:r>
      <w:r w:rsidR="00D901D9" w:rsidRPr="008A5B0F">
        <w:rPr>
          <w:sz w:val="24"/>
          <w:szCs w:val="24"/>
        </w:rPr>
        <w:t>Órgão</w:t>
      </w:r>
      <w:r w:rsidR="009C0FD1" w:rsidRPr="008A5B0F">
        <w:rPr>
          <w:sz w:val="24"/>
          <w:szCs w:val="24"/>
        </w:rPr>
        <w:t xml:space="preserve"> acerca da governança das aquisições</w:t>
      </w:r>
      <w:r w:rsidR="00826CAE" w:rsidRPr="008A5B0F">
        <w:rPr>
          <w:sz w:val="24"/>
          <w:szCs w:val="24"/>
        </w:rPr>
        <w:t xml:space="preserve"> públicas</w:t>
      </w:r>
      <w:r w:rsidR="009C0FD1" w:rsidRPr="008A5B0F">
        <w:rPr>
          <w:sz w:val="24"/>
          <w:szCs w:val="24"/>
        </w:rPr>
        <w:t xml:space="preserve">, controles da gestão das aquisições e controles internos </w:t>
      </w:r>
      <w:r w:rsidR="008A5B0F" w:rsidRPr="008A5B0F">
        <w:rPr>
          <w:sz w:val="24"/>
          <w:szCs w:val="24"/>
        </w:rPr>
        <w:t>administrativos</w:t>
      </w:r>
      <w:r w:rsidR="009C0FD1" w:rsidRPr="008A5B0F">
        <w:rPr>
          <w:sz w:val="24"/>
          <w:szCs w:val="24"/>
        </w:rPr>
        <w:t xml:space="preserve"> de aquisições e conformidade das contratações; b) reconhecimento, quando devido, das boas prá</w:t>
      </w:r>
      <w:r w:rsidR="00826CAE" w:rsidRPr="008A5B0F">
        <w:rPr>
          <w:sz w:val="24"/>
          <w:szCs w:val="24"/>
        </w:rPr>
        <w:t>ticas já operacionalizadas; c)</w:t>
      </w:r>
      <w:r w:rsidR="009C0FD1" w:rsidRPr="008A5B0F">
        <w:rPr>
          <w:sz w:val="24"/>
          <w:szCs w:val="24"/>
        </w:rPr>
        <w:t xml:space="preserve"> </w:t>
      </w:r>
      <w:r w:rsidRPr="008A5B0F">
        <w:rPr>
          <w:sz w:val="24"/>
          <w:szCs w:val="24"/>
        </w:rPr>
        <w:t>sugestão</w:t>
      </w:r>
      <w:r w:rsidR="009C0FD1" w:rsidRPr="008A5B0F">
        <w:rPr>
          <w:sz w:val="24"/>
          <w:szCs w:val="24"/>
        </w:rPr>
        <w:t xml:space="preserve"> de melhorias nas fases de planejamento das aquisições e n</w:t>
      </w:r>
      <w:r w:rsidR="00826CAE" w:rsidRPr="008A5B0F">
        <w:rPr>
          <w:sz w:val="24"/>
          <w:szCs w:val="24"/>
        </w:rPr>
        <w:t>os processos de licitações; d)</w:t>
      </w:r>
      <w:r w:rsidR="009C0FD1" w:rsidRPr="008A5B0F">
        <w:rPr>
          <w:sz w:val="24"/>
          <w:szCs w:val="24"/>
        </w:rPr>
        <w:t xml:space="preserve"> aperfeiçoamento contínuo da gestão operacional do Tribunal nesta matéria.</w:t>
      </w:r>
    </w:p>
    <w:p w:rsidR="00DB5A1A" w:rsidRPr="00F74D23" w:rsidRDefault="00DB5A1A" w:rsidP="00604FE6">
      <w:pPr>
        <w:jc w:val="both"/>
        <w:rPr>
          <w:sz w:val="24"/>
          <w:szCs w:val="24"/>
        </w:rPr>
      </w:pPr>
    </w:p>
    <w:p w:rsidR="00D91A32" w:rsidRPr="0059141A" w:rsidRDefault="00186087" w:rsidP="00604FE6">
      <w:pPr>
        <w:jc w:val="both"/>
        <w:rPr>
          <w:b/>
          <w:sz w:val="24"/>
          <w:szCs w:val="24"/>
        </w:rPr>
      </w:pPr>
      <w:r w:rsidRPr="00F74D23">
        <w:rPr>
          <w:b/>
          <w:sz w:val="24"/>
          <w:szCs w:val="24"/>
        </w:rPr>
        <w:t>2</w:t>
      </w:r>
      <w:r w:rsidR="009C1E05" w:rsidRPr="00F74D23">
        <w:rPr>
          <w:b/>
          <w:sz w:val="24"/>
          <w:szCs w:val="24"/>
        </w:rPr>
        <w:t xml:space="preserve">. </w:t>
      </w:r>
      <w:r w:rsidR="003A1453" w:rsidRPr="00F74D23">
        <w:rPr>
          <w:b/>
          <w:sz w:val="24"/>
          <w:szCs w:val="24"/>
        </w:rPr>
        <w:t>ACHADOS DE AUDITORIA</w:t>
      </w:r>
      <w:r w:rsidR="008A40FB" w:rsidRPr="00F74D23">
        <w:rPr>
          <w:b/>
          <w:sz w:val="24"/>
          <w:szCs w:val="24"/>
        </w:rPr>
        <w:t xml:space="preserve"> </w:t>
      </w:r>
    </w:p>
    <w:p w:rsidR="001D1CB8" w:rsidRDefault="00186087" w:rsidP="00186087">
      <w:pPr>
        <w:jc w:val="both"/>
        <w:rPr>
          <w:sz w:val="24"/>
          <w:szCs w:val="24"/>
        </w:rPr>
      </w:pPr>
      <w:r w:rsidRPr="00F74D23">
        <w:rPr>
          <w:sz w:val="24"/>
          <w:szCs w:val="24"/>
        </w:rPr>
        <w:t xml:space="preserve">Concluídas as etapas reservadas ao exame, análise e cotejo de documentos, registros e demais fontes de </w:t>
      </w:r>
      <w:r w:rsidR="00D05BB2">
        <w:rPr>
          <w:sz w:val="24"/>
          <w:szCs w:val="24"/>
        </w:rPr>
        <w:t>informações</w:t>
      </w:r>
      <w:r w:rsidR="002807BD">
        <w:rPr>
          <w:sz w:val="24"/>
          <w:szCs w:val="24"/>
        </w:rPr>
        <w:t xml:space="preserve"> </w:t>
      </w:r>
      <w:r w:rsidRPr="00F74D23">
        <w:rPr>
          <w:sz w:val="24"/>
          <w:szCs w:val="24"/>
        </w:rPr>
        <w:t>utilizadas para elucidação das questões propostas, restaram evidenciados os seguintes achados:</w:t>
      </w:r>
    </w:p>
    <w:p w:rsidR="001A0401" w:rsidRPr="00F74D23" w:rsidRDefault="00186087" w:rsidP="00CF13E9">
      <w:pPr>
        <w:pStyle w:val="ecxmsonormal"/>
        <w:spacing w:after="120"/>
        <w:jc w:val="both"/>
        <w:rPr>
          <w:b/>
        </w:rPr>
      </w:pPr>
      <w:r w:rsidRPr="00F74D23">
        <w:rPr>
          <w:b/>
        </w:rPr>
        <w:t>2</w:t>
      </w:r>
      <w:r w:rsidR="001A0401" w:rsidRPr="00F74D23">
        <w:rPr>
          <w:b/>
          <w:bCs/>
          <w:iCs/>
        </w:rPr>
        <w:t xml:space="preserve">.1. </w:t>
      </w:r>
      <w:r w:rsidR="000316EE" w:rsidRPr="00F74D23">
        <w:rPr>
          <w:b/>
        </w:rPr>
        <w:t>Deficiência no processo de planejamento das aquisições.</w:t>
      </w:r>
    </w:p>
    <w:p w:rsidR="000316EE" w:rsidRPr="00F74D23" w:rsidRDefault="00186087" w:rsidP="00CF13E9">
      <w:pPr>
        <w:pStyle w:val="ecxmsonormal"/>
        <w:spacing w:after="120"/>
        <w:jc w:val="both"/>
      </w:pPr>
      <w:r w:rsidRPr="00F74D23">
        <w:rPr>
          <w:b/>
          <w:i/>
          <w:iCs/>
        </w:rPr>
        <w:t xml:space="preserve">2.1.1. </w:t>
      </w:r>
      <w:r w:rsidR="001A0401" w:rsidRPr="00F74D23">
        <w:rPr>
          <w:b/>
          <w:i/>
          <w:iCs/>
        </w:rPr>
        <w:t xml:space="preserve">Situações encontradas: </w:t>
      </w:r>
      <w:r w:rsidR="000316EE" w:rsidRPr="00F74D23">
        <w:t xml:space="preserve">a) </w:t>
      </w:r>
      <w:r w:rsidR="00FE7580">
        <w:t>P</w:t>
      </w:r>
      <w:r w:rsidR="004E03A5">
        <w:t xml:space="preserve">rotocolização do </w:t>
      </w:r>
      <w:r w:rsidR="00FE7580">
        <w:t>t</w:t>
      </w:r>
      <w:r w:rsidR="004E03A5">
        <w:t xml:space="preserve">ermo de </w:t>
      </w:r>
      <w:r w:rsidR="00FE7580">
        <w:t>r</w:t>
      </w:r>
      <w:r w:rsidR="004E03A5">
        <w:t>eferência</w:t>
      </w:r>
      <w:r w:rsidR="00F77FE9">
        <w:t xml:space="preserve"> (TR)</w:t>
      </w:r>
      <w:r w:rsidR="00FE7580">
        <w:t>,</w:t>
      </w:r>
      <w:r w:rsidR="004E03A5">
        <w:t xml:space="preserve"> sem realização de estudos técnicos preliminares </w:t>
      </w:r>
      <w:r w:rsidR="000316EE" w:rsidRPr="00F74D23">
        <w:t>demonstr</w:t>
      </w:r>
      <w:r w:rsidR="00FE7580">
        <w:t xml:space="preserve">ando </w:t>
      </w:r>
      <w:r w:rsidR="000316EE" w:rsidRPr="00F74D23">
        <w:t>a viabilidade técnica</w:t>
      </w:r>
      <w:r w:rsidR="00FE7580">
        <w:t>,</w:t>
      </w:r>
      <w:r w:rsidR="000316EE" w:rsidRPr="00F74D23">
        <w:t xml:space="preserve"> </w:t>
      </w:r>
      <w:r w:rsidR="00FE7580">
        <w:t xml:space="preserve">nas </w:t>
      </w:r>
      <w:r w:rsidR="000F5C0C">
        <w:t xml:space="preserve">seguintes </w:t>
      </w:r>
      <w:r w:rsidR="00FE7580">
        <w:t>contratações</w:t>
      </w:r>
      <w:r w:rsidR="000F5C0C">
        <w:t>:</w:t>
      </w:r>
      <w:r w:rsidR="000316EE" w:rsidRPr="00F74D23">
        <w:t xml:space="preserve"> </w:t>
      </w:r>
      <w:r w:rsidR="00D05BB2">
        <w:t>serviços de manutenção predial para os imóveis do interior do estado da Bahia,</w:t>
      </w:r>
      <w:r w:rsidR="003B4DF6">
        <w:t xml:space="preserve"> </w:t>
      </w:r>
      <w:r w:rsidR="000316EE" w:rsidRPr="00F74D23">
        <w:t xml:space="preserve">conservação de urnas eletrônicas e prestação de serviços gráficos; b) </w:t>
      </w:r>
      <w:r w:rsidR="00FE7580">
        <w:t>Não</w:t>
      </w:r>
      <w:r w:rsidR="000316EE" w:rsidRPr="00F74D23">
        <w:t xml:space="preserve"> inclusão de requisitos de sustentabilidade ambiental</w:t>
      </w:r>
      <w:r w:rsidR="00CF13E9" w:rsidRPr="00F74D23">
        <w:t xml:space="preserve"> nas </w:t>
      </w:r>
      <w:r w:rsidR="00CF13E9" w:rsidRPr="00BF7B8D">
        <w:t xml:space="preserve">contratações de </w:t>
      </w:r>
      <w:r w:rsidR="000D728E" w:rsidRPr="00BF7B8D">
        <w:t xml:space="preserve">prestação de serviços para </w:t>
      </w:r>
      <w:r w:rsidR="00CF13E9" w:rsidRPr="00BF7B8D">
        <w:t>conservação de urnas eletrônicas</w:t>
      </w:r>
      <w:r w:rsidR="002807BD">
        <w:t xml:space="preserve"> </w:t>
      </w:r>
      <w:r w:rsidR="00CF13E9" w:rsidRPr="00F74D23">
        <w:t>e prestação de serviços gráficos;</w:t>
      </w:r>
      <w:r w:rsidR="00F24394">
        <w:t xml:space="preserve"> c) </w:t>
      </w:r>
      <w:r w:rsidR="00F77FE9">
        <w:t>Verificação de</w:t>
      </w:r>
      <w:r w:rsidR="00F24394">
        <w:t xml:space="preserve"> retificações no </w:t>
      </w:r>
      <w:r w:rsidR="00F77FE9">
        <w:t>t</w:t>
      </w:r>
      <w:r w:rsidR="00F24394">
        <w:t xml:space="preserve">ermo de </w:t>
      </w:r>
      <w:r w:rsidR="00F77FE9">
        <w:t>r</w:t>
      </w:r>
      <w:r w:rsidR="00F24394">
        <w:t xml:space="preserve">eferência elaborado pelo </w:t>
      </w:r>
      <w:r w:rsidR="00F77FE9">
        <w:t>g</w:t>
      </w:r>
      <w:r w:rsidR="00F24394">
        <w:t xml:space="preserve">rupo de </w:t>
      </w:r>
      <w:r w:rsidR="00F77FE9">
        <w:t>t</w:t>
      </w:r>
      <w:r w:rsidR="00F24394">
        <w:t xml:space="preserve">rabalho nomeado </w:t>
      </w:r>
      <w:r w:rsidR="00F77FE9">
        <w:t>para elaborar o TR do processo de contratação dos serviços de manutenção predial (</w:t>
      </w:r>
      <w:r w:rsidR="00F24394">
        <w:t>Portaria DG n° 311/2014</w:t>
      </w:r>
      <w:r w:rsidR="00F77FE9">
        <w:t>)</w:t>
      </w:r>
      <w:r w:rsidR="00F24394">
        <w:t xml:space="preserve">, </w:t>
      </w:r>
      <w:r w:rsidR="00F77FE9">
        <w:t>cuja</w:t>
      </w:r>
      <w:r w:rsidR="00F24394">
        <w:t xml:space="preserve"> protocolização do primeiro Termo de Referência </w:t>
      </w:r>
      <w:r w:rsidR="00F77FE9">
        <w:t xml:space="preserve">ocorreu </w:t>
      </w:r>
      <w:r w:rsidR="00F24394">
        <w:t xml:space="preserve">em 2/1/2014 e </w:t>
      </w:r>
      <w:r w:rsidR="00F77FE9">
        <w:t xml:space="preserve">a </w:t>
      </w:r>
      <w:r w:rsidR="00F24394">
        <w:t>pu</w:t>
      </w:r>
      <w:r w:rsidR="00BA75A3">
        <w:t>blicação do edital em 29/3/2016</w:t>
      </w:r>
      <w:r w:rsidR="000D4625">
        <w:t>.</w:t>
      </w:r>
      <w:r w:rsidR="003B4DF6">
        <w:t xml:space="preserve"> </w:t>
      </w:r>
    </w:p>
    <w:p w:rsidR="00CF13E9" w:rsidRPr="00F74D23" w:rsidRDefault="00186087" w:rsidP="00CF13E9">
      <w:pPr>
        <w:pStyle w:val="ecxmsonormal"/>
        <w:spacing w:after="120"/>
        <w:jc w:val="both"/>
      </w:pPr>
      <w:r w:rsidRPr="00F74D23">
        <w:rPr>
          <w:b/>
          <w:i/>
          <w:iCs/>
        </w:rPr>
        <w:t xml:space="preserve">2.1.2. </w:t>
      </w:r>
      <w:r w:rsidR="001A0401" w:rsidRPr="00F74D23">
        <w:rPr>
          <w:b/>
          <w:i/>
          <w:iCs/>
        </w:rPr>
        <w:t xml:space="preserve">Critério: </w:t>
      </w:r>
      <w:r w:rsidR="00CF13E9" w:rsidRPr="00F74D23">
        <w:t>a) Arts. 3º, 6°, IX e 12, VII da Lei n°. 8.666/93; b) Guia de Boas Práticas em Contratação de Soluções de Tecnologia da Inf</w:t>
      </w:r>
      <w:r w:rsidR="003F47E8">
        <w:t>ormação (versão 1.0, TCU, 2012).</w:t>
      </w:r>
    </w:p>
    <w:p w:rsidR="001A0401" w:rsidRPr="00F74D23" w:rsidRDefault="00186087" w:rsidP="00CF13E9">
      <w:pPr>
        <w:pStyle w:val="ecxmsonormal"/>
        <w:spacing w:after="120"/>
        <w:jc w:val="both"/>
      </w:pPr>
      <w:r w:rsidRPr="00F74D23">
        <w:rPr>
          <w:b/>
          <w:i/>
          <w:iCs/>
        </w:rPr>
        <w:t xml:space="preserve">2.1.3. </w:t>
      </w:r>
      <w:r w:rsidR="001A0401" w:rsidRPr="00F74D23">
        <w:rPr>
          <w:b/>
          <w:i/>
          <w:iCs/>
        </w:rPr>
        <w:t xml:space="preserve">Evidência(s): </w:t>
      </w:r>
      <w:r w:rsidR="004E03A5">
        <w:t>a) Doc</w:t>
      </w:r>
      <w:r w:rsidR="006239D1">
        <w:t xml:space="preserve">s. PAD nº. </w:t>
      </w:r>
      <w:r w:rsidR="004E03A5">
        <w:t>6/2015</w:t>
      </w:r>
      <w:r w:rsidR="006239D1">
        <w:t xml:space="preserve"> – protocolização do Termo de Referência em 02/1/2014,</w:t>
      </w:r>
      <w:r w:rsidR="00002B47">
        <w:t xml:space="preserve"> </w:t>
      </w:r>
      <w:r w:rsidR="006239D1">
        <w:t>47/2015 – Portaria DG n° 111, de 30 de abril de 2014</w:t>
      </w:r>
      <w:r w:rsidR="00002B47">
        <w:t xml:space="preserve"> e 38.797/2016 – edital designando pregão para 29/3/2016</w:t>
      </w:r>
      <w:r w:rsidR="004E03A5">
        <w:t xml:space="preserve"> (PAD nº. 003/2015 – </w:t>
      </w:r>
      <w:r w:rsidR="00CF13E9" w:rsidRPr="00F74D23">
        <w:t>serviços de manutenção predial); b) Docs. PA</w:t>
      </w:r>
      <w:r w:rsidR="004E03A5">
        <w:t xml:space="preserve">D nº. 37.211/2015 e 37.217/2015 (PAD nº. 4.689/2015 – </w:t>
      </w:r>
      <w:r w:rsidR="00CF13E9" w:rsidRPr="00F74D23">
        <w:t xml:space="preserve">conservação de urnas </w:t>
      </w:r>
      <w:r w:rsidR="00CF13E9" w:rsidRPr="00F74D23">
        <w:lastRenderedPageBreak/>
        <w:t xml:space="preserve">eletrônicas); c) Docs. PAD nº. </w:t>
      </w:r>
      <w:r w:rsidR="00852241" w:rsidRPr="00F74D23">
        <w:t>1.32</w:t>
      </w:r>
      <w:r w:rsidR="00852241">
        <w:t xml:space="preserve">1/2015, fls. 02/16 e 69.085/2016 (PAD nº. 290/2015 – </w:t>
      </w:r>
      <w:r w:rsidR="00852241" w:rsidRPr="00F74D23">
        <w:t>prestação de serviços gráficos)</w:t>
      </w:r>
      <w:r w:rsidR="00852241">
        <w:t xml:space="preserve">. </w:t>
      </w:r>
    </w:p>
    <w:p w:rsidR="00726BE1" w:rsidRDefault="00186087" w:rsidP="00726BE1">
      <w:pPr>
        <w:pStyle w:val="ecxmsonormal"/>
        <w:spacing w:after="120"/>
        <w:jc w:val="both"/>
        <w:rPr>
          <w:bCs/>
        </w:rPr>
      </w:pPr>
      <w:r w:rsidRPr="00F74D23">
        <w:rPr>
          <w:b/>
          <w:i/>
          <w:iCs/>
        </w:rPr>
        <w:t xml:space="preserve">2.1.4. </w:t>
      </w:r>
      <w:r w:rsidR="001A0401" w:rsidRPr="00F74D23">
        <w:rPr>
          <w:b/>
          <w:i/>
          <w:iCs/>
        </w:rPr>
        <w:t>Causa:</w:t>
      </w:r>
      <w:r w:rsidR="001A0401" w:rsidRPr="00F74D23">
        <w:rPr>
          <w:bCs/>
        </w:rPr>
        <w:t xml:space="preserve"> </w:t>
      </w:r>
      <w:r w:rsidR="0009668C">
        <w:rPr>
          <w:bCs/>
        </w:rPr>
        <w:t>a) Precariedade da c</w:t>
      </w:r>
      <w:r w:rsidR="00CF13E9" w:rsidRPr="00F74D23">
        <w:rPr>
          <w:bCs/>
        </w:rPr>
        <w:t>ultura de planejamento nas contratações do Tribunal</w:t>
      </w:r>
      <w:r w:rsidR="0009668C">
        <w:rPr>
          <w:bCs/>
        </w:rPr>
        <w:t xml:space="preserve">; </w:t>
      </w:r>
      <w:r w:rsidR="00CF13E9" w:rsidRPr="00F74D23">
        <w:rPr>
          <w:bCs/>
        </w:rPr>
        <w:t xml:space="preserve">b) Insuficiência de capacitação dos servidores responsáveis pelo planejamento </w:t>
      </w:r>
      <w:r w:rsidR="00CF13E9" w:rsidRPr="002337C1">
        <w:rPr>
          <w:bCs/>
        </w:rPr>
        <w:t>da</w:t>
      </w:r>
      <w:r w:rsidR="002337C1" w:rsidRPr="002337C1">
        <w:rPr>
          <w:bCs/>
        </w:rPr>
        <w:t>s</w:t>
      </w:r>
      <w:r w:rsidR="0009668C">
        <w:rPr>
          <w:bCs/>
        </w:rPr>
        <w:t xml:space="preserve"> aquisições;</w:t>
      </w:r>
      <w:r w:rsidR="00CF13E9" w:rsidRPr="00F74D23">
        <w:rPr>
          <w:bCs/>
        </w:rPr>
        <w:t xml:space="preserve"> c) Incipiente cultura </w:t>
      </w:r>
      <w:r w:rsidR="00384958">
        <w:rPr>
          <w:bCs/>
        </w:rPr>
        <w:t>de promover contratações sustentáveis.</w:t>
      </w:r>
      <w:r w:rsidR="003B4DF6">
        <w:rPr>
          <w:bCs/>
        </w:rPr>
        <w:t xml:space="preserve"> </w:t>
      </w:r>
    </w:p>
    <w:p w:rsidR="001A0401" w:rsidRPr="00F74D23" w:rsidRDefault="00186087" w:rsidP="00726BE1">
      <w:pPr>
        <w:pStyle w:val="ecxmsonormal"/>
        <w:spacing w:after="120"/>
        <w:jc w:val="both"/>
      </w:pPr>
      <w:r w:rsidRPr="00F74D23">
        <w:rPr>
          <w:b/>
          <w:bCs/>
          <w:i/>
          <w:iCs/>
        </w:rPr>
        <w:t xml:space="preserve">2.1.5. </w:t>
      </w:r>
      <w:r w:rsidR="001A0401" w:rsidRPr="00F74D23">
        <w:rPr>
          <w:b/>
          <w:bCs/>
          <w:i/>
          <w:iCs/>
        </w:rPr>
        <w:t>Efeito(s):</w:t>
      </w:r>
      <w:r w:rsidR="001A0401" w:rsidRPr="00F74D23">
        <w:t xml:space="preserve"> </w:t>
      </w:r>
      <w:r w:rsidR="00AB3F1B" w:rsidRPr="00F74D23">
        <w:t xml:space="preserve">a) Contratação que não produza resultados capazes de atender à necessidade da Administração, com consequente desperdício de recursos (financeiro e pessoal); b) Estímulo à manutenção </w:t>
      </w:r>
      <w:r w:rsidR="00AB3F1B" w:rsidRPr="00384958">
        <w:t>no mercado de empresas</w:t>
      </w:r>
      <w:r w:rsidR="00AB3F1B" w:rsidRPr="00F74D23">
        <w:t xml:space="preserve"> que não sejam comprometidas com o desenv</w:t>
      </w:r>
      <w:r w:rsidR="00002B47">
        <w:t xml:space="preserve">olvimento ambiental sustentável; c) Necessidade de constantes retificações no Termo de Referência ou Projeto Básico, </w:t>
      </w:r>
      <w:r w:rsidR="00002B47" w:rsidRPr="00384958">
        <w:t>retardando</w:t>
      </w:r>
      <w:r w:rsidR="00002B47">
        <w:t xml:space="preserve"> a abertura do certame licitatório; d) Atraso na contratação do bem e/ou serviço, com </w:t>
      </w:r>
      <w:r w:rsidR="00384958">
        <w:t>atraso no</w:t>
      </w:r>
      <w:r w:rsidR="00002B47">
        <w:t xml:space="preserve"> atendimento da necessidade da Administração; e) Perda do objeto da contratação.</w:t>
      </w:r>
    </w:p>
    <w:p w:rsidR="00302349" w:rsidRPr="00F74D23" w:rsidRDefault="00916522" w:rsidP="00142E9D">
      <w:pPr>
        <w:widowControl w:val="0"/>
        <w:jc w:val="both"/>
        <w:rPr>
          <w:b/>
          <w:bCs/>
          <w:sz w:val="24"/>
          <w:szCs w:val="24"/>
        </w:rPr>
      </w:pPr>
      <w:r w:rsidRPr="00F74D23">
        <w:rPr>
          <w:b/>
          <w:iCs/>
          <w:sz w:val="24"/>
          <w:szCs w:val="24"/>
        </w:rPr>
        <w:t>2</w:t>
      </w:r>
      <w:r w:rsidR="001A0401" w:rsidRPr="00F74D23">
        <w:rPr>
          <w:b/>
          <w:iCs/>
          <w:sz w:val="24"/>
          <w:szCs w:val="24"/>
        </w:rPr>
        <w:t>.</w:t>
      </w:r>
      <w:r w:rsidR="00D164C7">
        <w:rPr>
          <w:b/>
          <w:iCs/>
          <w:sz w:val="24"/>
          <w:szCs w:val="24"/>
        </w:rPr>
        <w:t>2</w:t>
      </w:r>
      <w:r w:rsidR="001A0401" w:rsidRPr="00F74D23">
        <w:rPr>
          <w:b/>
          <w:iCs/>
          <w:sz w:val="24"/>
          <w:szCs w:val="24"/>
        </w:rPr>
        <w:t xml:space="preserve">. </w:t>
      </w:r>
      <w:r w:rsidR="00142E9D" w:rsidRPr="00F74D23">
        <w:rPr>
          <w:b/>
          <w:bCs/>
          <w:sz w:val="24"/>
          <w:szCs w:val="24"/>
        </w:rPr>
        <w:t xml:space="preserve">Ausência de formação de grupo de trabalho ou comissão específica para a elaboração de Termo de Referência ou Projeto Básico em casos de contratações </w:t>
      </w:r>
      <w:r w:rsidR="00C20E3B">
        <w:rPr>
          <w:b/>
          <w:bCs/>
          <w:sz w:val="24"/>
          <w:szCs w:val="24"/>
        </w:rPr>
        <w:t xml:space="preserve">consideradas </w:t>
      </w:r>
      <w:r w:rsidR="00142E9D" w:rsidRPr="00F74D23">
        <w:rPr>
          <w:b/>
          <w:bCs/>
          <w:sz w:val="24"/>
          <w:szCs w:val="24"/>
        </w:rPr>
        <w:t>inéditas e/ou complexas.</w:t>
      </w:r>
    </w:p>
    <w:p w:rsidR="00D115EF" w:rsidRPr="00F74D23" w:rsidRDefault="00D164C7" w:rsidP="00142E9D">
      <w:pPr>
        <w:pStyle w:val="ecxmsonormal"/>
        <w:spacing w:after="120"/>
        <w:jc w:val="both"/>
      </w:pPr>
      <w:r>
        <w:rPr>
          <w:b/>
          <w:i/>
          <w:iCs/>
        </w:rPr>
        <w:t>2.2</w:t>
      </w:r>
      <w:r w:rsidR="00C02B02" w:rsidRPr="00F74D23">
        <w:rPr>
          <w:b/>
          <w:i/>
          <w:iCs/>
        </w:rPr>
        <w:t xml:space="preserve">.1. </w:t>
      </w:r>
      <w:r w:rsidR="001A0401" w:rsidRPr="00F74D23">
        <w:rPr>
          <w:b/>
          <w:i/>
          <w:iCs/>
        </w:rPr>
        <w:t xml:space="preserve">Situação encontrada: </w:t>
      </w:r>
      <w:r w:rsidR="00C20E3B">
        <w:t xml:space="preserve">a) </w:t>
      </w:r>
      <w:r w:rsidR="000D4625">
        <w:t>As</w:t>
      </w:r>
      <w:r>
        <w:t xml:space="preserve"> </w:t>
      </w:r>
      <w:r w:rsidRPr="00F74D23">
        <w:t>contrataç</w:t>
      </w:r>
      <w:r w:rsidR="000D4625">
        <w:t>ões</w:t>
      </w:r>
      <w:r w:rsidRPr="00F74D23">
        <w:t xml:space="preserve"> </w:t>
      </w:r>
      <w:r w:rsidR="000D4625">
        <w:t>para os serviços de</w:t>
      </w:r>
      <w:r w:rsidRPr="00F74D23">
        <w:t xml:space="preserve"> conservação de urnas eletrônicas e prestação de serviços gráficos</w:t>
      </w:r>
      <w:r>
        <w:t xml:space="preserve">, </w:t>
      </w:r>
      <w:r w:rsidR="000D4625" w:rsidRPr="0009668C">
        <w:t xml:space="preserve">consideradas </w:t>
      </w:r>
      <w:r w:rsidR="004C3D8E">
        <w:t>complexas</w:t>
      </w:r>
      <w:r w:rsidR="000D4625" w:rsidRPr="0009668C">
        <w:t>,</w:t>
      </w:r>
      <w:r w:rsidR="000D4625">
        <w:t xml:space="preserve"> </w:t>
      </w:r>
      <w:r w:rsidR="00C20E3B">
        <w:t xml:space="preserve">tiveram seus </w:t>
      </w:r>
      <w:r w:rsidR="00142E9D" w:rsidRPr="00F74D23">
        <w:t>Termo</w:t>
      </w:r>
      <w:r w:rsidR="00C20E3B">
        <w:t>s</w:t>
      </w:r>
      <w:r w:rsidR="00142E9D" w:rsidRPr="00F74D23">
        <w:t xml:space="preserve"> de Referência </w:t>
      </w:r>
      <w:r w:rsidR="00C20E3B">
        <w:t xml:space="preserve">elaborados </w:t>
      </w:r>
      <w:r w:rsidR="00142E9D" w:rsidRPr="00F74D23">
        <w:t xml:space="preserve">pela </w:t>
      </w:r>
      <w:r w:rsidR="00C20E3B">
        <w:t xml:space="preserve">própria </w:t>
      </w:r>
      <w:r w:rsidR="00142E9D" w:rsidRPr="00F74D23">
        <w:t xml:space="preserve">unidade demandante sem formação de grupo de trabalho ou comissão específica, </w:t>
      </w:r>
      <w:r w:rsidR="00C20E3B">
        <w:t xml:space="preserve">o que resultou em diversas </w:t>
      </w:r>
      <w:r w:rsidR="00142E9D" w:rsidRPr="00F74D23">
        <w:t>alt</w:t>
      </w:r>
      <w:r>
        <w:t xml:space="preserve">erações nos respectivos </w:t>
      </w:r>
      <w:r w:rsidR="001C384E">
        <w:t>t</w:t>
      </w:r>
      <w:r>
        <w:t>ermos</w:t>
      </w:r>
      <w:r w:rsidR="00C20E3B">
        <w:t xml:space="preserve">, retardando a </w:t>
      </w:r>
      <w:r w:rsidR="00206AC1" w:rsidRPr="00F74D23">
        <w:t>abertura do certame licitatório</w:t>
      </w:r>
      <w:r w:rsidR="00C20E3B">
        <w:t>.</w:t>
      </w:r>
      <w:r w:rsidR="009709B9">
        <w:t xml:space="preserve"> </w:t>
      </w:r>
    </w:p>
    <w:p w:rsidR="00F301B6" w:rsidRPr="005C4D4C" w:rsidRDefault="00D164C7" w:rsidP="00142E9D">
      <w:pPr>
        <w:jc w:val="both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>2.2</w:t>
      </w:r>
      <w:r w:rsidR="00C02B02" w:rsidRPr="00F74D23">
        <w:rPr>
          <w:b/>
          <w:i/>
          <w:iCs/>
          <w:sz w:val="24"/>
          <w:szCs w:val="24"/>
        </w:rPr>
        <w:t xml:space="preserve">.2. </w:t>
      </w:r>
      <w:r w:rsidR="001A0401" w:rsidRPr="00F74D23">
        <w:rPr>
          <w:b/>
          <w:i/>
          <w:iCs/>
          <w:sz w:val="24"/>
          <w:szCs w:val="24"/>
        </w:rPr>
        <w:t>Critério:</w:t>
      </w:r>
      <w:r w:rsidR="001A0401" w:rsidRPr="00F74D23">
        <w:rPr>
          <w:sz w:val="24"/>
          <w:szCs w:val="24"/>
        </w:rPr>
        <w:t xml:space="preserve"> </w:t>
      </w:r>
      <w:r w:rsidR="00142E9D" w:rsidRPr="00F74D23">
        <w:rPr>
          <w:sz w:val="24"/>
          <w:szCs w:val="24"/>
        </w:rPr>
        <w:t>a</w:t>
      </w:r>
      <w:r w:rsidR="00142E9D" w:rsidRPr="00E42830">
        <w:rPr>
          <w:sz w:val="24"/>
          <w:szCs w:val="24"/>
        </w:rPr>
        <w:t xml:space="preserve">) </w:t>
      </w:r>
      <w:r w:rsidR="00A07BD0" w:rsidRPr="00E42830">
        <w:rPr>
          <w:sz w:val="24"/>
          <w:szCs w:val="24"/>
        </w:rPr>
        <w:t>Resolução CNJ n° 182/2013, Art. 18;</w:t>
      </w:r>
      <w:r w:rsidRPr="00E42830">
        <w:rPr>
          <w:sz w:val="24"/>
          <w:szCs w:val="24"/>
        </w:rPr>
        <w:t xml:space="preserve"> </w:t>
      </w:r>
      <w:r w:rsidR="005C4D4C">
        <w:rPr>
          <w:sz w:val="24"/>
          <w:szCs w:val="24"/>
        </w:rPr>
        <w:t>b) Doc. PAD n° 125.207/2015 (PAD n° 11.629/2015)</w:t>
      </w:r>
      <w:r w:rsidR="00206AC1">
        <w:rPr>
          <w:sz w:val="24"/>
          <w:szCs w:val="24"/>
        </w:rPr>
        <w:t>.</w:t>
      </w:r>
    </w:p>
    <w:p w:rsidR="00142E9D" w:rsidRPr="00F74D23" w:rsidRDefault="00D164C7" w:rsidP="00142E9D">
      <w:pPr>
        <w:pStyle w:val="ecxmsonormal"/>
        <w:spacing w:after="120"/>
        <w:jc w:val="both"/>
      </w:pPr>
      <w:r>
        <w:rPr>
          <w:b/>
          <w:i/>
          <w:iCs/>
        </w:rPr>
        <w:t>2.2</w:t>
      </w:r>
      <w:r w:rsidR="00C02B02" w:rsidRPr="00F74D23">
        <w:rPr>
          <w:b/>
          <w:i/>
          <w:iCs/>
        </w:rPr>
        <w:t xml:space="preserve">.3. </w:t>
      </w:r>
      <w:r w:rsidR="001A0401" w:rsidRPr="00F74D23">
        <w:rPr>
          <w:b/>
          <w:i/>
          <w:iCs/>
        </w:rPr>
        <w:t xml:space="preserve">Evidência(s): </w:t>
      </w:r>
      <w:r w:rsidR="00142E9D" w:rsidRPr="00F74D23">
        <w:rPr>
          <w:iCs/>
        </w:rPr>
        <w:t>a)</w:t>
      </w:r>
      <w:r w:rsidR="00142E9D" w:rsidRPr="00F74D23">
        <w:t xml:space="preserve"> PAD </w:t>
      </w:r>
      <w:r w:rsidR="004F5280">
        <w:t>nº</w:t>
      </w:r>
      <w:r w:rsidR="00142E9D" w:rsidRPr="00F74D23">
        <w:t xml:space="preserve"> 003/2015 (contratação de serviços de manutenção predial); b) PAD </w:t>
      </w:r>
      <w:r w:rsidR="004F5280">
        <w:t>nº</w:t>
      </w:r>
      <w:r w:rsidR="00142E9D" w:rsidRPr="00F74D23">
        <w:t xml:space="preserve"> 4.689/2015 (conservação de urnas eletrônicas); c) PAD </w:t>
      </w:r>
      <w:r w:rsidR="00F24394">
        <w:t xml:space="preserve">nº </w:t>
      </w:r>
      <w:r w:rsidR="00142E9D" w:rsidRPr="00F74D23">
        <w:t>290/2015 (prestação de serviços gráficos)</w:t>
      </w:r>
      <w:r w:rsidR="00C20E3B">
        <w:t>.</w:t>
      </w:r>
    </w:p>
    <w:p w:rsidR="008C6A0A" w:rsidRPr="0009668C" w:rsidRDefault="00D164C7" w:rsidP="00142E9D">
      <w:pPr>
        <w:jc w:val="both"/>
        <w:rPr>
          <w:sz w:val="24"/>
          <w:szCs w:val="24"/>
        </w:rPr>
      </w:pPr>
      <w:r w:rsidRPr="0009668C">
        <w:rPr>
          <w:b/>
          <w:i/>
          <w:iCs/>
          <w:sz w:val="24"/>
          <w:szCs w:val="24"/>
        </w:rPr>
        <w:t>2.2</w:t>
      </w:r>
      <w:r w:rsidR="00C02B02" w:rsidRPr="0009668C">
        <w:rPr>
          <w:b/>
          <w:i/>
          <w:iCs/>
          <w:sz w:val="24"/>
          <w:szCs w:val="24"/>
        </w:rPr>
        <w:t xml:space="preserve">.4. </w:t>
      </w:r>
      <w:r w:rsidR="001A0401" w:rsidRPr="0009668C">
        <w:rPr>
          <w:b/>
          <w:i/>
          <w:iCs/>
          <w:sz w:val="24"/>
          <w:szCs w:val="24"/>
        </w:rPr>
        <w:t>Causa:</w:t>
      </w:r>
      <w:r w:rsidR="00EE3850" w:rsidRPr="0009668C">
        <w:rPr>
          <w:b/>
          <w:i/>
          <w:iCs/>
          <w:sz w:val="24"/>
          <w:szCs w:val="24"/>
        </w:rPr>
        <w:t xml:space="preserve"> </w:t>
      </w:r>
      <w:r w:rsidR="0009668C" w:rsidRPr="0009668C">
        <w:rPr>
          <w:bCs/>
          <w:sz w:val="24"/>
          <w:szCs w:val="24"/>
        </w:rPr>
        <w:t>a) Precariedade da cultura de planejamento nas contratações do Tribunal</w:t>
      </w:r>
      <w:r w:rsidR="0009668C">
        <w:rPr>
          <w:bCs/>
          <w:sz w:val="24"/>
          <w:szCs w:val="24"/>
        </w:rPr>
        <w:t>;</w:t>
      </w:r>
      <w:r w:rsidR="00142E9D" w:rsidRPr="0009668C">
        <w:rPr>
          <w:bCs/>
          <w:sz w:val="24"/>
          <w:szCs w:val="24"/>
        </w:rPr>
        <w:t xml:space="preserve"> b) Insuficiência de capacitação dos servidores responsáveis pelo planejamento da contratação</w:t>
      </w:r>
      <w:r w:rsidR="00206AC1" w:rsidRPr="0009668C">
        <w:rPr>
          <w:bCs/>
          <w:sz w:val="24"/>
          <w:szCs w:val="24"/>
        </w:rPr>
        <w:t>.</w:t>
      </w:r>
    </w:p>
    <w:p w:rsidR="00EA2917" w:rsidRPr="00F74D23" w:rsidRDefault="00D164C7" w:rsidP="00117957">
      <w:pPr>
        <w:pStyle w:val="ecxmsonormal"/>
        <w:spacing w:after="120"/>
        <w:jc w:val="both"/>
      </w:pPr>
      <w:r>
        <w:rPr>
          <w:b/>
          <w:bCs/>
          <w:i/>
          <w:iCs/>
        </w:rPr>
        <w:t>2.2</w:t>
      </w:r>
      <w:r w:rsidR="00C02B02" w:rsidRPr="00F74D23">
        <w:rPr>
          <w:b/>
          <w:bCs/>
          <w:i/>
          <w:iCs/>
        </w:rPr>
        <w:t xml:space="preserve">.5. </w:t>
      </w:r>
      <w:r w:rsidR="00196029" w:rsidRPr="00F74D23">
        <w:rPr>
          <w:b/>
          <w:bCs/>
          <w:i/>
          <w:iCs/>
        </w:rPr>
        <w:t xml:space="preserve">Efeito: </w:t>
      </w:r>
      <w:r w:rsidR="00142E9D" w:rsidRPr="00F74D23">
        <w:t xml:space="preserve">a) Atraso na contratação do bem e/ou serviço, com retardamento do atendimento da necessidade da Administração; </w:t>
      </w:r>
      <w:r w:rsidR="001C384E">
        <w:t>b</w:t>
      </w:r>
      <w:r w:rsidR="00142E9D" w:rsidRPr="00F74D23">
        <w:t>) Perda do objeto da contratação após a Administração haver empreendido recursos (humanos e financeiros) para instrução do procedimento administrativo</w:t>
      </w:r>
      <w:r w:rsidR="00F24394">
        <w:t>.</w:t>
      </w:r>
    </w:p>
    <w:p w:rsidR="006E3BCE" w:rsidRPr="00F74D23" w:rsidRDefault="00C02B02" w:rsidP="00B70323">
      <w:pPr>
        <w:jc w:val="both"/>
        <w:rPr>
          <w:b/>
          <w:sz w:val="24"/>
          <w:szCs w:val="24"/>
        </w:rPr>
      </w:pPr>
      <w:r w:rsidRPr="00F74D23">
        <w:rPr>
          <w:b/>
          <w:sz w:val="24"/>
          <w:szCs w:val="24"/>
        </w:rPr>
        <w:t>2</w:t>
      </w:r>
      <w:r w:rsidR="001A0401" w:rsidRPr="00F74D23">
        <w:rPr>
          <w:b/>
          <w:sz w:val="24"/>
          <w:szCs w:val="24"/>
        </w:rPr>
        <w:t>.</w:t>
      </w:r>
      <w:r w:rsidR="00002B47">
        <w:rPr>
          <w:b/>
          <w:sz w:val="24"/>
          <w:szCs w:val="24"/>
        </w:rPr>
        <w:t>3</w:t>
      </w:r>
      <w:r w:rsidR="001A0401" w:rsidRPr="00F74D23">
        <w:rPr>
          <w:b/>
          <w:sz w:val="24"/>
          <w:szCs w:val="24"/>
        </w:rPr>
        <w:t xml:space="preserve">. </w:t>
      </w:r>
      <w:r w:rsidR="001D1CB8" w:rsidRPr="00F74D23">
        <w:rPr>
          <w:b/>
          <w:sz w:val="24"/>
          <w:szCs w:val="24"/>
        </w:rPr>
        <w:t>Não adoção de critérios de sustentabilidade na elaboração dos Termos de Referência e/ou Projeto Básico</w:t>
      </w:r>
    </w:p>
    <w:p w:rsidR="00002B47" w:rsidRDefault="00002B47" w:rsidP="00B70323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2.3</w:t>
      </w:r>
      <w:r w:rsidR="00C02B02" w:rsidRPr="00F74D23">
        <w:rPr>
          <w:b/>
          <w:i/>
          <w:iCs/>
          <w:sz w:val="24"/>
          <w:szCs w:val="24"/>
        </w:rPr>
        <w:t xml:space="preserve">.1. </w:t>
      </w:r>
      <w:r w:rsidR="001A0401" w:rsidRPr="00F74D23">
        <w:rPr>
          <w:b/>
          <w:i/>
          <w:iCs/>
          <w:sz w:val="24"/>
          <w:szCs w:val="24"/>
        </w:rPr>
        <w:t>Situação Encontrada:</w:t>
      </w:r>
      <w:r w:rsidR="001A0401" w:rsidRPr="00F74D23">
        <w:rPr>
          <w:bCs/>
          <w:iCs/>
          <w:sz w:val="24"/>
          <w:szCs w:val="24"/>
        </w:rPr>
        <w:t xml:space="preserve"> </w:t>
      </w:r>
      <w:r w:rsidR="001D1CB8" w:rsidRPr="00F74D23">
        <w:rPr>
          <w:bCs/>
          <w:iCs/>
          <w:sz w:val="24"/>
          <w:szCs w:val="24"/>
        </w:rPr>
        <w:t xml:space="preserve">a) </w:t>
      </w:r>
      <w:r>
        <w:rPr>
          <w:bCs/>
          <w:iCs/>
          <w:sz w:val="24"/>
          <w:szCs w:val="24"/>
        </w:rPr>
        <w:t xml:space="preserve">Não foram contemplados requisitos para contratação pautados em padrões de sustentabilidade ambiental nos Editais </w:t>
      </w:r>
      <w:r w:rsidR="001C384E">
        <w:rPr>
          <w:bCs/>
          <w:iCs/>
          <w:sz w:val="24"/>
          <w:szCs w:val="24"/>
        </w:rPr>
        <w:t>dos</w:t>
      </w:r>
      <w:r>
        <w:rPr>
          <w:bCs/>
          <w:iCs/>
          <w:sz w:val="24"/>
          <w:szCs w:val="24"/>
        </w:rPr>
        <w:t xml:space="preserve"> preg</w:t>
      </w:r>
      <w:r w:rsidR="001C384E">
        <w:rPr>
          <w:bCs/>
          <w:iCs/>
          <w:sz w:val="24"/>
          <w:szCs w:val="24"/>
        </w:rPr>
        <w:t>ões</w:t>
      </w:r>
      <w:r>
        <w:rPr>
          <w:bCs/>
          <w:iCs/>
          <w:sz w:val="24"/>
          <w:szCs w:val="24"/>
        </w:rPr>
        <w:t xml:space="preserve"> n° 05/2016 (conservação de urnas eletrônicas) e </w:t>
      </w:r>
      <w:r w:rsidR="001C384E">
        <w:rPr>
          <w:bCs/>
          <w:iCs/>
          <w:sz w:val="24"/>
          <w:szCs w:val="24"/>
        </w:rPr>
        <w:t>nº</w:t>
      </w:r>
      <w:r>
        <w:rPr>
          <w:bCs/>
          <w:iCs/>
          <w:sz w:val="24"/>
          <w:szCs w:val="24"/>
        </w:rPr>
        <w:t>14/2016 (prestação de serviços gráficos</w:t>
      </w:r>
      <w:r w:rsidR="00BF4653">
        <w:rPr>
          <w:bCs/>
          <w:iCs/>
          <w:sz w:val="24"/>
          <w:szCs w:val="24"/>
        </w:rPr>
        <w:t>)</w:t>
      </w:r>
      <w:r w:rsidR="001C384E">
        <w:rPr>
          <w:bCs/>
          <w:iCs/>
          <w:sz w:val="24"/>
          <w:szCs w:val="24"/>
        </w:rPr>
        <w:t>.</w:t>
      </w:r>
    </w:p>
    <w:p w:rsidR="001A0401" w:rsidRPr="00F74D23" w:rsidRDefault="00002B47" w:rsidP="00B70323">
      <w:pPr>
        <w:pStyle w:val="ecxmsonormal"/>
        <w:spacing w:after="120"/>
        <w:jc w:val="both"/>
      </w:pPr>
      <w:r>
        <w:rPr>
          <w:b/>
          <w:i/>
        </w:rPr>
        <w:t>2.3</w:t>
      </w:r>
      <w:r w:rsidR="00C02B02" w:rsidRPr="00F74D23">
        <w:rPr>
          <w:b/>
          <w:i/>
        </w:rPr>
        <w:t xml:space="preserve">.2. </w:t>
      </w:r>
      <w:r w:rsidR="001A0401" w:rsidRPr="00F74D23">
        <w:rPr>
          <w:b/>
          <w:i/>
        </w:rPr>
        <w:t xml:space="preserve">Critério: </w:t>
      </w:r>
      <w:r w:rsidR="001D1CB8" w:rsidRPr="00F74D23">
        <w:t xml:space="preserve">a) Art. 3º e 12, VII da Lei nº. 8.666/93; b) </w:t>
      </w:r>
      <w:r w:rsidR="00BF4653">
        <w:t xml:space="preserve">Art. 5°, </w:t>
      </w:r>
      <w:r w:rsidR="001D1CB8" w:rsidRPr="00F74D23">
        <w:t>IN nº 01/2010/MPOG; c)</w:t>
      </w:r>
      <w:r w:rsidR="002D0922">
        <w:t xml:space="preserve"> Art. 7°,</w:t>
      </w:r>
      <w:r w:rsidR="001D1CB8" w:rsidRPr="00F74D23">
        <w:t xml:space="preserve"> </w:t>
      </w:r>
      <w:r w:rsidR="002D0922">
        <w:rPr>
          <w:bCs/>
        </w:rPr>
        <w:t>Decreto nº 7.746</w:t>
      </w:r>
      <w:r w:rsidR="001D1CB8" w:rsidRPr="00F74D23">
        <w:rPr>
          <w:bCs/>
        </w:rPr>
        <w:t xml:space="preserve">/2012; d) </w:t>
      </w:r>
      <w:r w:rsidR="004C3D8E">
        <w:rPr>
          <w:bCs/>
        </w:rPr>
        <w:t>Portaria DG n° 224, de 11 de novembro de 2014</w:t>
      </w:r>
      <w:r w:rsidR="002D0922">
        <w:rPr>
          <w:bCs/>
        </w:rPr>
        <w:t xml:space="preserve"> –</w:t>
      </w:r>
      <w:r w:rsidR="002D0922" w:rsidRPr="002D0922">
        <w:rPr>
          <w:bCs/>
        </w:rPr>
        <w:t xml:space="preserve"> </w:t>
      </w:r>
      <w:r w:rsidR="002D0922" w:rsidRPr="00F74D23">
        <w:rPr>
          <w:bCs/>
        </w:rPr>
        <w:t>Relatório da Comissão de Padronização de Critérios Ambientais do TRE-BA</w:t>
      </w:r>
      <w:r w:rsidR="001C384E">
        <w:rPr>
          <w:bCs/>
        </w:rPr>
        <w:t>.</w:t>
      </w:r>
    </w:p>
    <w:p w:rsidR="001A0401" w:rsidRPr="00F74D23" w:rsidRDefault="00002B47" w:rsidP="00B70323">
      <w:pPr>
        <w:widowControl w:val="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2.3</w:t>
      </w:r>
      <w:r w:rsidR="00C02B02" w:rsidRPr="00F74D23">
        <w:rPr>
          <w:b/>
          <w:i/>
          <w:sz w:val="24"/>
          <w:szCs w:val="24"/>
        </w:rPr>
        <w:t xml:space="preserve">.3. </w:t>
      </w:r>
      <w:r w:rsidR="001A0401" w:rsidRPr="00F74D23">
        <w:rPr>
          <w:b/>
          <w:i/>
          <w:sz w:val="24"/>
          <w:szCs w:val="24"/>
        </w:rPr>
        <w:t>Evidência(s):</w:t>
      </w:r>
      <w:r w:rsidR="0061067E" w:rsidRPr="00F74D23">
        <w:rPr>
          <w:sz w:val="24"/>
          <w:szCs w:val="24"/>
        </w:rPr>
        <w:t xml:space="preserve"> </w:t>
      </w:r>
      <w:r w:rsidR="001D1CB8" w:rsidRPr="00F74D23">
        <w:rPr>
          <w:sz w:val="24"/>
          <w:szCs w:val="24"/>
        </w:rPr>
        <w:t xml:space="preserve">a) Doc. PAD </w:t>
      </w:r>
      <w:r w:rsidR="004F5280">
        <w:rPr>
          <w:sz w:val="24"/>
          <w:szCs w:val="24"/>
        </w:rPr>
        <w:t>nº</w:t>
      </w:r>
      <w:r w:rsidR="002D0922">
        <w:rPr>
          <w:sz w:val="24"/>
          <w:szCs w:val="24"/>
        </w:rPr>
        <w:t xml:space="preserve"> 21.700/2016 (</w:t>
      </w:r>
      <w:r w:rsidR="001D1CB8" w:rsidRPr="00F74D23">
        <w:rPr>
          <w:sz w:val="24"/>
          <w:szCs w:val="24"/>
        </w:rPr>
        <w:t xml:space="preserve">PAD </w:t>
      </w:r>
      <w:r w:rsidR="004F5280">
        <w:rPr>
          <w:sz w:val="24"/>
          <w:szCs w:val="24"/>
        </w:rPr>
        <w:t>nº</w:t>
      </w:r>
      <w:r w:rsidR="002D0922">
        <w:rPr>
          <w:sz w:val="24"/>
          <w:szCs w:val="24"/>
        </w:rPr>
        <w:t xml:space="preserve"> 4.689/2015 – </w:t>
      </w:r>
      <w:r w:rsidR="001D1CB8" w:rsidRPr="00F74D23">
        <w:rPr>
          <w:sz w:val="24"/>
          <w:szCs w:val="24"/>
        </w:rPr>
        <w:t xml:space="preserve">Edital de Pregão Eletrônico </w:t>
      </w:r>
      <w:r w:rsidR="004F5280">
        <w:rPr>
          <w:sz w:val="24"/>
          <w:szCs w:val="24"/>
        </w:rPr>
        <w:t>nº</w:t>
      </w:r>
      <w:r w:rsidR="001D1CB8" w:rsidRPr="00F74D23">
        <w:rPr>
          <w:sz w:val="24"/>
          <w:szCs w:val="24"/>
        </w:rPr>
        <w:t xml:space="preserve"> 5/2016, para serviços de conservação de urnas eletrônicas</w:t>
      </w:r>
      <w:r w:rsidR="002D0922">
        <w:rPr>
          <w:sz w:val="24"/>
          <w:szCs w:val="24"/>
        </w:rPr>
        <w:t>)</w:t>
      </w:r>
      <w:r w:rsidR="001D1CB8" w:rsidRPr="00F74D23">
        <w:rPr>
          <w:sz w:val="24"/>
          <w:szCs w:val="24"/>
        </w:rPr>
        <w:t>;</w:t>
      </w:r>
      <w:r w:rsidR="008A0CEE" w:rsidRPr="00F74D23">
        <w:rPr>
          <w:sz w:val="24"/>
          <w:szCs w:val="24"/>
        </w:rPr>
        <w:t xml:space="preserve"> </w:t>
      </w:r>
      <w:r w:rsidR="001D1CB8" w:rsidRPr="00F74D23">
        <w:rPr>
          <w:sz w:val="24"/>
          <w:szCs w:val="24"/>
        </w:rPr>
        <w:t xml:space="preserve">b) Doc. PAD </w:t>
      </w:r>
      <w:r w:rsidR="004F5280">
        <w:rPr>
          <w:sz w:val="24"/>
          <w:szCs w:val="24"/>
        </w:rPr>
        <w:t>nº</w:t>
      </w:r>
      <w:r w:rsidR="002D0922">
        <w:rPr>
          <w:sz w:val="24"/>
          <w:szCs w:val="24"/>
        </w:rPr>
        <w:t xml:space="preserve"> 69.085/2016 (</w:t>
      </w:r>
      <w:r w:rsidR="001D1CB8" w:rsidRPr="00F74D23">
        <w:rPr>
          <w:sz w:val="24"/>
          <w:szCs w:val="24"/>
        </w:rPr>
        <w:t xml:space="preserve">PAD </w:t>
      </w:r>
      <w:r w:rsidR="004F5280">
        <w:rPr>
          <w:sz w:val="24"/>
          <w:szCs w:val="24"/>
        </w:rPr>
        <w:t>nº</w:t>
      </w:r>
      <w:r w:rsidR="002D0922">
        <w:rPr>
          <w:sz w:val="24"/>
          <w:szCs w:val="24"/>
        </w:rPr>
        <w:t xml:space="preserve"> 290/2015 – </w:t>
      </w:r>
      <w:r w:rsidR="001D1CB8" w:rsidRPr="00F74D23">
        <w:rPr>
          <w:sz w:val="24"/>
          <w:szCs w:val="24"/>
        </w:rPr>
        <w:t xml:space="preserve">Edital do Pregão Eletrônico </w:t>
      </w:r>
      <w:r w:rsidR="004F5280">
        <w:rPr>
          <w:sz w:val="24"/>
          <w:szCs w:val="24"/>
        </w:rPr>
        <w:t>nº</w:t>
      </w:r>
      <w:r w:rsidR="001D1CB8" w:rsidRPr="00F74D23">
        <w:rPr>
          <w:sz w:val="24"/>
          <w:szCs w:val="24"/>
        </w:rPr>
        <w:t xml:space="preserve"> 14/2016, para prestação de </w:t>
      </w:r>
      <w:r w:rsidR="001D1CB8" w:rsidRPr="00F74D23">
        <w:rPr>
          <w:sz w:val="24"/>
          <w:szCs w:val="24"/>
        </w:rPr>
        <w:lastRenderedPageBreak/>
        <w:t>serviços gráficos)</w:t>
      </w:r>
      <w:r w:rsidR="001C384E">
        <w:rPr>
          <w:sz w:val="24"/>
          <w:szCs w:val="24"/>
        </w:rPr>
        <w:t>.</w:t>
      </w:r>
    </w:p>
    <w:p w:rsidR="00B70323" w:rsidRPr="00F74D23" w:rsidRDefault="00002B47" w:rsidP="00B70323">
      <w:pPr>
        <w:pStyle w:val="ecxmsonormal"/>
        <w:spacing w:after="120"/>
        <w:jc w:val="both"/>
        <w:rPr>
          <w:bCs/>
        </w:rPr>
      </w:pPr>
      <w:r>
        <w:rPr>
          <w:b/>
          <w:i/>
        </w:rPr>
        <w:t>2.3</w:t>
      </w:r>
      <w:r w:rsidR="00C02B02" w:rsidRPr="00F74D23">
        <w:rPr>
          <w:b/>
          <w:i/>
        </w:rPr>
        <w:t xml:space="preserve">.4. </w:t>
      </w:r>
      <w:r w:rsidR="001A0401" w:rsidRPr="00F74D23">
        <w:rPr>
          <w:b/>
          <w:i/>
        </w:rPr>
        <w:t xml:space="preserve">Causa: </w:t>
      </w:r>
      <w:r w:rsidR="00B70323" w:rsidRPr="00F74D23">
        <w:rPr>
          <w:bCs/>
        </w:rPr>
        <w:t>a) Incipiente cultura de contratar soluções que se prestem ao desenvolvimento ambiental sustentável; b) Insuficiência de capacitação dos servidores responsáveis pe</w:t>
      </w:r>
      <w:r w:rsidR="004C3D8E">
        <w:rPr>
          <w:bCs/>
        </w:rPr>
        <w:t>lo planejamento da contratação.</w:t>
      </w:r>
    </w:p>
    <w:p w:rsidR="00642348" w:rsidRDefault="00002B47" w:rsidP="00B70323">
      <w:pPr>
        <w:pStyle w:val="ecxmsonormal"/>
        <w:spacing w:after="120"/>
        <w:jc w:val="both"/>
      </w:pPr>
      <w:r>
        <w:rPr>
          <w:b/>
          <w:i/>
        </w:rPr>
        <w:t>2.3</w:t>
      </w:r>
      <w:r w:rsidR="00C02B02" w:rsidRPr="00F74D23">
        <w:rPr>
          <w:b/>
          <w:i/>
        </w:rPr>
        <w:t xml:space="preserve">.5. </w:t>
      </w:r>
      <w:r w:rsidR="001A0401" w:rsidRPr="00F74D23">
        <w:rPr>
          <w:b/>
          <w:i/>
        </w:rPr>
        <w:t>Efeito(s</w:t>
      </w:r>
      <w:r w:rsidR="001A0401" w:rsidRPr="00F74D23">
        <w:t xml:space="preserve">): </w:t>
      </w:r>
      <w:r w:rsidR="00B70323" w:rsidRPr="00F74D23">
        <w:t>a) Realização de licitações e contratações em desacordo com critérios de sustentabilidade, não colaborando para o desenvolvimento nacional sustentável; b) Estímulo à manutenção no mercado de empresas que não sejam comprometidas com o desenv</w:t>
      </w:r>
      <w:r w:rsidR="00112B76">
        <w:t>olvimento ambiental sustentável.</w:t>
      </w:r>
    </w:p>
    <w:p w:rsidR="009D34B5" w:rsidRPr="00F74D23" w:rsidRDefault="00C02B02" w:rsidP="007B03F1">
      <w:pPr>
        <w:jc w:val="both"/>
        <w:rPr>
          <w:b/>
          <w:sz w:val="24"/>
          <w:szCs w:val="24"/>
        </w:rPr>
      </w:pPr>
      <w:r w:rsidRPr="00F74D23">
        <w:rPr>
          <w:b/>
          <w:sz w:val="24"/>
          <w:szCs w:val="24"/>
        </w:rPr>
        <w:t>2</w:t>
      </w:r>
      <w:r w:rsidR="009D34B5" w:rsidRPr="00F74D23">
        <w:rPr>
          <w:b/>
          <w:sz w:val="24"/>
          <w:szCs w:val="24"/>
        </w:rPr>
        <w:t>.</w:t>
      </w:r>
      <w:r w:rsidR="00ED29CC">
        <w:rPr>
          <w:b/>
          <w:sz w:val="24"/>
          <w:szCs w:val="24"/>
        </w:rPr>
        <w:t>4</w:t>
      </w:r>
      <w:r w:rsidR="009D34B5" w:rsidRPr="00F74D23">
        <w:rPr>
          <w:b/>
          <w:sz w:val="24"/>
          <w:szCs w:val="24"/>
        </w:rPr>
        <w:t xml:space="preserve">. </w:t>
      </w:r>
      <w:r w:rsidR="00B70323" w:rsidRPr="00F74D23">
        <w:rPr>
          <w:b/>
          <w:sz w:val="24"/>
          <w:szCs w:val="24"/>
        </w:rPr>
        <w:t>Ausência de segregação de funções.</w:t>
      </w:r>
    </w:p>
    <w:p w:rsidR="00B70323" w:rsidRPr="00F74D23" w:rsidRDefault="00A43D55" w:rsidP="007B03F1">
      <w:pPr>
        <w:pStyle w:val="ecxmsonormal"/>
        <w:spacing w:after="120"/>
        <w:jc w:val="both"/>
      </w:pPr>
      <w:r>
        <w:rPr>
          <w:b/>
          <w:i/>
          <w:iCs/>
        </w:rPr>
        <w:t>2.4</w:t>
      </w:r>
      <w:r w:rsidR="00C02B02" w:rsidRPr="00F74D23">
        <w:rPr>
          <w:b/>
          <w:i/>
          <w:iCs/>
        </w:rPr>
        <w:t xml:space="preserve">.1. </w:t>
      </w:r>
      <w:r w:rsidR="009D34B5" w:rsidRPr="00F74D23">
        <w:rPr>
          <w:b/>
          <w:i/>
          <w:iCs/>
        </w:rPr>
        <w:t>Situação Encontrada:</w:t>
      </w:r>
      <w:r w:rsidR="009D34B5" w:rsidRPr="00F74D23">
        <w:rPr>
          <w:bCs/>
          <w:iCs/>
        </w:rPr>
        <w:t xml:space="preserve"> </w:t>
      </w:r>
      <w:r w:rsidR="00B70323" w:rsidRPr="00F74D23">
        <w:t xml:space="preserve">a) </w:t>
      </w:r>
      <w:r w:rsidR="001C384E">
        <w:t>N</w:t>
      </w:r>
      <w:r w:rsidR="001C384E" w:rsidRPr="00F74D23">
        <w:t xml:space="preserve">o processo </w:t>
      </w:r>
      <w:r w:rsidR="0092430D">
        <w:t xml:space="preserve">cujo </w:t>
      </w:r>
      <w:r w:rsidR="001C384E">
        <w:t xml:space="preserve">objeto </w:t>
      </w:r>
      <w:r w:rsidR="001C384E" w:rsidRPr="00F74D23">
        <w:t>d</w:t>
      </w:r>
      <w:r w:rsidR="0092430D">
        <w:t>a</w:t>
      </w:r>
      <w:r w:rsidR="001C384E" w:rsidRPr="00F74D23">
        <w:t xml:space="preserve"> contratação </w:t>
      </w:r>
      <w:r w:rsidR="0092430D">
        <w:t>foi a</w:t>
      </w:r>
      <w:r w:rsidR="001C384E" w:rsidRPr="00F74D23">
        <w:t xml:space="preserve"> manutenção predial</w:t>
      </w:r>
      <w:r w:rsidR="001C384E">
        <w:t xml:space="preserve"> verificou-se que o m</w:t>
      </w:r>
      <w:r w:rsidR="00ED29CC">
        <w:t>esmo</w:t>
      </w:r>
      <w:r w:rsidR="007B03F1" w:rsidRPr="00F74D23">
        <w:t xml:space="preserve"> servidor </w:t>
      </w:r>
      <w:r w:rsidR="001C384E">
        <w:t xml:space="preserve">que </w:t>
      </w:r>
      <w:r w:rsidR="00ED29CC">
        <w:t>atuou</w:t>
      </w:r>
      <w:r w:rsidR="007B03F1" w:rsidRPr="00F74D23">
        <w:t xml:space="preserve"> como pregoeiro </w:t>
      </w:r>
      <w:r w:rsidR="00ED29CC">
        <w:t>n</w:t>
      </w:r>
      <w:r w:rsidR="007B03F1" w:rsidRPr="00F74D23">
        <w:t>o procedimento licitatório</w:t>
      </w:r>
      <w:r w:rsidR="001C384E">
        <w:t>,</w:t>
      </w:r>
      <w:r w:rsidR="00ED29CC">
        <w:t xml:space="preserve"> </w:t>
      </w:r>
      <w:r w:rsidR="007B03F1" w:rsidRPr="00F74D23">
        <w:t>integrou o grupo de trabalho de elaboração de Termo de Referência</w:t>
      </w:r>
      <w:r w:rsidR="001C384E">
        <w:t>.</w:t>
      </w:r>
    </w:p>
    <w:p w:rsidR="009D34B5" w:rsidRPr="00F74D23" w:rsidRDefault="00A43D55" w:rsidP="007B03F1">
      <w:pPr>
        <w:pStyle w:val="ecxmsonormal"/>
        <w:spacing w:after="120"/>
        <w:jc w:val="both"/>
      </w:pPr>
      <w:r>
        <w:rPr>
          <w:b/>
          <w:i/>
        </w:rPr>
        <w:t>2.4</w:t>
      </w:r>
      <w:r w:rsidR="00C02B02" w:rsidRPr="00F74D23">
        <w:rPr>
          <w:b/>
          <w:i/>
        </w:rPr>
        <w:t xml:space="preserve">.2. </w:t>
      </w:r>
      <w:r w:rsidR="009D34B5" w:rsidRPr="00F74D23">
        <w:rPr>
          <w:b/>
          <w:i/>
        </w:rPr>
        <w:t xml:space="preserve">Critério: </w:t>
      </w:r>
      <w:r w:rsidR="00ED61D1">
        <w:t xml:space="preserve">a) </w:t>
      </w:r>
      <w:r w:rsidR="001C384E">
        <w:t xml:space="preserve">item 9.12.1 do </w:t>
      </w:r>
      <w:r w:rsidR="00ED61D1">
        <w:t>Acórdão nº</w:t>
      </w:r>
      <w:r w:rsidR="00B70323" w:rsidRPr="00F74D23">
        <w:t xml:space="preserve"> 686/2011/TCU</w:t>
      </w:r>
      <w:r w:rsidR="001C384E">
        <w:t>;</w:t>
      </w:r>
      <w:r w:rsidR="00ED61D1">
        <w:t xml:space="preserve"> b) </w:t>
      </w:r>
      <w:r w:rsidR="001C384E">
        <w:t xml:space="preserve">item 9.4.1 do </w:t>
      </w:r>
      <w:r w:rsidR="00ED61D1">
        <w:t>Acórdão nº</w:t>
      </w:r>
      <w:r w:rsidR="00B70323" w:rsidRPr="00F74D23">
        <w:t xml:space="preserve"> 3.381/2013/TCU</w:t>
      </w:r>
      <w:r w:rsidR="00ED61D1">
        <w:t xml:space="preserve">; c) </w:t>
      </w:r>
      <w:r w:rsidR="001C384E">
        <w:t xml:space="preserve">item 9.3.1 do </w:t>
      </w:r>
      <w:r w:rsidR="00ED61D1">
        <w:t>Acórdão nº 2.829/2015/TCU</w:t>
      </w:r>
      <w:r w:rsidR="001C384E">
        <w:t>.</w:t>
      </w:r>
    </w:p>
    <w:p w:rsidR="009D34B5" w:rsidRPr="00F74D23" w:rsidRDefault="00A43D55" w:rsidP="007B03F1">
      <w:pPr>
        <w:pStyle w:val="ecxmsonormal"/>
        <w:spacing w:after="120"/>
        <w:jc w:val="both"/>
      </w:pPr>
      <w:r>
        <w:rPr>
          <w:b/>
          <w:i/>
        </w:rPr>
        <w:t>2.4</w:t>
      </w:r>
      <w:r w:rsidR="00C02B02" w:rsidRPr="00F74D23">
        <w:rPr>
          <w:b/>
          <w:i/>
        </w:rPr>
        <w:t xml:space="preserve">.3. </w:t>
      </w:r>
      <w:r w:rsidR="009D34B5" w:rsidRPr="00F74D23">
        <w:rPr>
          <w:b/>
          <w:i/>
        </w:rPr>
        <w:t>Evidência(s):</w:t>
      </w:r>
      <w:r w:rsidR="009D34B5" w:rsidRPr="00F74D23">
        <w:t xml:space="preserve"> </w:t>
      </w:r>
      <w:r w:rsidR="007B03F1" w:rsidRPr="00F74D23">
        <w:t xml:space="preserve">a) Doc. </w:t>
      </w:r>
      <w:r w:rsidR="004F5280">
        <w:t>nº</w:t>
      </w:r>
      <w:r w:rsidR="00ED61D1">
        <w:t xml:space="preserve"> 47/2015 (</w:t>
      </w:r>
      <w:r w:rsidR="007B03F1" w:rsidRPr="00F74D23">
        <w:t xml:space="preserve">PAD </w:t>
      </w:r>
      <w:r w:rsidR="004F5280">
        <w:t>nº</w:t>
      </w:r>
      <w:r w:rsidR="007B03F1" w:rsidRPr="00F74D23">
        <w:t xml:space="preserve"> 003</w:t>
      </w:r>
      <w:r w:rsidR="00ED61D1">
        <w:t xml:space="preserve">/2015 – </w:t>
      </w:r>
      <w:r w:rsidR="007B03F1" w:rsidRPr="00F74D23">
        <w:t>Portaria DG n° 111, de 30 de abri</w:t>
      </w:r>
      <w:r w:rsidR="00ED61D1">
        <w:t>l de 2014); b) Doc. 35.066/2016</w:t>
      </w:r>
      <w:r w:rsidR="007B03F1" w:rsidRPr="00F74D23">
        <w:t xml:space="preserve"> </w:t>
      </w:r>
      <w:r w:rsidR="00ED61D1">
        <w:t xml:space="preserve">(PAD nº. 003/2015 – </w:t>
      </w:r>
      <w:r w:rsidR="007B03F1" w:rsidRPr="00F74D23">
        <w:t>Despacho</w:t>
      </w:r>
      <w:r w:rsidR="00E42830">
        <w:t xml:space="preserve"> do SGA designando o pregoeiro).</w:t>
      </w:r>
    </w:p>
    <w:p w:rsidR="009D34B5" w:rsidRPr="00F74D23" w:rsidRDefault="00A43D55" w:rsidP="007B03F1">
      <w:pPr>
        <w:pStyle w:val="ecxmsonormal"/>
        <w:spacing w:after="120"/>
        <w:jc w:val="both"/>
        <w:rPr>
          <w:bCs/>
        </w:rPr>
      </w:pPr>
      <w:r>
        <w:rPr>
          <w:b/>
          <w:i/>
        </w:rPr>
        <w:t>2.4</w:t>
      </w:r>
      <w:r w:rsidR="00C02B02" w:rsidRPr="00F74D23">
        <w:rPr>
          <w:b/>
          <w:i/>
        </w:rPr>
        <w:t xml:space="preserve">.4. </w:t>
      </w:r>
      <w:r w:rsidR="009D34B5" w:rsidRPr="00F74D23">
        <w:rPr>
          <w:b/>
          <w:i/>
        </w:rPr>
        <w:t>Causa:</w:t>
      </w:r>
      <w:r w:rsidR="009D34B5" w:rsidRPr="00F74D23">
        <w:t xml:space="preserve"> </w:t>
      </w:r>
      <w:r w:rsidR="007B03F1" w:rsidRPr="00F74D23">
        <w:rPr>
          <w:bCs/>
        </w:rPr>
        <w:t xml:space="preserve">a) Acúmulo de </w:t>
      </w:r>
      <w:r w:rsidR="00652382">
        <w:rPr>
          <w:bCs/>
        </w:rPr>
        <w:t xml:space="preserve">distintas </w:t>
      </w:r>
      <w:r w:rsidR="007B03F1" w:rsidRPr="00F74D23">
        <w:rPr>
          <w:bCs/>
        </w:rPr>
        <w:t xml:space="preserve">funções </w:t>
      </w:r>
      <w:r w:rsidR="00652382">
        <w:rPr>
          <w:bCs/>
        </w:rPr>
        <w:t>d</w:t>
      </w:r>
      <w:r w:rsidR="007B03F1" w:rsidRPr="00F74D23">
        <w:rPr>
          <w:bCs/>
        </w:rPr>
        <w:t>o processo de contratação em um mesmo servidor</w:t>
      </w:r>
      <w:r w:rsidR="00652382">
        <w:rPr>
          <w:bCs/>
        </w:rPr>
        <w:t>, sem atentar para a compatibilidade de seu exercício</w:t>
      </w:r>
      <w:r w:rsidR="007B03F1" w:rsidRPr="00F74D23">
        <w:rPr>
          <w:bCs/>
        </w:rPr>
        <w:t>; b) Ausência de exclusividade para a função de pregoeiro; c) Ausência de quantitativo suficiente de servidores especi</w:t>
      </w:r>
      <w:r w:rsidR="00ED61D1">
        <w:rPr>
          <w:bCs/>
        </w:rPr>
        <w:t>alizados na condução de pregões</w:t>
      </w:r>
      <w:r w:rsidR="001C384E">
        <w:rPr>
          <w:bCs/>
        </w:rPr>
        <w:t>.</w:t>
      </w:r>
    </w:p>
    <w:p w:rsidR="009D34B5" w:rsidRPr="0092430D" w:rsidRDefault="00A43D55" w:rsidP="007B03F1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2.4</w:t>
      </w:r>
      <w:r w:rsidR="00C02B02" w:rsidRPr="00F74D23">
        <w:rPr>
          <w:b/>
          <w:i/>
          <w:sz w:val="24"/>
          <w:szCs w:val="24"/>
        </w:rPr>
        <w:t xml:space="preserve">.5. </w:t>
      </w:r>
      <w:r w:rsidR="009D34B5" w:rsidRPr="00F74D23">
        <w:rPr>
          <w:b/>
          <w:i/>
          <w:sz w:val="24"/>
          <w:szCs w:val="24"/>
        </w:rPr>
        <w:t>Efeito(s</w:t>
      </w:r>
      <w:r w:rsidR="009D34B5" w:rsidRPr="00F74D23">
        <w:rPr>
          <w:sz w:val="24"/>
          <w:szCs w:val="24"/>
        </w:rPr>
        <w:t xml:space="preserve">): </w:t>
      </w:r>
      <w:r w:rsidR="007B03F1" w:rsidRPr="00F74D23">
        <w:rPr>
          <w:sz w:val="24"/>
          <w:szCs w:val="24"/>
        </w:rPr>
        <w:t xml:space="preserve">a) Não adoção de </w:t>
      </w:r>
      <w:r w:rsidR="007B03F1" w:rsidRPr="00AD03B2">
        <w:rPr>
          <w:sz w:val="24"/>
          <w:szCs w:val="24"/>
        </w:rPr>
        <w:t>mecanismos de controle</w:t>
      </w:r>
      <w:r w:rsidR="00AD03B2" w:rsidRPr="00AD03B2">
        <w:rPr>
          <w:sz w:val="24"/>
          <w:szCs w:val="24"/>
        </w:rPr>
        <w:t>s</w:t>
      </w:r>
      <w:r w:rsidR="007B03F1" w:rsidRPr="00AD03B2">
        <w:rPr>
          <w:sz w:val="24"/>
          <w:szCs w:val="24"/>
        </w:rPr>
        <w:t xml:space="preserve"> interno</w:t>
      </w:r>
      <w:r w:rsidR="00AD03B2" w:rsidRPr="00AD03B2">
        <w:rPr>
          <w:sz w:val="24"/>
          <w:szCs w:val="24"/>
        </w:rPr>
        <w:t>s administrativos</w:t>
      </w:r>
      <w:r w:rsidR="007B03F1" w:rsidRPr="00F74D23">
        <w:rPr>
          <w:sz w:val="24"/>
          <w:szCs w:val="24"/>
        </w:rPr>
        <w:t xml:space="preserve"> </w:t>
      </w:r>
      <w:r w:rsidR="0092430D">
        <w:rPr>
          <w:sz w:val="24"/>
          <w:szCs w:val="24"/>
        </w:rPr>
        <w:t xml:space="preserve">e </w:t>
      </w:r>
      <w:r w:rsidR="007B03F1" w:rsidRPr="0092430D">
        <w:rPr>
          <w:sz w:val="24"/>
          <w:szCs w:val="24"/>
        </w:rPr>
        <w:t xml:space="preserve">ausência de política de segregação de funções bem definida no âmbito do </w:t>
      </w:r>
      <w:r w:rsidR="00D901D9" w:rsidRPr="0092430D">
        <w:rPr>
          <w:sz w:val="24"/>
          <w:szCs w:val="24"/>
        </w:rPr>
        <w:t>Órgão</w:t>
      </w:r>
      <w:r w:rsidR="001C384E" w:rsidRPr="0092430D">
        <w:rPr>
          <w:sz w:val="24"/>
          <w:szCs w:val="24"/>
        </w:rPr>
        <w:t>.</w:t>
      </w:r>
    </w:p>
    <w:p w:rsidR="00642348" w:rsidRPr="00F74D23" w:rsidRDefault="00C02B02" w:rsidP="00BD577D">
      <w:pPr>
        <w:jc w:val="both"/>
        <w:rPr>
          <w:b/>
          <w:iCs/>
          <w:sz w:val="24"/>
          <w:szCs w:val="24"/>
        </w:rPr>
      </w:pPr>
      <w:r w:rsidRPr="00F74D23">
        <w:rPr>
          <w:b/>
          <w:iCs/>
          <w:sz w:val="24"/>
          <w:szCs w:val="24"/>
        </w:rPr>
        <w:t>2</w:t>
      </w:r>
      <w:r w:rsidR="009D34B5" w:rsidRPr="00F74D23">
        <w:rPr>
          <w:b/>
          <w:iCs/>
          <w:sz w:val="24"/>
          <w:szCs w:val="24"/>
        </w:rPr>
        <w:t>.</w:t>
      </w:r>
      <w:r w:rsidR="00A43D55">
        <w:rPr>
          <w:b/>
          <w:iCs/>
          <w:sz w:val="24"/>
          <w:szCs w:val="24"/>
        </w:rPr>
        <w:t>5</w:t>
      </w:r>
      <w:r w:rsidR="009D34B5" w:rsidRPr="00F74D23">
        <w:rPr>
          <w:b/>
          <w:iCs/>
          <w:sz w:val="24"/>
          <w:szCs w:val="24"/>
        </w:rPr>
        <w:t xml:space="preserve">. </w:t>
      </w:r>
      <w:r w:rsidR="002C13F8">
        <w:rPr>
          <w:b/>
          <w:sz w:val="24"/>
          <w:szCs w:val="24"/>
        </w:rPr>
        <w:t>Deficiência</w:t>
      </w:r>
      <w:r w:rsidR="00E42830">
        <w:rPr>
          <w:b/>
          <w:sz w:val="24"/>
          <w:szCs w:val="24"/>
        </w:rPr>
        <w:t xml:space="preserve"> </w:t>
      </w:r>
      <w:r w:rsidR="002C13F8">
        <w:rPr>
          <w:b/>
          <w:sz w:val="24"/>
          <w:szCs w:val="24"/>
        </w:rPr>
        <w:t>n</w:t>
      </w:r>
      <w:r w:rsidR="00E42830">
        <w:rPr>
          <w:b/>
          <w:sz w:val="24"/>
          <w:szCs w:val="24"/>
        </w:rPr>
        <w:t>a</w:t>
      </w:r>
      <w:r w:rsidR="000F5A9D" w:rsidRPr="00F74D23">
        <w:rPr>
          <w:b/>
          <w:sz w:val="24"/>
          <w:szCs w:val="24"/>
        </w:rPr>
        <w:t xml:space="preserve"> pesquisa de preços</w:t>
      </w:r>
    </w:p>
    <w:p w:rsidR="00FE6B21" w:rsidRPr="007853A9" w:rsidRDefault="00A43D55" w:rsidP="00BD577D">
      <w:pPr>
        <w:jc w:val="both"/>
        <w:rPr>
          <w:sz w:val="24"/>
          <w:szCs w:val="24"/>
          <w:highlight w:val="yellow"/>
        </w:rPr>
      </w:pPr>
      <w:r>
        <w:rPr>
          <w:b/>
          <w:i/>
          <w:sz w:val="24"/>
          <w:szCs w:val="24"/>
        </w:rPr>
        <w:t>2.5</w:t>
      </w:r>
      <w:r w:rsidR="00C02B02" w:rsidRPr="00F74D23">
        <w:rPr>
          <w:b/>
          <w:i/>
          <w:sz w:val="24"/>
          <w:szCs w:val="24"/>
        </w:rPr>
        <w:t xml:space="preserve">.1. </w:t>
      </w:r>
      <w:r w:rsidR="009D34B5" w:rsidRPr="00F74D23">
        <w:rPr>
          <w:b/>
          <w:i/>
          <w:sz w:val="24"/>
          <w:szCs w:val="24"/>
        </w:rPr>
        <w:t xml:space="preserve">Situação Encontrada: </w:t>
      </w:r>
      <w:r w:rsidR="00BD577D" w:rsidRPr="00F74D23">
        <w:rPr>
          <w:sz w:val="24"/>
          <w:szCs w:val="24"/>
        </w:rPr>
        <w:t xml:space="preserve">a) </w:t>
      </w:r>
      <w:r w:rsidR="001C384E">
        <w:rPr>
          <w:sz w:val="24"/>
          <w:szCs w:val="24"/>
        </w:rPr>
        <w:t>o</w:t>
      </w:r>
      <w:r w:rsidR="001C384E" w:rsidRPr="00F74D23">
        <w:rPr>
          <w:sz w:val="24"/>
          <w:szCs w:val="24"/>
        </w:rPr>
        <w:t xml:space="preserve"> resultado da pesquisa de mercado </w:t>
      </w:r>
      <w:r w:rsidR="001C384E">
        <w:rPr>
          <w:sz w:val="24"/>
          <w:szCs w:val="24"/>
        </w:rPr>
        <w:t>p</w:t>
      </w:r>
      <w:r w:rsidR="001C384E" w:rsidRPr="00F74D23">
        <w:rPr>
          <w:sz w:val="24"/>
          <w:szCs w:val="24"/>
        </w:rPr>
        <w:t xml:space="preserve">ara a </w:t>
      </w:r>
      <w:r w:rsidR="001C384E">
        <w:rPr>
          <w:sz w:val="24"/>
          <w:szCs w:val="24"/>
        </w:rPr>
        <w:t>contratação</w:t>
      </w:r>
      <w:r w:rsidR="001C384E" w:rsidRPr="00F74D23">
        <w:rPr>
          <w:sz w:val="24"/>
          <w:szCs w:val="24"/>
        </w:rPr>
        <w:t xml:space="preserve"> d</w:t>
      </w:r>
      <w:r w:rsidR="001C384E">
        <w:rPr>
          <w:sz w:val="24"/>
          <w:szCs w:val="24"/>
        </w:rPr>
        <w:t>e</w:t>
      </w:r>
      <w:r w:rsidR="001C384E" w:rsidRPr="00F74D23">
        <w:rPr>
          <w:sz w:val="24"/>
          <w:szCs w:val="24"/>
        </w:rPr>
        <w:t xml:space="preserve"> serviço de manutenção de urnas </w:t>
      </w:r>
      <w:r w:rsidR="007853A9">
        <w:rPr>
          <w:sz w:val="24"/>
          <w:szCs w:val="24"/>
        </w:rPr>
        <w:t>apresentou</w:t>
      </w:r>
      <w:r w:rsidR="00BD577D" w:rsidRPr="00F74D23">
        <w:rPr>
          <w:sz w:val="24"/>
          <w:szCs w:val="24"/>
        </w:rPr>
        <w:t xml:space="preserve"> apenas dois preços para a formação do valor referencial máximo admitido pela administração, sem justificar a ausência de uma terceira cotação</w:t>
      </w:r>
      <w:r w:rsidR="000F5A9D" w:rsidRPr="007853A9">
        <w:rPr>
          <w:sz w:val="24"/>
          <w:szCs w:val="24"/>
        </w:rPr>
        <w:t xml:space="preserve">; b) </w:t>
      </w:r>
      <w:r w:rsidR="007853A9" w:rsidRPr="007853A9">
        <w:rPr>
          <w:sz w:val="24"/>
          <w:szCs w:val="24"/>
        </w:rPr>
        <w:t xml:space="preserve">No processo de contratação de prestação de serviços gráficos, a pesquisa de preços para </w:t>
      </w:r>
      <w:r w:rsidR="000F5A9D" w:rsidRPr="007853A9">
        <w:rPr>
          <w:sz w:val="24"/>
          <w:szCs w:val="24"/>
        </w:rPr>
        <w:t>a formação</w:t>
      </w:r>
      <w:r w:rsidR="000F5A9D" w:rsidRPr="00F74D23">
        <w:rPr>
          <w:sz w:val="24"/>
          <w:szCs w:val="24"/>
        </w:rPr>
        <w:t xml:space="preserve"> do valor referencial da contratação apresentou como resultado valores excessivamente superiores àqueles praticados pelo mercado e obtidos atrav</w:t>
      </w:r>
      <w:r w:rsidR="007853A9">
        <w:rPr>
          <w:sz w:val="24"/>
          <w:szCs w:val="24"/>
        </w:rPr>
        <w:t xml:space="preserve">és do procedimento licitatório; </w:t>
      </w:r>
      <w:r w:rsidR="00A623F5" w:rsidRPr="0092430D">
        <w:rPr>
          <w:sz w:val="24"/>
          <w:szCs w:val="24"/>
        </w:rPr>
        <w:t xml:space="preserve">c) </w:t>
      </w:r>
      <w:r w:rsidR="00652382" w:rsidRPr="0092430D">
        <w:rPr>
          <w:sz w:val="24"/>
          <w:szCs w:val="24"/>
        </w:rPr>
        <w:t xml:space="preserve">Ausência de verificação da regularidade fiscal das empresas </w:t>
      </w:r>
      <w:r w:rsidR="0092430D" w:rsidRPr="0092430D">
        <w:rPr>
          <w:sz w:val="24"/>
          <w:szCs w:val="24"/>
        </w:rPr>
        <w:t>que</w:t>
      </w:r>
      <w:r w:rsidR="00652382" w:rsidRPr="0092430D">
        <w:rPr>
          <w:sz w:val="24"/>
          <w:szCs w:val="24"/>
        </w:rPr>
        <w:t xml:space="preserve"> apresenta</w:t>
      </w:r>
      <w:r w:rsidR="0092430D" w:rsidRPr="0092430D">
        <w:rPr>
          <w:sz w:val="24"/>
          <w:szCs w:val="24"/>
        </w:rPr>
        <w:t>ram</w:t>
      </w:r>
      <w:r w:rsidR="00652382" w:rsidRPr="0092430D">
        <w:rPr>
          <w:sz w:val="24"/>
          <w:szCs w:val="24"/>
        </w:rPr>
        <w:t xml:space="preserve"> propostas de preços durante a fase de cotação</w:t>
      </w:r>
      <w:r w:rsidR="001C384E" w:rsidRPr="0092430D">
        <w:rPr>
          <w:sz w:val="24"/>
          <w:szCs w:val="24"/>
        </w:rPr>
        <w:t>.</w:t>
      </w:r>
    </w:p>
    <w:p w:rsidR="009D34B5" w:rsidRPr="0092430D" w:rsidRDefault="00A43D55" w:rsidP="00BD577D">
      <w:pPr>
        <w:pStyle w:val="ecxmsonormal"/>
        <w:spacing w:after="120"/>
        <w:jc w:val="both"/>
      </w:pPr>
      <w:r>
        <w:rPr>
          <w:b/>
          <w:i/>
        </w:rPr>
        <w:t>2.5</w:t>
      </w:r>
      <w:r w:rsidR="00C02B02" w:rsidRPr="00F74D23">
        <w:rPr>
          <w:b/>
          <w:i/>
        </w:rPr>
        <w:t xml:space="preserve">.2. </w:t>
      </w:r>
      <w:r w:rsidR="009D34B5" w:rsidRPr="00F74D23">
        <w:rPr>
          <w:b/>
          <w:i/>
        </w:rPr>
        <w:t>Critério:</w:t>
      </w:r>
      <w:r w:rsidR="009D34B5" w:rsidRPr="00F74D23">
        <w:t xml:space="preserve"> </w:t>
      </w:r>
      <w:r w:rsidR="004D4F83">
        <w:t>a) Art. 37, “caput” da</w:t>
      </w:r>
      <w:r w:rsidR="00BD577D" w:rsidRPr="00F74D23">
        <w:t xml:space="preserve"> CF/88; b) Portaria TRE-BA </w:t>
      </w:r>
      <w:r w:rsidR="004F5280">
        <w:t>nº</w:t>
      </w:r>
      <w:r w:rsidR="00BD577D" w:rsidRPr="00F74D23">
        <w:t xml:space="preserve"> 144/2015, art. 1º, §2º; </w:t>
      </w:r>
      <w:r w:rsidR="00BD577D" w:rsidRPr="00F74D23">
        <w:rPr>
          <w:bCs/>
        </w:rPr>
        <w:t>c)</w:t>
      </w:r>
      <w:r w:rsidR="004D4F83">
        <w:rPr>
          <w:bCs/>
        </w:rPr>
        <w:t xml:space="preserve"> </w:t>
      </w:r>
      <w:r w:rsidR="0092430D" w:rsidRPr="00652382">
        <w:rPr>
          <w:bCs/>
        </w:rPr>
        <w:t>item 9.6</w:t>
      </w:r>
      <w:r w:rsidR="0092430D">
        <w:rPr>
          <w:bCs/>
        </w:rPr>
        <w:t xml:space="preserve"> do </w:t>
      </w:r>
      <w:r w:rsidR="004D4F83">
        <w:rPr>
          <w:bCs/>
        </w:rPr>
        <w:t>Acórdão TCU nº 3.026/2010</w:t>
      </w:r>
      <w:r w:rsidR="0092430D">
        <w:rPr>
          <w:bCs/>
        </w:rPr>
        <w:t>-</w:t>
      </w:r>
      <w:r w:rsidR="004D4F83" w:rsidRPr="00652382">
        <w:rPr>
          <w:bCs/>
        </w:rPr>
        <w:t>P</w:t>
      </w:r>
      <w:r w:rsidR="00BD577D" w:rsidRPr="00652382">
        <w:rPr>
          <w:bCs/>
        </w:rPr>
        <w:t>lenári</w:t>
      </w:r>
      <w:r w:rsidR="004D4F83" w:rsidRPr="00652382">
        <w:rPr>
          <w:bCs/>
        </w:rPr>
        <w:t xml:space="preserve">o; d) </w:t>
      </w:r>
      <w:r w:rsidR="0092430D" w:rsidRPr="00652382">
        <w:rPr>
          <w:bCs/>
        </w:rPr>
        <w:t>item 2</w:t>
      </w:r>
      <w:r w:rsidR="0092430D">
        <w:rPr>
          <w:bCs/>
        </w:rPr>
        <w:t xml:space="preserve"> do Acórdão TCU nº 868/2013-</w:t>
      </w:r>
      <w:r w:rsidR="004D4F83" w:rsidRPr="00652382">
        <w:rPr>
          <w:bCs/>
        </w:rPr>
        <w:t xml:space="preserve"> P</w:t>
      </w:r>
      <w:r w:rsidR="00BD577D" w:rsidRPr="00652382">
        <w:rPr>
          <w:bCs/>
        </w:rPr>
        <w:t>lenário</w:t>
      </w:r>
      <w:r w:rsidR="00A33219" w:rsidRPr="00652382">
        <w:rPr>
          <w:bCs/>
        </w:rPr>
        <w:t>;</w:t>
      </w:r>
      <w:r w:rsidR="00652382" w:rsidRPr="00652382">
        <w:rPr>
          <w:bCs/>
        </w:rPr>
        <w:t xml:space="preserve"> </w:t>
      </w:r>
      <w:r w:rsidR="00652382">
        <w:rPr>
          <w:bCs/>
        </w:rPr>
        <w:t xml:space="preserve">e) </w:t>
      </w:r>
      <w:r w:rsidR="00652382" w:rsidRPr="0092430D">
        <w:rPr>
          <w:bCs/>
        </w:rPr>
        <w:t>Art. 11, §4°, Res. 23.234/2010</w:t>
      </w:r>
      <w:r w:rsidR="0092430D">
        <w:rPr>
          <w:bCs/>
        </w:rPr>
        <w:t>.</w:t>
      </w:r>
    </w:p>
    <w:p w:rsidR="00642348" w:rsidRPr="0092430D" w:rsidRDefault="00A43D55" w:rsidP="00BD577D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2.5</w:t>
      </w:r>
      <w:r w:rsidR="00C02B02" w:rsidRPr="00F74D23">
        <w:rPr>
          <w:b/>
          <w:i/>
          <w:sz w:val="24"/>
          <w:szCs w:val="24"/>
        </w:rPr>
        <w:t xml:space="preserve">.3. </w:t>
      </w:r>
      <w:r w:rsidR="009D34B5" w:rsidRPr="00F74D23">
        <w:rPr>
          <w:b/>
          <w:i/>
          <w:sz w:val="24"/>
          <w:szCs w:val="24"/>
        </w:rPr>
        <w:t>Evidência(s):</w:t>
      </w:r>
      <w:r w:rsidR="0093776D" w:rsidRPr="00F74D23">
        <w:rPr>
          <w:b/>
          <w:i/>
          <w:sz w:val="24"/>
          <w:szCs w:val="24"/>
        </w:rPr>
        <w:t xml:space="preserve"> </w:t>
      </w:r>
      <w:r w:rsidR="00BD577D" w:rsidRPr="00F74D23">
        <w:rPr>
          <w:sz w:val="24"/>
          <w:szCs w:val="24"/>
        </w:rPr>
        <w:t xml:space="preserve">a) Docs. PAD </w:t>
      </w:r>
      <w:r w:rsidR="004F5280">
        <w:rPr>
          <w:sz w:val="24"/>
          <w:szCs w:val="24"/>
        </w:rPr>
        <w:t>nº</w:t>
      </w:r>
      <w:r w:rsidR="00EF083F">
        <w:rPr>
          <w:sz w:val="24"/>
          <w:szCs w:val="24"/>
        </w:rPr>
        <w:t xml:space="preserve"> 46.538, 55.532 e 55.534/2015 (</w:t>
      </w:r>
      <w:r w:rsidR="00BD577D" w:rsidRPr="00F74D23">
        <w:rPr>
          <w:sz w:val="24"/>
          <w:szCs w:val="24"/>
        </w:rPr>
        <w:t xml:space="preserve">PAD </w:t>
      </w:r>
      <w:r w:rsidR="004F5280">
        <w:rPr>
          <w:sz w:val="24"/>
          <w:szCs w:val="24"/>
        </w:rPr>
        <w:t>nº</w:t>
      </w:r>
      <w:r w:rsidR="00EF083F">
        <w:rPr>
          <w:sz w:val="24"/>
          <w:szCs w:val="24"/>
        </w:rPr>
        <w:t xml:space="preserve"> 4.689/2015 – </w:t>
      </w:r>
      <w:r w:rsidR="00BD577D" w:rsidRPr="00F74D23">
        <w:rPr>
          <w:sz w:val="24"/>
          <w:szCs w:val="24"/>
        </w:rPr>
        <w:t>conservação de urnas eletrônicas);</w:t>
      </w:r>
      <w:r w:rsidR="000F5A9D" w:rsidRPr="00F74D23">
        <w:rPr>
          <w:sz w:val="24"/>
          <w:szCs w:val="24"/>
        </w:rPr>
        <w:t xml:space="preserve"> b) Docs. PAD </w:t>
      </w:r>
      <w:r w:rsidR="004F5280">
        <w:rPr>
          <w:sz w:val="24"/>
          <w:szCs w:val="24"/>
        </w:rPr>
        <w:t>nº</w:t>
      </w:r>
      <w:r w:rsidR="00EF083F">
        <w:rPr>
          <w:sz w:val="24"/>
          <w:szCs w:val="24"/>
        </w:rPr>
        <w:t xml:space="preserve"> 69.085/2016 – </w:t>
      </w:r>
      <w:r w:rsidR="000F5A9D" w:rsidRPr="00F74D23">
        <w:rPr>
          <w:sz w:val="24"/>
          <w:szCs w:val="24"/>
        </w:rPr>
        <w:t>preços de referência constante</w:t>
      </w:r>
      <w:r w:rsidR="00EF083F">
        <w:rPr>
          <w:sz w:val="24"/>
          <w:szCs w:val="24"/>
        </w:rPr>
        <w:t xml:space="preserve">s de edital – e 93.857/2016 – resultado por fornecedor (PAD n° 290/2015 – </w:t>
      </w:r>
      <w:r w:rsidR="000F5A9D" w:rsidRPr="00F74D23">
        <w:rPr>
          <w:sz w:val="24"/>
          <w:szCs w:val="24"/>
        </w:rPr>
        <w:t>contratação de</w:t>
      </w:r>
      <w:r w:rsidR="00EF083F">
        <w:rPr>
          <w:sz w:val="24"/>
          <w:szCs w:val="24"/>
        </w:rPr>
        <w:t xml:space="preserve"> prestação de serviços gráficos);</w:t>
      </w:r>
      <w:r w:rsidR="000A6A13">
        <w:rPr>
          <w:sz w:val="24"/>
          <w:szCs w:val="24"/>
        </w:rPr>
        <w:t xml:space="preserve"> </w:t>
      </w:r>
      <w:r w:rsidR="000A6A13" w:rsidRPr="0092430D">
        <w:rPr>
          <w:sz w:val="24"/>
          <w:szCs w:val="24"/>
        </w:rPr>
        <w:t xml:space="preserve">c) Docs. PAD n° </w:t>
      </w:r>
      <w:r w:rsidR="0066370F" w:rsidRPr="0092430D">
        <w:rPr>
          <w:sz w:val="24"/>
          <w:szCs w:val="24"/>
        </w:rPr>
        <w:t>65.844/2014 e 66.408/2015 (PAD n° 003/2015); Docs. 94.511/2015 e 94.512/2015 (PAD n° 290/2015); Docs. 55.020/2015, 55.021/2015, 55.532/2015 e 55.534/2015 (PAD n° 4.689/2015)</w:t>
      </w:r>
      <w:r w:rsidR="0092430D">
        <w:rPr>
          <w:sz w:val="24"/>
          <w:szCs w:val="24"/>
        </w:rPr>
        <w:t>.</w:t>
      </w:r>
    </w:p>
    <w:p w:rsidR="00216758" w:rsidRPr="00775FAC" w:rsidRDefault="00A43D55" w:rsidP="00775FAC">
      <w:pPr>
        <w:jc w:val="both"/>
        <w:rPr>
          <w:sz w:val="24"/>
          <w:szCs w:val="24"/>
        </w:rPr>
      </w:pPr>
      <w:r w:rsidRPr="00775FAC">
        <w:rPr>
          <w:b/>
          <w:i/>
          <w:sz w:val="24"/>
          <w:szCs w:val="24"/>
        </w:rPr>
        <w:lastRenderedPageBreak/>
        <w:t>2.5</w:t>
      </w:r>
      <w:r w:rsidR="00C02B02" w:rsidRPr="00775FAC">
        <w:rPr>
          <w:b/>
          <w:i/>
          <w:sz w:val="24"/>
          <w:szCs w:val="24"/>
        </w:rPr>
        <w:t xml:space="preserve">.4. </w:t>
      </w:r>
      <w:r w:rsidR="009D34B5" w:rsidRPr="00775FAC">
        <w:rPr>
          <w:b/>
          <w:i/>
          <w:sz w:val="24"/>
          <w:szCs w:val="24"/>
        </w:rPr>
        <w:t>Causa:</w:t>
      </w:r>
      <w:r w:rsidR="00106FFA" w:rsidRPr="00775FAC">
        <w:rPr>
          <w:sz w:val="24"/>
          <w:szCs w:val="24"/>
        </w:rPr>
        <w:t xml:space="preserve"> </w:t>
      </w:r>
      <w:r w:rsidR="00775FAC">
        <w:rPr>
          <w:sz w:val="24"/>
          <w:szCs w:val="24"/>
        </w:rPr>
        <w:t>a</w:t>
      </w:r>
      <w:r w:rsidR="00775FAC" w:rsidRPr="00775FAC">
        <w:rPr>
          <w:sz w:val="24"/>
          <w:szCs w:val="24"/>
        </w:rPr>
        <w:t xml:space="preserve">) Insuficiência de capacitação de servidores responsáveis pela </w:t>
      </w:r>
      <w:r w:rsidR="00775FAC">
        <w:rPr>
          <w:sz w:val="24"/>
          <w:szCs w:val="24"/>
        </w:rPr>
        <w:t xml:space="preserve">realização da pesquisa de preços; b) </w:t>
      </w:r>
      <w:r w:rsidR="00A81160">
        <w:rPr>
          <w:sz w:val="24"/>
          <w:szCs w:val="24"/>
        </w:rPr>
        <w:t>Acúmul</w:t>
      </w:r>
      <w:r w:rsidR="002C13F8">
        <w:rPr>
          <w:sz w:val="24"/>
          <w:szCs w:val="24"/>
        </w:rPr>
        <w:t>o de atividades ante um cenário</w:t>
      </w:r>
      <w:r w:rsidR="00A81160">
        <w:rPr>
          <w:sz w:val="24"/>
          <w:szCs w:val="24"/>
        </w:rPr>
        <w:t xml:space="preserve"> de escassez de recursos humanos.</w:t>
      </w:r>
      <w:r w:rsidR="00775FAC">
        <w:rPr>
          <w:sz w:val="24"/>
          <w:szCs w:val="24"/>
        </w:rPr>
        <w:t xml:space="preserve"> </w:t>
      </w:r>
    </w:p>
    <w:p w:rsidR="00BD577D" w:rsidRDefault="00A43D55" w:rsidP="009D3DB5">
      <w:pPr>
        <w:pStyle w:val="ecxmsonormal"/>
        <w:spacing w:after="0"/>
        <w:jc w:val="both"/>
      </w:pPr>
      <w:r>
        <w:rPr>
          <w:b/>
          <w:i/>
        </w:rPr>
        <w:t>2.5</w:t>
      </w:r>
      <w:r w:rsidR="00C02B02" w:rsidRPr="00F74D23">
        <w:rPr>
          <w:b/>
          <w:i/>
        </w:rPr>
        <w:t xml:space="preserve">.5 </w:t>
      </w:r>
      <w:r w:rsidR="009D34B5" w:rsidRPr="00F74D23">
        <w:rPr>
          <w:b/>
          <w:i/>
        </w:rPr>
        <w:t>Efeito(s</w:t>
      </w:r>
      <w:r w:rsidR="009D34B5" w:rsidRPr="00F74D23">
        <w:t>):</w:t>
      </w:r>
      <w:r w:rsidR="00BD577D" w:rsidRPr="00F74D23">
        <w:t xml:space="preserve"> </w:t>
      </w:r>
      <w:r w:rsidR="00240A0F">
        <w:t>a</w:t>
      </w:r>
      <w:r w:rsidR="009D3DB5" w:rsidRPr="00F74D23">
        <w:t>) Risco de compra</w:t>
      </w:r>
      <w:r w:rsidR="00240A0F">
        <w:t>s superfaturadas; b</w:t>
      </w:r>
      <w:r w:rsidR="009D3DB5" w:rsidRPr="00F74D23">
        <w:t>) Impossibilidade de auferir efetiva economia nas co</w:t>
      </w:r>
      <w:r w:rsidR="00240A0F">
        <w:t>mpras efetuadas pelo Tribunal; c</w:t>
      </w:r>
      <w:r w:rsidR="009D3DB5" w:rsidRPr="00F74D23">
        <w:t>) Falha na parametrização de preços médios praticados no mercado, podendo implicar licitação deserta ou fracassada</w:t>
      </w:r>
      <w:r w:rsidR="00240A0F">
        <w:t>; d</w:t>
      </w:r>
      <w:r w:rsidR="009D3DB5" w:rsidRPr="00F74D23">
        <w:t>) Possibilidade de dano ao erário, através de aquisições de bens e/ou serviços com pre</w:t>
      </w:r>
      <w:r w:rsidR="00240A0F">
        <w:t>ços acima do valor de mercado; e</w:t>
      </w:r>
      <w:r w:rsidR="009D3DB5" w:rsidRPr="00F74D23">
        <w:t xml:space="preserve">) Impossibilidade de auferir a eficiência dos procedimentos licitatórios do </w:t>
      </w:r>
      <w:r w:rsidR="00D901D9">
        <w:t>Órgão</w:t>
      </w:r>
      <w:r w:rsidR="00240A0F">
        <w:t xml:space="preserve"> em busca do melhor preço; f</w:t>
      </w:r>
      <w:r w:rsidR="009D3DB5" w:rsidRPr="00F74D23">
        <w:t xml:space="preserve">) </w:t>
      </w:r>
      <w:r w:rsidR="007853A9">
        <w:t>Elevado</w:t>
      </w:r>
      <w:r w:rsidR="009D3DB5" w:rsidRPr="00F74D23">
        <w:t xml:space="preserve"> e desnecessário engessamento de recursos do orçamento do Tribunal, através de pré-empenho, com potencial prejuízo orçamentário a o</w:t>
      </w:r>
      <w:r w:rsidR="00393958">
        <w:t xml:space="preserve">utras áreas de atuação do </w:t>
      </w:r>
      <w:r w:rsidR="00D901D9">
        <w:t>Órgão</w:t>
      </w:r>
      <w:r w:rsidR="00393958">
        <w:t>.</w:t>
      </w:r>
    </w:p>
    <w:p w:rsidR="00AD03B2" w:rsidRPr="00F74D23" w:rsidRDefault="00AD03B2" w:rsidP="009D3DB5">
      <w:pPr>
        <w:pStyle w:val="ecxmsonormal"/>
        <w:spacing w:after="0"/>
        <w:jc w:val="both"/>
      </w:pPr>
    </w:p>
    <w:p w:rsidR="002B024F" w:rsidRPr="00F74D23" w:rsidRDefault="00A43D55" w:rsidP="002B024F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2.6</w:t>
      </w:r>
      <w:r w:rsidR="002B024F" w:rsidRPr="00F74D23">
        <w:rPr>
          <w:b/>
          <w:iCs/>
          <w:sz w:val="24"/>
          <w:szCs w:val="24"/>
        </w:rPr>
        <w:t xml:space="preserve">. </w:t>
      </w:r>
      <w:r w:rsidR="00EA5D1F">
        <w:rPr>
          <w:b/>
          <w:sz w:val="24"/>
          <w:szCs w:val="24"/>
        </w:rPr>
        <w:t>Morosidade na</w:t>
      </w:r>
      <w:r w:rsidR="009D3DB5" w:rsidRPr="00F74D23">
        <w:rPr>
          <w:b/>
          <w:sz w:val="24"/>
          <w:szCs w:val="24"/>
        </w:rPr>
        <w:t xml:space="preserve"> tramitação do procedimento administrativo na fase interna da licitação</w:t>
      </w:r>
    </w:p>
    <w:p w:rsidR="002B024F" w:rsidRPr="00F74D23" w:rsidRDefault="00384E93" w:rsidP="002B024F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2.6</w:t>
      </w:r>
      <w:r w:rsidR="002B024F" w:rsidRPr="00F74D23">
        <w:rPr>
          <w:b/>
          <w:i/>
          <w:sz w:val="24"/>
          <w:szCs w:val="24"/>
        </w:rPr>
        <w:t xml:space="preserve">.1. Situação Encontrada: </w:t>
      </w:r>
      <w:r w:rsidR="000A6363" w:rsidRPr="00F74D23">
        <w:rPr>
          <w:sz w:val="24"/>
          <w:szCs w:val="24"/>
        </w:rPr>
        <w:t xml:space="preserve">a) Protocolização de Termo de Referência em 2/1/2014 e decisão autorizando abertura do procedimento licitatório em 18/2/2016, na contratação de serviços de manutenção predial; b) </w:t>
      </w:r>
      <w:r w:rsidR="00F978EF">
        <w:rPr>
          <w:sz w:val="24"/>
          <w:szCs w:val="24"/>
        </w:rPr>
        <w:t>As u</w:t>
      </w:r>
      <w:r w:rsidR="000A6363" w:rsidRPr="00F74D23">
        <w:rPr>
          <w:sz w:val="24"/>
          <w:szCs w:val="24"/>
        </w:rPr>
        <w:t xml:space="preserve">rnas eletrônicas </w:t>
      </w:r>
      <w:r w:rsidR="00F978EF">
        <w:rPr>
          <w:sz w:val="24"/>
          <w:szCs w:val="24"/>
        </w:rPr>
        <w:t xml:space="preserve">sob a responsabilidade deste Tribunal ficaram </w:t>
      </w:r>
      <w:r w:rsidR="000A6363" w:rsidRPr="00F74D23">
        <w:rPr>
          <w:sz w:val="24"/>
          <w:szCs w:val="24"/>
        </w:rPr>
        <w:t xml:space="preserve">desassistidas dos serviços de manutenção preventiva do período </w:t>
      </w:r>
      <w:r w:rsidR="00F978EF">
        <w:rPr>
          <w:sz w:val="24"/>
          <w:szCs w:val="24"/>
        </w:rPr>
        <w:t xml:space="preserve">compreendido </w:t>
      </w:r>
      <w:r w:rsidR="00F978EF" w:rsidRPr="000C5544">
        <w:rPr>
          <w:sz w:val="24"/>
          <w:szCs w:val="24"/>
        </w:rPr>
        <w:t>entre</w:t>
      </w:r>
      <w:r w:rsidR="000A6363" w:rsidRPr="000C5544">
        <w:rPr>
          <w:sz w:val="24"/>
          <w:szCs w:val="24"/>
        </w:rPr>
        <w:t xml:space="preserve"> 5/8/2015 </w:t>
      </w:r>
      <w:r w:rsidR="000A6363" w:rsidRPr="00F74D23">
        <w:rPr>
          <w:sz w:val="24"/>
          <w:szCs w:val="24"/>
        </w:rPr>
        <w:t>a 13/4/201</w:t>
      </w:r>
      <w:r w:rsidR="000C5544">
        <w:rPr>
          <w:sz w:val="24"/>
          <w:szCs w:val="24"/>
        </w:rPr>
        <w:t>6</w:t>
      </w:r>
      <w:r w:rsidR="000A6363" w:rsidRPr="00F74D23">
        <w:rPr>
          <w:sz w:val="24"/>
          <w:szCs w:val="24"/>
        </w:rPr>
        <w:t xml:space="preserve">, por </w:t>
      </w:r>
      <w:r w:rsidR="00F978EF">
        <w:rPr>
          <w:sz w:val="24"/>
          <w:szCs w:val="24"/>
        </w:rPr>
        <w:t xml:space="preserve">inexistência </w:t>
      </w:r>
      <w:r w:rsidR="000A6363" w:rsidRPr="00F74D23">
        <w:rPr>
          <w:sz w:val="24"/>
          <w:szCs w:val="24"/>
        </w:rPr>
        <w:t>de contrat</w:t>
      </w:r>
      <w:r w:rsidR="00F978EF">
        <w:rPr>
          <w:sz w:val="24"/>
          <w:szCs w:val="24"/>
        </w:rPr>
        <w:t>o</w:t>
      </w:r>
      <w:r w:rsidR="000A6363" w:rsidRPr="00F74D23">
        <w:rPr>
          <w:sz w:val="24"/>
          <w:szCs w:val="24"/>
        </w:rPr>
        <w:t xml:space="preserve">; c) </w:t>
      </w:r>
      <w:r w:rsidR="00F978EF">
        <w:rPr>
          <w:sz w:val="24"/>
          <w:szCs w:val="24"/>
        </w:rPr>
        <w:t>N</w:t>
      </w:r>
      <w:r w:rsidR="00F978EF" w:rsidRPr="00F74D23">
        <w:rPr>
          <w:sz w:val="24"/>
          <w:szCs w:val="24"/>
        </w:rPr>
        <w:t xml:space="preserve">o processo de contratação de prestação de serviços gráficos </w:t>
      </w:r>
      <w:r w:rsidR="00F978EF">
        <w:rPr>
          <w:sz w:val="24"/>
          <w:szCs w:val="24"/>
        </w:rPr>
        <w:t>observou-se o t</w:t>
      </w:r>
      <w:r w:rsidR="000A6363" w:rsidRPr="00F74D23">
        <w:rPr>
          <w:sz w:val="24"/>
          <w:szCs w:val="24"/>
        </w:rPr>
        <w:t>ranscurso do prazo de 23 (vinte e três) meses entre a protocolização inicial do Termo de Referência (ocorrido em 10/7/2014) e a homologação do procedimento licitatório (ocorrida em 9/6/2016</w:t>
      </w:r>
      <w:r w:rsidR="006609F3" w:rsidRPr="00F74D23">
        <w:rPr>
          <w:sz w:val="24"/>
          <w:szCs w:val="24"/>
        </w:rPr>
        <w:t>)</w:t>
      </w:r>
      <w:r w:rsidR="00F978EF">
        <w:rPr>
          <w:sz w:val="24"/>
          <w:szCs w:val="24"/>
        </w:rPr>
        <w:t>.</w:t>
      </w:r>
      <w:r w:rsidR="000A6363" w:rsidRPr="00F74D23">
        <w:rPr>
          <w:sz w:val="24"/>
          <w:szCs w:val="24"/>
        </w:rPr>
        <w:t xml:space="preserve"> </w:t>
      </w:r>
    </w:p>
    <w:p w:rsidR="002B024F" w:rsidRPr="00F978EF" w:rsidRDefault="00384E93" w:rsidP="002B024F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2.6</w:t>
      </w:r>
      <w:r w:rsidR="002B024F" w:rsidRPr="00F74D23">
        <w:rPr>
          <w:b/>
          <w:i/>
          <w:sz w:val="24"/>
          <w:szCs w:val="24"/>
        </w:rPr>
        <w:t>.2. Critério:</w:t>
      </w:r>
      <w:r w:rsidR="002B024F" w:rsidRPr="00F74D23">
        <w:rPr>
          <w:sz w:val="24"/>
          <w:szCs w:val="24"/>
        </w:rPr>
        <w:t xml:space="preserve"> </w:t>
      </w:r>
      <w:r w:rsidR="006609F3" w:rsidRPr="00CA11AE">
        <w:rPr>
          <w:sz w:val="24"/>
          <w:szCs w:val="24"/>
        </w:rPr>
        <w:t xml:space="preserve">a) Art. 37, “caput”, </w:t>
      </w:r>
      <w:r w:rsidRPr="00CA11AE">
        <w:rPr>
          <w:sz w:val="24"/>
          <w:szCs w:val="24"/>
        </w:rPr>
        <w:t xml:space="preserve">da </w:t>
      </w:r>
      <w:r w:rsidR="006609F3" w:rsidRPr="00CA11AE">
        <w:rPr>
          <w:sz w:val="24"/>
          <w:szCs w:val="24"/>
        </w:rPr>
        <w:t>CF/88</w:t>
      </w:r>
      <w:r w:rsidR="00EB0121" w:rsidRPr="00CA11AE">
        <w:rPr>
          <w:sz w:val="24"/>
          <w:szCs w:val="24"/>
        </w:rPr>
        <w:t xml:space="preserve">; </w:t>
      </w:r>
      <w:r w:rsidR="00EB0121" w:rsidRPr="00F978EF">
        <w:rPr>
          <w:sz w:val="24"/>
          <w:szCs w:val="24"/>
        </w:rPr>
        <w:t>b) Art. 2°, Lei n° 9.874/99; Decreto 1.171/94, Anexo, Capí</w:t>
      </w:r>
      <w:r w:rsidR="0011245E">
        <w:rPr>
          <w:sz w:val="24"/>
          <w:szCs w:val="24"/>
        </w:rPr>
        <w:t>tulo I, Seção II, XIV; b)</w:t>
      </w:r>
      <w:r w:rsidR="00EB0121" w:rsidRPr="00F978EF">
        <w:rPr>
          <w:sz w:val="24"/>
          <w:szCs w:val="24"/>
        </w:rPr>
        <w:t xml:space="preserve"> </w:t>
      </w:r>
      <w:r w:rsidR="00B71170" w:rsidRPr="00F978EF">
        <w:rPr>
          <w:sz w:val="24"/>
          <w:szCs w:val="24"/>
        </w:rPr>
        <w:t>Diretrizes Estratégicas consolidadas no Planejamento estratégico do TRE-BA 2016-2021 (Aperfeiçoar a qualidade do gasto público; Melhorar o desempenho dos processos organizacionais)</w:t>
      </w:r>
      <w:r w:rsidR="00F978EF" w:rsidRPr="00F978EF">
        <w:rPr>
          <w:sz w:val="24"/>
          <w:szCs w:val="24"/>
        </w:rPr>
        <w:t>.</w:t>
      </w:r>
    </w:p>
    <w:p w:rsidR="002B024F" w:rsidRPr="00F74D23" w:rsidRDefault="00384E93" w:rsidP="002B024F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2.6</w:t>
      </w:r>
      <w:r w:rsidR="002B024F" w:rsidRPr="00F74D23">
        <w:rPr>
          <w:b/>
          <w:i/>
          <w:sz w:val="24"/>
          <w:szCs w:val="24"/>
        </w:rPr>
        <w:t xml:space="preserve">.3. Evidência(s): </w:t>
      </w:r>
      <w:r w:rsidR="006609F3" w:rsidRPr="00F74D23">
        <w:rPr>
          <w:sz w:val="24"/>
          <w:szCs w:val="24"/>
        </w:rPr>
        <w:t xml:space="preserve">a) </w:t>
      </w:r>
      <w:r w:rsidR="00F978EF" w:rsidRPr="00F74D23">
        <w:rPr>
          <w:sz w:val="24"/>
          <w:szCs w:val="24"/>
        </w:rPr>
        <w:t>processo de contratação de serviço de manutenção predial</w:t>
      </w:r>
      <w:r w:rsidR="00F978EF">
        <w:rPr>
          <w:sz w:val="24"/>
          <w:szCs w:val="24"/>
        </w:rPr>
        <w:t xml:space="preserve">: </w:t>
      </w:r>
      <w:r w:rsidR="006609F3" w:rsidRPr="00F74D23">
        <w:rPr>
          <w:sz w:val="24"/>
          <w:szCs w:val="24"/>
        </w:rPr>
        <w:t xml:space="preserve">Doc. PAD </w:t>
      </w:r>
      <w:r w:rsidR="004F5280">
        <w:rPr>
          <w:sz w:val="24"/>
          <w:szCs w:val="24"/>
        </w:rPr>
        <w:t>nº</w:t>
      </w:r>
      <w:r w:rsidR="006609F3" w:rsidRPr="00F74D23">
        <w:rPr>
          <w:sz w:val="24"/>
          <w:szCs w:val="24"/>
        </w:rPr>
        <w:t xml:space="preserve"> 06/2015 (protocolização do Termo de Referência) e Doc. PAD </w:t>
      </w:r>
      <w:r w:rsidR="004F5280">
        <w:rPr>
          <w:sz w:val="24"/>
          <w:szCs w:val="24"/>
        </w:rPr>
        <w:t>nº</w:t>
      </w:r>
      <w:r w:rsidR="006609F3" w:rsidRPr="00F74D23">
        <w:rPr>
          <w:sz w:val="24"/>
          <w:szCs w:val="24"/>
        </w:rPr>
        <w:t xml:space="preserve"> 23.265/2016 (data de autorização da abertura do procedimento licitatório); b) Doc. PAD </w:t>
      </w:r>
      <w:r w:rsidR="004F5280">
        <w:rPr>
          <w:sz w:val="24"/>
          <w:szCs w:val="24"/>
        </w:rPr>
        <w:t>nº</w:t>
      </w:r>
      <w:r w:rsidR="006609F3" w:rsidRPr="00F74D23">
        <w:rPr>
          <w:sz w:val="24"/>
          <w:szCs w:val="24"/>
        </w:rPr>
        <w:t xml:space="preserve"> 1.321/2015 (com data de protocolo inicial) e Doc. PAD </w:t>
      </w:r>
      <w:r w:rsidR="004F5280">
        <w:rPr>
          <w:sz w:val="24"/>
          <w:szCs w:val="24"/>
        </w:rPr>
        <w:t>nº</w:t>
      </w:r>
      <w:r w:rsidR="006609F3" w:rsidRPr="00F74D23">
        <w:rPr>
          <w:sz w:val="24"/>
          <w:szCs w:val="24"/>
        </w:rPr>
        <w:t xml:space="preserve"> 104.249/2016 (com data de homologação do procedimento licitatório)</w:t>
      </w:r>
      <w:r w:rsidR="00C15601">
        <w:rPr>
          <w:sz w:val="24"/>
          <w:szCs w:val="24"/>
        </w:rPr>
        <w:t xml:space="preserve">; Doc. </w:t>
      </w:r>
      <w:r w:rsidR="00852241">
        <w:rPr>
          <w:sz w:val="24"/>
          <w:szCs w:val="24"/>
        </w:rPr>
        <w:t>nº 41.560/2015, Doc.</w:t>
      </w:r>
      <w:r w:rsidR="00C15601">
        <w:rPr>
          <w:sz w:val="24"/>
          <w:szCs w:val="24"/>
        </w:rPr>
        <w:t xml:space="preserve"> nº 64.534/2016.</w:t>
      </w:r>
    </w:p>
    <w:p w:rsidR="002B024F" w:rsidRPr="00984D51" w:rsidRDefault="00384E93" w:rsidP="002B024F">
      <w:pPr>
        <w:jc w:val="both"/>
        <w:rPr>
          <w:sz w:val="24"/>
          <w:szCs w:val="24"/>
        </w:rPr>
      </w:pPr>
      <w:r w:rsidRPr="00984D51">
        <w:rPr>
          <w:b/>
          <w:i/>
          <w:sz w:val="24"/>
          <w:szCs w:val="24"/>
        </w:rPr>
        <w:t>2.6</w:t>
      </w:r>
      <w:r w:rsidR="002B024F" w:rsidRPr="00984D51">
        <w:rPr>
          <w:b/>
          <w:i/>
          <w:sz w:val="24"/>
          <w:szCs w:val="24"/>
        </w:rPr>
        <w:t>.4. Causa:</w:t>
      </w:r>
      <w:r w:rsidR="002B024F" w:rsidRPr="00984D51">
        <w:rPr>
          <w:sz w:val="24"/>
          <w:szCs w:val="24"/>
        </w:rPr>
        <w:t xml:space="preserve"> </w:t>
      </w:r>
      <w:r w:rsidR="00984D51" w:rsidRPr="00984D51">
        <w:rPr>
          <w:bCs/>
          <w:sz w:val="24"/>
          <w:szCs w:val="24"/>
        </w:rPr>
        <w:t>a) Precariedade da cultura de planejamento nas contratações do Tribunal;</w:t>
      </w:r>
      <w:r w:rsidR="006609F3" w:rsidRPr="00984D51">
        <w:rPr>
          <w:sz w:val="24"/>
          <w:szCs w:val="24"/>
        </w:rPr>
        <w:t xml:space="preserve"> b) Insuficiência de capacitação de servidores responsáveis pela elaboração do Termo de Referência</w:t>
      </w:r>
      <w:r w:rsidR="00F978EF" w:rsidRPr="00984D51">
        <w:rPr>
          <w:sz w:val="24"/>
          <w:szCs w:val="24"/>
        </w:rPr>
        <w:t>.</w:t>
      </w:r>
    </w:p>
    <w:p w:rsidR="00BF057C" w:rsidRDefault="00384E93" w:rsidP="00BF057C">
      <w:pPr>
        <w:spacing w:after="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2.6</w:t>
      </w:r>
      <w:r w:rsidR="002B024F" w:rsidRPr="00F74D23">
        <w:rPr>
          <w:b/>
          <w:i/>
          <w:sz w:val="24"/>
          <w:szCs w:val="24"/>
        </w:rPr>
        <w:t>.5 Efeito(s</w:t>
      </w:r>
      <w:r w:rsidR="002B024F" w:rsidRPr="00F74D23">
        <w:rPr>
          <w:sz w:val="24"/>
          <w:szCs w:val="24"/>
        </w:rPr>
        <w:t xml:space="preserve">): </w:t>
      </w:r>
      <w:r w:rsidR="00BF057C" w:rsidRPr="00F74D23">
        <w:rPr>
          <w:sz w:val="24"/>
          <w:szCs w:val="24"/>
        </w:rPr>
        <w:t>a) Retardamen</w:t>
      </w:r>
      <w:r>
        <w:rPr>
          <w:sz w:val="24"/>
          <w:szCs w:val="24"/>
        </w:rPr>
        <w:t>to na realização da contratação</w:t>
      </w:r>
      <w:r w:rsidR="00BF057C" w:rsidRPr="00F74D23">
        <w:rPr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 w:rsidR="00BF057C" w:rsidRPr="00F74D23">
        <w:rPr>
          <w:sz w:val="24"/>
          <w:szCs w:val="24"/>
        </w:rPr>
        <w:t xml:space="preserve"> perda do objeto do processo, impactando negativamente no alcance das necessidades da Administração; b) </w:t>
      </w:r>
      <w:r w:rsidR="00BF057C" w:rsidRPr="00A81160">
        <w:rPr>
          <w:sz w:val="24"/>
          <w:szCs w:val="24"/>
        </w:rPr>
        <w:t xml:space="preserve">Risco de pagamento por ressarcimento, quando da contratação emergencial de serviços gráficos não </w:t>
      </w:r>
      <w:proofErr w:type="gramStart"/>
      <w:r w:rsidR="00BF057C" w:rsidRPr="00A81160">
        <w:rPr>
          <w:sz w:val="24"/>
          <w:szCs w:val="24"/>
        </w:rPr>
        <w:t>cobertos pelo</w:t>
      </w:r>
      <w:r w:rsidRPr="00A81160">
        <w:rPr>
          <w:sz w:val="24"/>
          <w:szCs w:val="24"/>
        </w:rPr>
        <w:t xml:space="preserve"> devido contrato administrativo</w:t>
      </w:r>
      <w:proofErr w:type="gramEnd"/>
      <w:r w:rsidRPr="00A81160">
        <w:rPr>
          <w:sz w:val="24"/>
          <w:szCs w:val="24"/>
        </w:rPr>
        <w:t>.</w:t>
      </w:r>
    </w:p>
    <w:p w:rsidR="00755BEC" w:rsidRPr="00F74D23" w:rsidRDefault="00755BEC" w:rsidP="00BF057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B024F" w:rsidRPr="00384E93" w:rsidRDefault="00384E93" w:rsidP="00BF057C">
      <w:pPr>
        <w:jc w:val="both"/>
        <w:rPr>
          <w:b/>
          <w:iCs/>
          <w:sz w:val="24"/>
          <w:szCs w:val="24"/>
        </w:rPr>
      </w:pPr>
      <w:r w:rsidRPr="00384E93">
        <w:rPr>
          <w:b/>
          <w:iCs/>
          <w:sz w:val="24"/>
          <w:szCs w:val="24"/>
        </w:rPr>
        <w:t>2.7</w:t>
      </w:r>
      <w:r w:rsidR="002B024F" w:rsidRPr="00384E93">
        <w:rPr>
          <w:b/>
          <w:iCs/>
          <w:sz w:val="24"/>
          <w:szCs w:val="24"/>
        </w:rPr>
        <w:t xml:space="preserve">. </w:t>
      </w:r>
      <w:r w:rsidR="00BF057C" w:rsidRPr="00384E93">
        <w:rPr>
          <w:b/>
          <w:sz w:val="24"/>
          <w:szCs w:val="24"/>
        </w:rPr>
        <w:t>Ausência de comprovação dos requisitos de habilitação exigidos em edital.</w:t>
      </w:r>
    </w:p>
    <w:p w:rsidR="002B024F" w:rsidRPr="00F74D23" w:rsidRDefault="00384E93" w:rsidP="00BF057C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2.7</w:t>
      </w:r>
      <w:r w:rsidR="002B024F" w:rsidRPr="00F74D23">
        <w:rPr>
          <w:b/>
          <w:i/>
          <w:sz w:val="24"/>
          <w:szCs w:val="24"/>
        </w:rPr>
        <w:t xml:space="preserve">.1. Situação Encontrada: </w:t>
      </w:r>
      <w:r w:rsidR="00BF057C" w:rsidRPr="00F74D23">
        <w:rPr>
          <w:sz w:val="24"/>
          <w:szCs w:val="24"/>
        </w:rPr>
        <w:t xml:space="preserve">a) Documentos da </w:t>
      </w:r>
      <w:r w:rsidR="00F978EF">
        <w:rPr>
          <w:sz w:val="24"/>
          <w:szCs w:val="24"/>
        </w:rPr>
        <w:t>h</w:t>
      </w:r>
      <w:r w:rsidR="00BF057C" w:rsidRPr="00F74D23">
        <w:rPr>
          <w:sz w:val="24"/>
          <w:szCs w:val="24"/>
        </w:rPr>
        <w:t xml:space="preserve">abilitação </w:t>
      </w:r>
      <w:r w:rsidR="00F978EF">
        <w:rPr>
          <w:sz w:val="24"/>
          <w:szCs w:val="24"/>
        </w:rPr>
        <w:t>t</w:t>
      </w:r>
      <w:r w:rsidR="00BF057C" w:rsidRPr="00F74D23">
        <w:rPr>
          <w:sz w:val="24"/>
          <w:szCs w:val="24"/>
        </w:rPr>
        <w:t xml:space="preserve">écnica anexados aos autos </w:t>
      </w:r>
      <w:r w:rsidR="00F978EF">
        <w:rPr>
          <w:sz w:val="24"/>
          <w:szCs w:val="24"/>
        </w:rPr>
        <w:t>da</w:t>
      </w:r>
      <w:r w:rsidR="00F978EF" w:rsidRPr="00F74D23">
        <w:rPr>
          <w:sz w:val="24"/>
          <w:szCs w:val="24"/>
        </w:rPr>
        <w:t xml:space="preserve"> contratação de serviços de conservação de urnas eletrônicas </w:t>
      </w:r>
      <w:r w:rsidR="00276DFF">
        <w:rPr>
          <w:sz w:val="24"/>
          <w:szCs w:val="24"/>
        </w:rPr>
        <w:t>sem a devida</w:t>
      </w:r>
      <w:r>
        <w:rPr>
          <w:sz w:val="24"/>
          <w:szCs w:val="24"/>
        </w:rPr>
        <w:t xml:space="preserve"> </w:t>
      </w:r>
      <w:r w:rsidR="00BF057C" w:rsidRPr="00F74D23">
        <w:rPr>
          <w:sz w:val="24"/>
          <w:szCs w:val="24"/>
        </w:rPr>
        <w:t>autentica</w:t>
      </w:r>
      <w:r w:rsidR="00276DFF">
        <w:rPr>
          <w:sz w:val="24"/>
          <w:szCs w:val="24"/>
        </w:rPr>
        <w:t>ção</w:t>
      </w:r>
      <w:r w:rsidR="00BF057C" w:rsidRPr="00F74D23">
        <w:rPr>
          <w:sz w:val="24"/>
          <w:szCs w:val="24"/>
        </w:rPr>
        <w:t>, nem registr</w:t>
      </w:r>
      <w:r w:rsidR="00276DFF">
        <w:rPr>
          <w:sz w:val="24"/>
          <w:szCs w:val="24"/>
        </w:rPr>
        <w:t>o</w:t>
      </w:r>
      <w:r w:rsidR="00BF057C" w:rsidRPr="00F74D23">
        <w:rPr>
          <w:sz w:val="24"/>
          <w:szCs w:val="24"/>
        </w:rPr>
        <w:t xml:space="preserve"> em repart</w:t>
      </w:r>
      <w:r w:rsidR="003A0DEA">
        <w:rPr>
          <w:sz w:val="24"/>
          <w:szCs w:val="24"/>
        </w:rPr>
        <w:t>ição competente</w:t>
      </w:r>
      <w:r w:rsidR="00BF057C" w:rsidRPr="00F74D23">
        <w:rPr>
          <w:sz w:val="24"/>
          <w:szCs w:val="24"/>
        </w:rPr>
        <w:t>; b) Habilitação de empresa sem a demonstração de que os “atestados” e “contratos” que comprovariam a sua qualificação técnica teriam sido expedidos por pessoas físicas ou jurídicas não impedidas, no certame licitatório de serviços gráficos</w:t>
      </w:r>
      <w:r w:rsidR="00F978EF">
        <w:rPr>
          <w:sz w:val="24"/>
          <w:szCs w:val="24"/>
        </w:rPr>
        <w:t>.</w:t>
      </w:r>
    </w:p>
    <w:p w:rsidR="00BF057C" w:rsidRPr="00F74D23" w:rsidRDefault="00384E93" w:rsidP="00BF057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2.7</w:t>
      </w:r>
      <w:r w:rsidR="002B024F" w:rsidRPr="00F74D23">
        <w:rPr>
          <w:b/>
          <w:i/>
          <w:sz w:val="24"/>
          <w:szCs w:val="24"/>
        </w:rPr>
        <w:t>.2. Critério:</w:t>
      </w:r>
      <w:r w:rsidR="002B024F" w:rsidRPr="00F74D23">
        <w:rPr>
          <w:sz w:val="24"/>
          <w:szCs w:val="24"/>
        </w:rPr>
        <w:t xml:space="preserve"> </w:t>
      </w:r>
      <w:r w:rsidR="003A0DEA">
        <w:rPr>
          <w:sz w:val="24"/>
          <w:szCs w:val="24"/>
        </w:rPr>
        <w:t>a) Art. 30, Lei nº</w:t>
      </w:r>
      <w:r w:rsidR="00BF057C" w:rsidRPr="00F74D23">
        <w:rPr>
          <w:sz w:val="24"/>
          <w:szCs w:val="24"/>
        </w:rPr>
        <w:t xml:space="preserve"> 8.666/93; b) </w:t>
      </w:r>
      <w:r w:rsidR="003A0DEA">
        <w:rPr>
          <w:sz w:val="24"/>
          <w:szCs w:val="24"/>
        </w:rPr>
        <w:t xml:space="preserve">Edital n° 005/2016 (Doc. PAD n° 21.700/2016, do PAD n° </w:t>
      </w:r>
      <w:r w:rsidR="009D6F01">
        <w:rPr>
          <w:sz w:val="24"/>
          <w:szCs w:val="24"/>
        </w:rPr>
        <w:t>4.689/2015)</w:t>
      </w:r>
      <w:r w:rsidR="00F978EF">
        <w:rPr>
          <w:sz w:val="24"/>
          <w:szCs w:val="24"/>
        </w:rPr>
        <w:t>.</w:t>
      </w:r>
    </w:p>
    <w:p w:rsidR="002B024F" w:rsidRPr="00F74D23" w:rsidRDefault="00384E93" w:rsidP="00BF057C">
      <w:pPr>
        <w:ind w:left="360" w:hanging="36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2.7</w:t>
      </w:r>
      <w:r w:rsidR="002B024F" w:rsidRPr="00F74D23">
        <w:rPr>
          <w:b/>
          <w:i/>
          <w:sz w:val="24"/>
          <w:szCs w:val="24"/>
        </w:rPr>
        <w:t xml:space="preserve">.3. Evidência(s): </w:t>
      </w:r>
      <w:r w:rsidR="00BF057C" w:rsidRPr="00F74D23">
        <w:rPr>
          <w:sz w:val="24"/>
          <w:szCs w:val="24"/>
        </w:rPr>
        <w:t>a) Docs. PAD’s nº 041.560/2015, 078244/2015 10.942/2015</w:t>
      </w:r>
      <w:r w:rsidR="00F978EF">
        <w:rPr>
          <w:sz w:val="24"/>
          <w:szCs w:val="24"/>
        </w:rPr>
        <w:t>.</w:t>
      </w:r>
    </w:p>
    <w:p w:rsidR="00BF057C" w:rsidRPr="00F74D23" w:rsidRDefault="00384E93" w:rsidP="00BF057C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2.7</w:t>
      </w:r>
      <w:r w:rsidR="002B024F" w:rsidRPr="00F74D23">
        <w:rPr>
          <w:b/>
          <w:i/>
          <w:sz w:val="24"/>
          <w:szCs w:val="24"/>
        </w:rPr>
        <w:t>.4. Causa:</w:t>
      </w:r>
      <w:r w:rsidR="002B024F" w:rsidRPr="00F74D23">
        <w:rPr>
          <w:sz w:val="24"/>
          <w:szCs w:val="24"/>
        </w:rPr>
        <w:t xml:space="preserve"> </w:t>
      </w:r>
      <w:r w:rsidR="00BF057C" w:rsidRPr="00F74D23">
        <w:rPr>
          <w:sz w:val="24"/>
          <w:szCs w:val="24"/>
        </w:rPr>
        <w:t xml:space="preserve">a) </w:t>
      </w:r>
      <w:r w:rsidR="00F978EF">
        <w:rPr>
          <w:sz w:val="24"/>
          <w:szCs w:val="24"/>
        </w:rPr>
        <w:t>Sobrecarga de</w:t>
      </w:r>
      <w:r w:rsidR="00BF057C" w:rsidRPr="00F74D23">
        <w:rPr>
          <w:sz w:val="24"/>
          <w:szCs w:val="24"/>
        </w:rPr>
        <w:t xml:space="preserve"> atividades b) Insuficiência de capacitação do servidor responsável pela condução do pregão eletrônico</w:t>
      </w:r>
      <w:r w:rsidR="003B37DC">
        <w:rPr>
          <w:sz w:val="24"/>
          <w:szCs w:val="24"/>
        </w:rPr>
        <w:t xml:space="preserve"> e do servidor responsável pela análise do ce</w:t>
      </w:r>
      <w:r w:rsidR="00EA5D1F">
        <w:rPr>
          <w:sz w:val="24"/>
          <w:szCs w:val="24"/>
        </w:rPr>
        <w:t>rtame previamente à homologação.</w:t>
      </w:r>
    </w:p>
    <w:p w:rsidR="00755BEC" w:rsidRDefault="00384E93" w:rsidP="00755BEC">
      <w:pPr>
        <w:pStyle w:val="ecxmsonormal"/>
        <w:spacing w:after="0"/>
        <w:jc w:val="both"/>
      </w:pPr>
      <w:r>
        <w:rPr>
          <w:b/>
          <w:i/>
        </w:rPr>
        <w:t>2.7</w:t>
      </w:r>
      <w:r w:rsidR="002B024F" w:rsidRPr="00F74D23">
        <w:rPr>
          <w:b/>
          <w:i/>
        </w:rPr>
        <w:t>.5 Efeito(s</w:t>
      </w:r>
      <w:r w:rsidR="002B024F" w:rsidRPr="00F74D23">
        <w:t xml:space="preserve">): </w:t>
      </w:r>
      <w:r w:rsidR="00BF057C" w:rsidRPr="00F74D23">
        <w:t>a) Possibilidade de questionamento acerca da legalidade da contratação; b) Possível h</w:t>
      </w:r>
      <w:r w:rsidR="0044569E">
        <w:t>abilitação de empresa irregular; c) violação de regras do edital.</w:t>
      </w:r>
    </w:p>
    <w:p w:rsidR="00755BEC" w:rsidRPr="00F74D23" w:rsidRDefault="00755BEC" w:rsidP="00755BEC">
      <w:pPr>
        <w:pStyle w:val="ecxmsonormal"/>
        <w:spacing w:after="0"/>
        <w:jc w:val="both"/>
      </w:pPr>
    </w:p>
    <w:p w:rsidR="002B024F" w:rsidRPr="00F74D23" w:rsidRDefault="00384E93" w:rsidP="00BF057C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2.8</w:t>
      </w:r>
      <w:r w:rsidR="002B024F" w:rsidRPr="00F74D23">
        <w:rPr>
          <w:b/>
          <w:iCs/>
          <w:sz w:val="24"/>
          <w:szCs w:val="24"/>
        </w:rPr>
        <w:t xml:space="preserve">. </w:t>
      </w:r>
      <w:r w:rsidR="00EA5D1F">
        <w:rPr>
          <w:b/>
          <w:iCs/>
          <w:sz w:val="24"/>
          <w:szCs w:val="24"/>
        </w:rPr>
        <w:t xml:space="preserve">Inexistência nos autos de registro </w:t>
      </w:r>
      <w:r w:rsidR="00BF057C" w:rsidRPr="00F74D23">
        <w:rPr>
          <w:b/>
          <w:sz w:val="24"/>
          <w:szCs w:val="24"/>
        </w:rPr>
        <w:t>de tentativa de maximização do interesse público na b</w:t>
      </w:r>
      <w:r w:rsidR="00EA5D1F">
        <w:rPr>
          <w:b/>
          <w:sz w:val="24"/>
          <w:szCs w:val="24"/>
        </w:rPr>
        <w:t>usca da proposta mais vantajosa durante o pregão</w:t>
      </w:r>
    </w:p>
    <w:p w:rsidR="002B024F" w:rsidRPr="00F74D23" w:rsidRDefault="009D6F01" w:rsidP="00BF057C">
      <w:pPr>
        <w:pStyle w:val="ecxmsonormal"/>
        <w:spacing w:after="120"/>
        <w:jc w:val="both"/>
      </w:pPr>
      <w:r>
        <w:rPr>
          <w:b/>
          <w:i/>
        </w:rPr>
        <w:t>2.8</w:t>
      </w:r>
      <w:r w:rsidR="002B024F" w:rsidRPr="00F74D23">
        <w:rPr>
          <w:b/>
          <w:i/>
        </w:rPr>
        <w:t xml:space="preserve">.1. Situação Encontrada: </w:t>
      </w:r>
      <w:r w:rsidR="00BF057C" w:rsidRPr="00F74D23">
        <w:t xml:space="preserve">a) </w:t>
      </w:r>
      <w:r w:rsidR="00276DFF">
        <w:t xml:space="preserve">Não se verificou </w:t>
      </w:r>
      <w:r w:rsidR="00276DFF" w:rsidRPr="00F74D23">
        <w:t xml:space="preserve">durante a fase de lances, que </w:t>
      </w:r>
      <w:proofErr w:type="gramStart"/>
      <w:r w:rsidR="00276DFF" w:rsidRPr="00F74D23">
        <w:t>durou</w:t>
      </w:r>
      <w:proofErr w:type="gramEnd"/>
      <w:r w:rsidR="00276DFF" w:rsidRPr="00F74D23">
        <w:t xml:space="preserve"> 50 minutos</w:t>
      </w:r>
      <w:r w:rsidR="00276DFF">
        <w:t>,</w:t>
      </w:r>
      <w:r w:rsidR="0011245E">
        <w:t xml:space="preserve"> estí</w:t>
      </w:r>
      <w:r w:rsidR="00276DFF" w:rsidRPr="00F74D23">
        <w:t>mul</w:t>
      </w:r>
      <w:r w:rsidR="00276DFF">
        <w:t>o</w:t>
      </w:r>
      <w:r w:rsidR="00276DFF" w:rsidRPr="00F74D23">
        <w:t xml:space="preserve"> </w:t>
      </w:r>
      <w:r w:rsidR="00276DFF">
        <w:t>a</w:t>
      </w:r>
      <w:r w:rsidR="00276DFF" w:rsidRPr="00F74D23">
        <w:t xml:space="preserve">os licitantes </w:t>
      </w:r>
      <w:r w:rsidR="00276DFF">
        <w:t xml:space="preserve">para que reduzissem </w:t>
      </w:r>
      <w:r w:rsidR="00276DFF" w:rsidRPr="00F74D23">
        <w:t>os valores</w:t>
      </w:r>
      <w:r w:rsidR="00276DFF">
        <w:t xml:space="preserve"> ofertados</w:t>
      </w:r>
      <w:r w:rsidR="00276DFF" w:rsidRPr="00276DFF">
        <w:t xml:space="preserve"> </w:t>
      </w:r>
      <w:r w:rsidR="00276DFF">
        <w:t xml:space="preserve">na </w:t>
      </w:r>
      <w:r w:rsidR="00276DFF" w:rsidRPr="00F74D23">
        <w:t>contratação de manutenção de urnas eletrônicas</w:t>
      </w:r>
      <w:r w:rsidR="00276DFF">
        <w:t xml:space="preserve">; </w:t>
      </w:r>
      <w:r w:rsidR="00BF057C" w:rsidRPr="00F74D23">
        <w:t xml:space="preserve">b) não </w:t>
      </w:r>
      <w:r w:rsidR="00276DFF">
        <w:t xml:space="preserve">houve </w:t>
      </w:r>
      <w:r w:rsidR="00BF057C" w:rsidRPr="00F74D23">
        <w:t>negocia</w:t>
      </w:r>
      <w:r w:rsidR="00276DFF">
        <w:t>ção d</w:t>
      </w:r>
      <w:r w:rsidR="00BF057C" w:rsidRPr="00F74D23">
        <w:t xml:space="preserve">o valor com a licitante melhor classificada, com o </w:t>
      </w:r>
      <w:r w:rsidR="00276DFF">
        <w:t>objetivo</w:t>
      </w:r>
      <w:r w:rsidR="00BF057C" w:rsidRPr="00F74D23">
        <w:t xml:space="preserve"> de reduzir o preço da aquisição na licitação de contratação de </w:t>
      </w:r>
      <w:r w:rsidR="00276DFF">
        <w:t>manutenção de urnas eletrônicas.</w:t>
      </w:r>
    </w:p>
    <w:p w:rsidR="002B024F" w:rsidRPr="00F74D23" w:rsidRDefault="009D6F01" w:rsidP="00BF057C">
      <w:pPr>
        <w:pStyle w:val="ecxmsonormal"/>
        <w:spacing w:after="120"/>
        <w:jc w:val="both"/>
      </w:pPr>
      <w:r>
        <w:rPr>
          <w:b/>
          <w:i/>
        </w:rPr>
        <w:t>2.8</w:t>
      </w:r>
      <w:r w:rsidR="002B024F" w:rsidRPr="00F74D23">
        <w:rPr>
          <w:b/>
          <w:i/>
        </w:rPr>
        <w:t>.2. Critério:</w:t>
      </w:r>
      <w:r w:rsidR="002B024F" w:rsidRPr="00F74D23">
        <w:t xml:space="preserve"> </w:t>
      </w:r>
      <w:r w:rsidR="00BF057C" w:rsidRPr="00F74D23">
        <w:t>a) Decreto nº. 5.450/05, Art. 24, §</w:t>
      </w:r>
      <w:r w:rsidR="00CF5CDB">
        <w:t>8°; b) Acórdão nº. 694/2014/TCU.</w:t>
      </w:r>
    </w:p>
    <w:p w:rsidR="002B024F" w:rsidRPr="00F74D23" w:rsidRDefault="009D6F01" w:rsidP="00BF057C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2.8</w:t>
      </w:r>
      <w:r w:rsidR="002B024F" w:rsidRPr="00F74D23">
        <w:rPr>
          <w:b/>
          <w:i/>
          <w:sz w:val="24"/>
          <w:szCs w:val="24"/>
        </w:rPr>
        <w:t xml:space="preserve">.3. Evidência(s): </w:t>
      </w:r>
      <w:r w:rsidR="00BF057C" w:rsidRPr="00F74D23">
        <w:rPr>
          <w:sz w:val="24"/>
          <w:szCs w:val="24"/>
        </w:rPr>
        <w:t xml:space="preserve">a) Doc. PAD </w:t>
      </w:r>
      <w:r w:rsidR="004F5280">
        <w:rPr>
          <w:sz w:val="24"/>
          <w:szCs w:val="24"/>
        </w:rPr>
        <w:t>nº</w:t>
      </w:r>
      <w:r w:rsidR="00BF057C" w:rsidRPr="00F74D23">
        <w:rPr>
          <w:sz w:val="24"/>
          <w:szCs w:val="24"/>
        </w:rPr>
        <w:t xml:space="preserve"> 41.690/2016 (urnas eletrônicas).</w:t>
      </w:r>
    </w:p>
    <w:p w:rsidR="00BF057C" w:rsidRPr="00F74D23" w:rsidRDefault="009D6F01" w:rsidP="00BF057C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2.8</w:t>
      </w:r>
      <w:r w:rsidR="002B024F" w:rsidRPr="00F74D23">
        <w:rPr>
          <w:b/>
          <w:i/>
          <w:sz w:val="24"/>
          <w:szCs w:val="24"/>
        </w:rPr>
        <w:t>.4. Causa:</w:t>
      </w:r>
      <w:r w:rsidR="002B024F" w:rsidRPr="00F74D23">
        <w:rPr>
          <w:sz w:val="24"/>
          <w:szCs w:val="24"/>
        </w:rPr>
        <w:t xml:space="preserve"> </w:t>
      </w:r>
      <w:r w:rsidR="00BF057C" w:rsidRPr="00F74D23">
        <w:rPr>
          <w:sz w:val="24"/>
          <w:szCs w:val="24"/>
        </w:rPr>
        <w:t xml:space="preserve">a) </w:t>
      </w:r>
      <w:r w:rsidR="00D274F6" w:rsidRPr="00AA7A79">
        <w:rPr>
          <w:sz w:val="24"/>
          <w:szCs w:val="24"/>
        </w:rPr>
        <w:t xml:space="preserve">acúmulo </w:t>
      </w:r>
      <w:r w:rsidR="00276DFF" w:rsidRPr="00AA7A79">
        <w:rPr>
          <w:sz w:val="24"/>
          <w:szCs w:val="24"/>
        </w:rPr>
        <w:t>da</w:t>
      </w:r>
      <w:r w:rsidR="00276DFF" w:rsidRPr="00F74D23">
        <w:rPr>
          <w:sz w:val="24"/>
          <w:szCs w:val="24"/>
        </w:rPr>
        <w:t xml:space="preserve"> </w:t>
      </w:r>
      <w:r w:rsidR="00276DFF">
        <w:rPr>
          <w:sz w:val="24"/>
          <w:szCs w:val="24"/>
        </w:rPr>
        <w:t>função de</w:t>
      </w:r>
      <w:r w:rsidR="00276DFF" w:rsidRPr="00F74D23">
        <w:rPr>
          <w:sz w:val="24"/>
          <w:szCs w:val="24"/>
        </w:rPr>
        <w:t xml:space="preserve"> pregoeiro </w:t>
      </w:r>
      <w:r>
        <w:rPr>
          <w:sz w:val="24"/>
          <w:szCs w:val="24"/>
        </w:rPr>
        <w:t>com</w:t>
      </w:r>
      <w:r w:rsidRPr="00F74D23">
        <w:rPr>
          <w:sz w:val="24"/>
          <w:szCs w:val="24"/>
        </w:rPr>
        <w:t xml:space="preserve"> outras atividades da </w:t>
      </w:r>
      <w:r w:rsidR="00276DFF">
        <w:rPr>
          <w:sz w:val="24"/>
          <w:szCs w:val="24"/>
        </w:rPr>
        <w:t>unidade</w:t>
      </w:r>
      <w:r w:rsidRPr="00F74D23">
        <w:rPr>
          <w:sz w:val="24"/>
          <w:szCs w:val="24"/>
        </w:rPr>
        <w:t xml:space="preserve"> de lotação</w:t>
      </w:r>
      <w:r w:rsidR="00BF057C" w:rsidRPr="00F74D23">
        <w:rPr>
          <w:sz w:val="24"/>
          <w:szCs w:val="24"/>
        </w:rPr>
        <w:t>, o que prejudica a</w:t>
      </w:r>
      <w:r>
        <w:rPr>
          <w:sz w:val="24"/>
          <w:szCs w:val="24"/>
        </w:rPr>
        <w:t xml:space="preserve"> sua</w:t>
      </w:r>
      <w:r w:rsidR="00BF057C" w:rsidRPr="00F74D23">
        <w:rPr>
          <w:sz w:val="24"/>
          <w:szCs w:val="24"/>
        </w:rPr>
        <w:t xml:space="preserve"> dedicação na busca de otimizar os benefícios esperados do pregão; b) Ausência de capacitação dos pregoeiros em “técnicas de ne</w:t>
      </w:r>
      <w:r w:rsidR="00276DFF">
        <w:rPr>
          <w:sz w:val="24"/>
          <w:szCs w:val="24"/>
        </w:rPr>
        <w:t>gociação” e assuntos correlatos.</w:t>
      </w:r>
    </w:p>
    <w:p w:rsidR="002B024F" w:rsidRDefault="009D6F01" w:rsidP="00755BEC">
      <w:pPr>
        <w:spacing w:after="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2.8</w:t>
      </w:r>
      <w:r w:rsidR="002B024F" w:rsidRPr="00F74D23">
        <w:rPr>
          <w:b/>
          <w:i/>
          <w:sz w:val="24"/>
          <w:szCs w:val="24"/>
        </w:rPr>
        <w:t>.5 Efeito(s</w:t>
      </w:r>
      <w:r w:rsidR="002B024F" w:rsidRPr="00F74D23">
        <w:rPr>
          <w:sz w:val="24"/>
          <w:szCs w:val="24"/>
        </w:rPr>
        <w:t xml:space="preserve">): </w:t>
      </w:r>
      <w:r w:rsidR="00BF057C" w:rsidRPr="00F74D23">
        <w:rPr>
          <w:sz w:val="24"/>
          <w:szCs w:val="24"/>
        </w:rPr>
        <w:t xml:space="preserve">a) Aquisição de bens e/ou serviços sem a tentativa, pela </w:t>
      </w:r>
      <w:r w:rsidR="00AA7A79">
        <w:rPr>
          <w:sz w:val="24"/>
          <w:szCs w:val="24"/>
        </w:rPr>
        <w:t>A</w:t>
      </w:r>
      <w:r w:rsidR="00BF057C" w:rsidRPr="00F74D23">
        <w:rPr>
          <w:sz w:val="24"/>
          <w:szCs w:val="24"/>
        </w:rPr>
        <w:t>dministração, de se obter redução de preço, com o intuito de maximizar economia de recursos públicos</w:t>
      </w:r>
      <w:r>
        <w:rPr>
          <w:sz w:val="24"/>
          <w:szCs w:val="24"/>
        </w:rPr>
        <w:t>.</w:t>
      </w:r>
    </w:p>
    <w:p w:rsidR="00755BEC" w:rsidRPr="00F74D23" w:rsidRDefault="00755BEC" w:rsidP="00755BEC">
      <w:pPr>
        <w:spacing w:after="0"/>
        <w:jc w:val="both"/>
        <w:rPr>
          <w:sz w:val="24"/>
          <w:szCs w:val="24"/>
        </w:rPr>
      </w:pPr>
    </w:p>
    <w:p w:rsidR="002B024F" w:rsidRPr="00F74D23" w:rsidRDefault="009D6F01" w:rsidP="004A74E8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2.9</w:t>
      </w:r>
      <w:r w:rsidR="002B024F" w:rsidRPr="00F74D23">
        <w:rPr>
          <w:b/>
          <w:iCs/>
          <w:sz w:val="24"/>
          <w:szCs w:val="24"/>
        </w:rPr>
        <w:t xml:space="preserve">. </w:t>
      </w:r>
      <w:r w:rsidR="00BF057C" w:rsidRPr="00F74D23">
        <w:rPr>
          <w:b/>
          <w:sz w:val="24"/>
          <w:szCs w:val="24"/>
        </w:rPr>
        <w:t>Ausência de comunicação, por parte do pregoeiro, de eventuais condutas irregulares de empresas licitantes à SELIC, para fins de instauração de apuração de responsabilidade</w:t>
      </w:r>
      <w:r w:rsidR="004A74E8" w:rsidRPr="00F74D23">
        <w:rPr>
          <w:b/>
          <w:sz w:val="24"/>
          <w:szCs w:val="24"/>
        </w:rPr>
        <w:t>.</w:t>
      </w:r>
    </w:p>
    <w:p w:rsidR="002B024F" w:rsidRPr="00AF3517" w:rsidRDefault="009D6F01" w:rsidP="004A74E8">
      <w:pPr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2.9</w:t>
      </w:r>
      <w:r w:rsidR="002B024F" w:rsidRPr="00F74D23">
        <w:rPr>
          <w:b/>
          <w:i/>
          <w:sz w:val="24"/>
          <w:szCs w:val="24"/>
        </w:rPr>
        <w:t xml:space="preserve">.1. Situação Encontrada: </w:t>
      </w:r>
      <w:r w:rsidR="004A74E8" w:rsidRPr="00F74D23">
        <w:rPr>
          <w:sz w:val="24"/>
          <w:szCs w:val="24"/>
        </w:rPr>
        <w:t xml:space="preserve">a) </w:t>
      </w:r>
      <w:r>
        <w:rPr>
          <w:sz w:val="24"/>
          <w:szCs w:val="24"/>
        </w:rPr>
        <w:t>Na contratação de serviços de conservação de urnas eletrônicas, a</w:t>
      </w:r>
      <w:r w:rsidR="004A74E8" w:rsidRPr="00F74D23">
        <w:rPr>
          <w:sz w:val="24"/>
          <w:szCs w:val="24"/>
        </w:rPr>
        <w:t xml:space="preserve">s três primeiras empresas melhores classificadas deixaram de apresentar a documentação de habilitação após a solicitação feita pelo pregoeiro, </w:t>
      </w:r>
      <w:r w:rsidR="00AF3517">
        <w:rPr>
          <w:sz w:val="24"/>
          <w:szCs w:val="24"/>
        </w:rPr>
        <w:t>sendo</w:t>
      </w:r>
      <w:r w:rsidR="004A74E8" w:rsidRPr="00F74D23">
        <w:rPr>
          <w:sz w:val="24"/>
          <w:szCs w:val="24"/>
        </w:rPr>
        <w:t xml:space="preserve"> inabilitadas</w:t>
      </w:r>
      <w:r w:rsidR="00AF3517">
        <w:rPr>
          <w:sz w:val="24"/>
          <w:szCs w:val="24"/>
        </w:rPr>
        <w:t>, sem que tenha sido feita a comunicação à SELIC,</w:t>
      </w:r>
      <w:r w:rsidR="00AF3517" w:rsidRPr="00AF3517">
        <w:rPr>
          <w:b/>
          <w:sz w:val="24"/>
          <w:szCs w:val="24"/>
        </w:rPr>
        <w:t xml:space="preserve"> </w:t>
      </w:r>
      <w:r w:rsidR="00AF3517" w:rsidRPr="00AF3517">
        <w:rPr>
          <w:sz w:val="24"/>
          <w:szCs w:val="24"/>
        </w:rPr>
        <w:t>para instauração de apuração de responsabilidade</w:t>
      </w:r>
      <w:r w:rsidR="00276DFF" w:rsidRPr="00AF3517">
        <w:rPr>
          <w:sz w:val="24"/>
          <w:szCs w:val="24"/>
        </w:rPr>
        <w:t>.</w:t>
      </w:r>
      <w:r w:rsidR="00D274F6">
        <w:rPr>
          <w:sz w:val="24"/>
          <w:szCs w:val="24"/>
        </w:rPr>
        <w:t xml:space="preserve"> </w:t>
      </w:r>
    </w:p>
    <w:p w:rsidR="002B024F" w:rsidRPr="00F74D23" w:rsidRDefault="009D6F01" w:rsidP="004A74E8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2.9</w:t>
      </w:r>
      <w:r w:rsidR="002B024F" w:rsidRPr="00F74D23">
        <w:rPr>
          <w:b/>
          <w:i/>
          <w:sz w:val="24"/>
          <w:szCs w:val="24"/>
        </w:rPr>
        <w:t>.2. Critério:</w:t>
      </w:r>
      <w:r w:rsidR="002B024F" w:rsidRPr="00F74D23">
        <w:rPr>
          <w:sz w:val="24"/>
          <w:szCs w:val="24"/>
        </w:rPr>
        <w:t xml:space="preserve"> </w:t>
      </w:r>
      <w:r w:rsidR="004A74E8" w:rsidRPr="00F74D23">
        <w:rPr>
          <w:sz w:val="24"/>
          <w:szCs w:val="24"/>
        </w:rPr>
        <w:t xml:space="preserve">a) Portaria TRE-BA </w:t>
      </w:r>
      <w:r w:rsidR="004F5280">
        <w:rPr>
          <w:sz w:val="24"/>
          <w:szCs w:val="24"/>
        </w:rPr>
        <w:t>nº</w:t>
      </w:r>
      <w:r w:rsidR="00AD1624">
        <w:rPr>
          <w:sz w:val="24"/>
          <w:szCs w:val="24"/>
        </w:rPr>
        <w:t xml:space="preserve"> 455/2016, art. 10 </w:t>
      </w:r>
      <w:r w:rsidR="004A74E8" w:rsidRPr="00F74D23">
        <w:rPr>
          <w:sz w:val="24"/>
          <w:szCs w:val="24"/>
        </w:rPr>
        <w:t>(que regulamenta o procedimento de apuração de responsabilidade dos licitantes).</w:t>
      </w:r>
    </w:p>
    <w:p w:rsidR="002B024F" w:rsidRPr="00F74D23" w:rsidRDefault="009D6F01" w:rsidP="004A74E8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2.9</w:t>
      </w:r>
      <w:r w:rsidR="002B024F" w:rsidRPr="00F74D23">
        <w:rPr>
          <w:b/>
          <w:i/>
          <w:sz w:val="24"/>
          <w:szCs w:val="24"/>
        </w:rPr>
        <w:t xml:space="preserve">.3. Evidência(s): </w:t>
      </w:r>
      <w:r w:rsidR="004A74E8" w:rsidRPr="00F74D23">
        <w:rPr>
          <w:sz w:val="24"/>
          <w:szCs w:val="24"/>
        </w:rPr>
        <w:t xml:space="preserve">a) Doc. PAD </w:t>
      </w:r>
      <w:r w:rsidR="004F5280">
        <w:rPr>
          <w:sz w:val="24"/>
          <w:szCs w:val="24"/>
        </w:rPr>
        <w:t>nº</w:t>
      </w:r>
      <w:r w:rsidR="004A74E8" w:rsidRPr="00F74D23">
        <w:rPr>
          <w:sz w:val="24"/>
          <w:szCs w:val="24"/>
        </w:rPr>
        <w:t xml:space="preserve"> 41.690/2016 (ata do pregão) e 41.714/2016 (relatório final do pregoeiro</w:t>
      </w:r>
      <w:r w:rsidR="00AF3517">
        <w:rPr>
          <w:sz w:val="24"/>
          <w:szCs w:val="24"/>
        </w:rPr>
        <w:t>)</w:t>
      </w:r>
      <w:r w:rsidR="00276DFF">
        <w:rPr>
          <w:sz w:val="24"/>
          <w:szCs w:val="24"/>
        </w:rPr>
        <w:t>.</w:t>
      </w:r>
    </w:p>
    <w:p w:rsidR="002B024F" w:rsidRPr="00F74D23" w:rsidRDefault="009D6F01" w:rsidP="004A74E8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2.9</w:t>
      </w:r>
      <w:r w:rsidR="002B024F" w:rsidRPr="00F74D23">
        <w:rPr>
          <w:b/>
          <w:i/>
          <w:sz w:val="24"/>
          <w:szCs w:val="24"/>
        </w:rPr>
        <w:t>.4. Causa:</w:t>
      </w:r>
      <w:r w:rsidR="002B024F" w:rsidRPr="00F74D23">
        <w:rPr>
          <w:sz w:val="24"/>
          <w:szCs w:val="24"/>
        </w:rPr>
        <w:t xml:space="preserve"> </w:t>
      </w:r>
      <w:r w:rsidR="004A74E8" w:rsidRPr="00F74D23">
        <w:rPr>
          <w:sz w:val="24"/>
          <w:szCs w:val="24"/>
        </w:rPr>
        <w:t xml:space="preserve">a) </w:t>
      </w:r>
      <w:r w:rsidR="00AA7A79">
        <w:rPr>
          <w:sz w:val="24"/>
          <w:szCs w:val="24"/>
        </w:rPr>
        <w:t>Acúmulo</w:t>
      </w:r>
      <w:r w:rsidR="00AF3517">
        <w:rPr>
          <w:sz w:val="24"/>
          <w:szCs w:val="24"/>
        </w:rPr>
        <w:t xml:space="preserve"> </w:t>
      </w:r>
      <w:r w:rsidR="00AD1624">
        <w:rPr>
          <w:sz w:val="24"/>
          <w:szCs w:val="24"/>
        </w:rPr>
        <w:t>d</w:t>
      </w:r>
      <w:r w:rsidR="00AF3517">
        <w:rPr>
          <w:sz w:val="24"/>
          <w:szCs w:val="24"/>
        </w:rPr>
        <w:t>a atividade d</w:t>
      </w:r>
      <w:r w:rsidR="00AD1624">
        <w:rPr>
          <w:sz w:val="24"/>
          <w:szCs w:val="24"/>
        </w:rPr>
        <w:t>e</w:t>
      </w:r>
      <w:r w:rsidR="00AD1624" w:rsidRPr="00F74D23">
        <w:rPr>
          <w:sz w:val="24"/>
          <w:szCs w:val="24"/>
        </w:rPr>
        <w:t xml:space="preserve"> pregoeiro </w:t>
      </w:r>
      <w:r w:rsidR="00AD1624">
        <w:rPr>
          <w:sz w:val="24"/>
          <w:szCs w:val="24"/>
        </w:rPr>
        <w:t>com</w:t>
      </w:r>
      <w:r w:rsidR="00AD1624" w:rsidRPr="00F74D23">
        <w:rPr>
          <w:sz w:val="24"/>
          <w:szCs w:val="24"/>
        </w:rPr>
        <w:t xml:space="preserve"> outras atividades da </w:t>
      </w:r>
      <w:r w:rsidR="00AF3517">
        <w:rPr>
          <w:sz w:val="24"/>
          <w:szCs w:val="24"/>
        </w:rPr>
        <w:t>unidade</w:t>
      </w:r>
      <w:r w:rsidR="00AD1624" w:rsidRPr="00F74D23">
        <w:rPr>
          <w:sz w:val="24"/>
          <w:szCs w:val="24"/>
        </w:rPr>
        <w:t xml:space="preserve"> de lotação, o que prejudica a</w:t>
      </w:r>
      <w:r w:rsidR="00AD1624">
        <w:rPr>
          <w:sz w:val="24"/>
          <w:szCs w:val="24"/>
        </w:rPr>
        <w:t xml:space="preserve"> sua</w:t>
      </w:r>
      <w:r w:rsidR="00AD1624" w:rsidRPr="00F74D23">
        <w:rPr>
          <w:sz w:val="24"/>
          <w:szCs w:val="24"/>
        </w:rPr>
        <w:t xml:space="preserve"> dedicação na busca de otimizar os</w:t>
      </w:r>
      <w:r w:rsidR="00AD1624">
        <w:rPr>
          <w:sz w:val="24"/>
          <w:szCs w:val="24"/>
        </w:rPr>
        <w:t xml:space="preserve"> benefícios esperados do pregão</w:t>
      </w:r>
      <w:r w:rsidR="004A74E8" w:rsidRPr="00F74D23">
        <w:rPr>
          <w:sz w:val="24"/>
          <w:szCs w:val="24"/>
        </w:rPr>
        <w:t>; b) Ausência de exclusividade da função de pregoeiro; c) Insuficiência de capacitação do servidor responsável pela condução do pregão eletrônico.</w:t>
      </w:r>
    </w:p>
    <w:p w:rsidR="002B024F" w:rsidRPr="00F74D23" w:rsidRDefault="009D6F01" w:rsidP="004A74E8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2.9</w:t>
      </w:r>
      <w:r w:rsidR="002B024F" w:rsidRPr="00F74D23">
        <w:rPr>
          <w:b/>
          <w:i/>
          <w:sz w:val="24"/>
          <w:szCs w:val="24"/>
        </w:rPr>
        <w:t>.5 Efeito(s</w:t>
      </w:r>
      <w:r w:rsidR="002B024F" w:rsidRPr="00F74D23">
        <w:rPr>
          <w:sz w:val="24"/>
          <w:szCs w:val="24"/>
        </w:rPr>
        <w:t xml:space="preserve">): </w:t>
      </w:r>
      <w:r w:rsidR="004A74E8" w:rsidRPr="00F74D23">
        <w:rPr>
          <w:sz w:val="24"/>
          <w:szCs w:val="24"/>
        </w:rPr>
        <w:t xml:space="preserve">a) Permanência no mercado de empresas que se comportam de forma inidônea durante a fase da licitação; b) Demonstração de ausência de critérios rígidos para inibição de </w:t>
      </w:r>
      <w:r w:rsidR="004A74E8" w:rsidRPr="00F74D23">
        <w:rPr>
          <w:sz w:val="24"/>
          <w:szCs w:val="24"/>
        </w:rPr>
        <w:lastRenderedPageBreak/>
        <w:t>condutas irregulares e inidôneos das licitantes, retroalimentando, desta forma, a cultura da impunidade entre as licitantes de má-fé.</w:t>
      </w:r>
    </w:p>
    <w:p w:rsidR="002B024F" w:rsidRPr="00F74D23" w:rsidRDefault="002B024F" w:rsidP="009B0DE9">
      <w:pPr>
        <w:jc w:val="both"/>
        <w:rPr>
          <w:b/>
          <w:iCs/>
          <w:color w:val="FF0000"/>
          <w:sz w:val="24"/>
          <w:szCs w:val="24"/>
        </w:rPr>
      </w:pPr>
    </w:p>
    <w:p w:rsidR="00604FE6" w:rsidRPr="00F74D23" w:rsidRDefault="00C02B02" w:rsidP="00604FE6">
      <w:pPr>
        <w:jc w:val="both"/>
        <w:rPr>
          <w:b/>
          <w:sz w:val="24"/>
          <w:szCs w:val="24"/>
        </w:rPr>
      </w:pPr>
      <w:r w:rsidRPr="00F74D23">
        <w:rPr>
          <w:b/>
          <w:sz w:val="24"/>
          <w:szCs w:val="24"/>
        </w:rPr>
        <w:t>3</w:t>
      </w:r>
      <w:r w:rsidR="009C1E05" w:rsidRPr="00F74D23">
        <w:rPr>
          <w:b/>
          <w:sz w:val="24"/>
          <w:szCs w:val="24"/>
        </w:rPr>
        <w:t xml:space="preserve">. </w:t>
      </w:r>
      <w:r w:rsidR="003A1453" w:rsidRPr="00F74D23">
        <w:rPr>
          <w:b/>
          <w:sz w:val="24"/>
          <w:szCs w:val="24"/>
        </w:rPr>
        <w:t>CONCLUSÃO</w:t>
      </w:r>
    </w:p>
    <w:p w:rsidR="00491F3F" w:rsidRPr="00F74D23" w:rsidRDefault="00397F94" w:rsidP="00C02B02">
      <w:pPr>
        <w:jc w:val="both"/>
        <w:rPr>
          <w:sz w:val="24"/>
          <w:szCs w:val="24"/>
        </w:rPr>
      </w:pPr>
      <w:r w:rsidRPr="00F74D23">
        <w:rPr>
          <w:sz w:val="24"/>
          <w:szCs w:val="24"/>
        </w:rPr>
        <w:t>3.1 Finalizados os trabalhos de fiscalizaç</w:t>
      </w:r>
      <w:r w:rsidR="001C2850" w:rsidRPr="00F74D23">
        <w:rPr>
          <w:sz w:val="24"/>
          <w:szCs w:val="24"/>
        </w:rPr>
        <w:t>ão dos procedimentos</w:t>
      </w:r>
      <w:r w:rsidRPr="00F74D23">
        <w:rPr>
          <w:sz w:val="24"/>
          <w:szCs w:val="24"/>
        </w:rPr>
        <w:t xml:space="preserve"> licitatórios concluídos no primeiro semestre </w:t>
      </w:r>
      <w:r w:rsidR="00442EE2" w:rsidRPr="00F74D23">
        <w:rPr>
          <w:sz w:val="24"/>
          <w:szCs w:val="24"/>
        </w:rPr>
        <w:t xml:space="preserve">do </w:t>
      </w:r>
      <w:r w:rsidR="00E93134">
        <w:rPr>
          <w:sz w:val="24"/>
          <w:szCs w:val="24"/>
        </w:rPr>
        <w:t>exercício 2016</w:t>
      </w:r>
      <w:r w:rsidRPr="00F74D23">
        <w:rPr>
          <w:sz w:val="24"/>
          <w:szCs w:val="24"/>
        </w:rPr>
        <w:t xml:space="preserve">, </w:t>
      </w:r>
      <w:r w:rsidR="00B92D48" w:rsidRPr="00F74D23">
        <w:rPr>
          <w:sz w:val="24"/>
          <w:szCs w:val="24"/>
        </w:rPr>
        <w:t>rest</w:t>
      </w:r>
      <w:r w:rsidRPr="00F74D23">
        <w:rPr>
          <w:sz w:val="24"/>
          <w:szCs w:val="24"/>
        </w:rPr>
        <w:t xml:space="preserve">aram respondidas as questões </w:t>
      </w:r>
      <w:r w:rsidR="006A7108" w:rsidRPr="00F74D23">
        <w:rPr>
          <w:sz w:val="24"/>
          <w:szCs w:val="24"/>
        </w:rPr>
        <w:t>propostas</w:t>
      </w:r>
      <w:r w:rsidR="00B92D48" w:rsidRPr="00F74D23">
        <w:rPr>
          <w:sz w:val="24"/>
          <w:szCs w:val="24"/>
        </w:rPr>
        <w:t xml:space="preserve">. </w:t>
      </w:r>
    </w:p>
    <w:p w:rsidR="0075495F" w:rsidRPr="00F74D23" w:rsidRDefault="00491F3F" w:rsidP="00C02B02">
      <w:pPr>
        <w:jc w:val="both"/>
        <w:rPr>
          <w:sz w:val="24"/>
          <w:szCs w:val="24"/>
        </w:rPr>
      </w:pPr>
      <w:r w:rsidRPr="00F74D23">
        <w:rPr>
          <w:sz w:val="24"/>
          <w:szCs w:val="24"/>
        </w:rPr>
        <w:t xml:space="preserve">3.2 </w:t>
      </w:r>
      <w:r w:rsidR="00C61ED1" w:rsidRPr="00F74D23">
        <w:rPr>
          <w:sz w:val="24"/>
          <w:szCs w:val="24"/>
        </w:rPr>
        <w:t>Sabe-se que o</w:t>
      </w:r>
      <w:r w:rsidR="0075495F" w:rsidRPr="00F74D23">
        <w:rPr>
          <w:sz w:val="24"/>
          <w:szCs w:val="24"/>
        </w:rPr>
        <w:t xml:space="preserve"> sucesso das aquisições </w:t>
      </w:r>
      <w:r w:rsidR="00442EE2" w:rsidRPr="00F74D23">
        <w:rPr>
          <w:sz w:val="24"/>
          <w:szCs w:val="24"/>
        </w:rPr>
        <w:t xml:space="preserve">públicas </w:t>
      </w:r>
      <w:r w:rsidR="0075495F" w:rsidRPr="00F74D23">
        <w:rPr>
          <w:sz w:val="24"/>
          <w:szCs w:val="24"/>
        </w:rPr>
        <w:t xml:space="preserve">está amparada na estrita observância dos princípios da legalidade, impessoalidade, moralidade, publicidade, eficiência e economicidade, dentre outros, além de específico planejamento das contratações. </w:t>
      </w:r>
      <w:r w:rsidR="00AD7CFD" w:rsidRPr="00F74D23">
        <w:rPr>
          <w:sz w:val="24"/>
          <w:szCs w:val="24"/>
        </w:rPr>
        <w:t>Assim, d</w:t>
      </w:r>
      <w:r w:rsidR="0075495F" w:rsidRPr="00F74D23">
        <w:rPr>
          <w:sz w:val="24"/>
          <w:szCs w:val="24"/>
        </w:rPr>
        <w:t>eve-se ressaltar a import</w:t>
      </w:r>
      <w:r w:rsidR="00AD7CFD" w:rsidRPr="00F74D23">
        <w:rPr>
          <w:sz w:val="24"/>
          <w:szCs w:val="24"/>
        </w:rPr>
        <w:t xml:space="preserve">ância </w:t>
      </w:r>
      <w:r w:rsidR="0075495F" w:rsidRPr="00F74D23">
        <w:rPr>
          <w:sz w:val="24"/>
          <w:szCs w:val="24"/>
        </w:rPr>
        <w:t xml:space="preserve">não apenas da fase externa da licitação, mas também – e por vezes com maior relevância – da sua fase interna, mormente dos atos atinentes ao seu planejamento. </w:t>
      </w:r>
    </w:p>
    <w:p w:rsidR="00D32C5E" w:rsidRDefault="00442EE2" w:rsidP="00C02B02">
      <w:pPr>
        <w:jc w:val="both"/>
        <w:rPr>
          <w:sz w:val="24"/>
          <w:szCs w:val="24"/>
        </w:rPr>
      </w:pPr>
      <w:r w:rsidRPr="00F74D23">
        <w:rPr>
          <w:sz w:val="24"/>
          <w:szCs w:val="24"/>
        </w:rPr>
        <w:t>3.3</w:t>
      </w:r>
      <w:r w:rsidR="00A948B7" w:rsidRPr="00F74D23">
        <w:rPr>
          <w:sz w:val="24"/>
          <w:szCs w:val="24"/>
        </w:rPr>
        <w:t xml:space="preserve"> Da análise dos processos selecionados na amostra da fiscalização, verificou-se que a cultura de planejamento das aquisições</w:t>
      </w:r>
      <w:r w:rsidR="00330B94" w:rsidRPr="00F74D23">
        <w:rPr>
          <w:sz w:val="24"/>
          <w:szCs w:val="24"/>
        </w:rPr>
        <w:t xml:space="preserve"> no </w:t>
      </w:r>
      <w:r w:rsidR="00D901D9">
        <w:rPr>
          <w:sz w:val="24"/>
          <w:szCs w:val="24"/>
        </w:rPr>
        <w:t>Órgão</w:t>
      </w:r>
      <w:r w:rsidR="00A948B7" w:rsidRPr="00F74D23">
        <w:rPr>
          <w:sz w:val="24"/>
          <w:szCs w:val="24"/>
        </w:rPr>
        <w:t xml:space="preserve"> é</w:t>
      </w:r>
      <w:r w:rsidR="00AD7CFD" w:rsidRPr="00F74D23">
        <w:rPr>
          <w:sz w:val="24"/>
          <w:szCs w:val="24"/>
        </w:rPr>
        <w:t xml:space="preserve"> ainda</w:t>
      </w:r>
      <w:r w:rsidR="004E0133" w:rsidRPr="00F74D23">
        <w:rPr>
          <w:sz w:val="24"/>
          <w:szCs w:val="24"/>
        </w:rPr>
        <w:t xml:space="preserve"> incipiente</w:t>
      </w:r>
      <w:r w:rsidR="00A948B7" w:rsidRPr="00F74D23">
        <w:rPr>
          <w:sz w:val="24"/>
          <w:szCs w:val="24"/>
        </w:rPr>
        <w:t>, não obstante alguns avanços registrados nos últimos exerc</w:t>
      </w:r>
      <w:r w:rsidR="00AD7CFD" w:rsidRPr="00F74D23">
        <w:rPr>
          <w:sz w:val="24"/>
          <w:szCs w:val="24"/>
        </w:rPr>
        <w:t>ícios</w:t>
      </w:r>
      <w:r w:rsidR="00AC2FD1">
        <w:rPr>
          <w:sz w:val="24"/>
          <w:szCs w:val="24"/>
        </w:rPr>
        <w:t xml:space="preserve"> – especialmente por conta da elaboração do PLANCONT –</w:t>
      </w:r>
      <w:r w:rsidR="00AD7CFD" w:rsidRPr="00F74D23">
        <w:rPr>
          <w:sz w:val="24"/>
          <w:szCs w:val="24"/>
        </w:rPr>
        <w:t>, ocasionando morosidade na tramitação interna</w:t>
      </w:r>
      <w:r w:rsidR="004E0133" w:rsidRPr="00F74D23">
        <w:rPr>
          <w:sz w:val="24"/>
          <w:szCs w:val="24"/>
        </w:rPr>
        <w:t xml:space="preserve"> e, consequentemente, retardando a aquisição do bem ou contratação do serviço pretendido. </w:t>
      </w:r>
    </w:p>
    <w:p w:rsidR="002302FD" w:rsidRPr="00F81963" w:rsidRDefault="007B2816" w:rsidP="00C02B02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3.4 Em relação à contratação de serviços de manutenção de urnas</w:t>
      </w:r>
      <w:proofErr w:type="gramStart"/>
      <w:r>
        <w:rPr>
          <w:sz w:val="24"/>
          <w:szCs w:val="24"/>
        </w:rPr>
        <w:t xml:space="preserve">, </w:t>
      </w:r>
      <w:r w:rsidR="008C5607">
        <w:rPr>
          <w:sz w:val="24"/>
          <w:szCs w:val="24"/>
        </w:rPr>
        <w:t>cabe</w:t>
      </w:r>
      <w:proofErr w:type="gramEnd"/>
      <w:r w:rsidR="008C5607">
        <w:rPr>
          <w:sz w:val="24"/>
          <w:szCs w:val="24"/>
        </w:rPr>
        <w:t xml:space="preserve"> registro, tendo em vista que não configura achado da presente fiscalização em razão de fugir do escopo definido, de ocorrência verificada</w:t>
      </w:r>
      <w:r w:rsidR="00F81963">
        <w:rPr>
          <w:sz w:val="24"/>
          <w:szCs w:val="24"/>
        </w:rPr>
        <w:t xml:space="preserve"> na análise do PAD n° 4.689/2015, </w:t>
      </w:r>
      <w:r w:rsidR="0011245E">
        <w:rPr>
          <w:sz w:val="24"/>
          <w:szCs w:val="24"/>
        </w:rPr>
        <w:t>referente ao processo administrativo da referida contratação</w:t>
      </w:r>
      <w:r w:rsidR="00F81963">
        <w:rPr>
          <w:sz w:val="24"/>
          <w:szCs w:val="24"/>
        </w:rPr>
        <w:t>. A</w:t>
      </w:r>
      <w:r>
        <w:rPr>
          <w:sz w:val="24"/>
          <w:szCs w:val="24"/>
        </w:rPr>
        <w:t xml:space="preserve"> descentralização da contratação</w:t>
      </w:r>
      <w:r w:rsidR="00A811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efetivada </w:t>
      </w:r>
      <w:r w:rsidR="00A81146">
        <w:rPr>
          <w:sz w:val="24"/>
          <w:szCs w:val="24"/>
        </w:rPr>
        <w:t>ordinariamente</w:t>
      </w:r>
      <w:r w:rsidR="00B22FEE">
        <w:rPr>
          <w:sz w:val="24"/>
          <w:szCs w:val="24"/>
        </w:rPr>
        <w:t xml:space="preserve"> </w:t>
      </w:r>
      <w:r>
        <w:rPr>
          <w:sz w:val="24"/>
          <w:szCs w:val="24"/>
        </w:rPr>
        <w:t>pelo Tribunal Superior Eleitoral</w:t>
      </w:r>
      <w:r w:rsidR="007D6F32">
        <w:rPr>
          <w:sz w:val="24"/>
          <w:szCs w:val="24"/>
        </w:rPr>
        <w:t xml:space="preserve"> apresentou ao Regional</w:t>
      </w:r>
      <w:r>
        <w:rPr>
          <w:sz w:val="24"/>
          <w:szCs w:val="24"/>
        </w:rPr>
        <w:t xml:space="preserve"> </w:t>
      </w:r>
      <w:r w:rsidR="007D6F32">
        <w:rPr>
          <w:sz w:val="24"/>
          <w:szCs w:val="24"/>
        </w:rPr>
        <w:t xml:space="preserve">situação de </w:t>
      </w:r>
      <w:r w:rsidR="00A81146">
        <w:rPr>
          <w:sz w:val="24"/>
          <w:szCs w:val="24"/>
        </w:rPr>
        <w:t xml:space="preserve">instauração de processo administrativo </w:t>
      </w:r>
      <w:r w:rsidR="007D6F32">
        <w:rPr>
          <w:sz w:val="24"/>
          <w:szCs w:val="24"/>
        </w:rPr>
        <w:t xml:space="preserve">em lapso temporal exíguo, quando </w:t>
      </w:r>
      <w:r w:rsidR="00115EC0">
        <w:rPr>
          <w:sz w:val="24"/>
          <w:szCs w:val="24"/>
        </w:rPr>
        <w:t>sopesado com a</w:t>
      </w:r>
      <w:r w:rsidR="007D6F32">
        <w:rPr>
          <w:sz w:val="24"/>
          <w:szCs w:val="24"/>
        </w:rPr>
        <w:t xml:space="preserve"> análise histórica do tempo de tramitação de um processo licitatório</w:t>
      </w:r>
      <w:r w:rsidR="00115EC0">
        <w:rPr>
          <w:sz w:val="24"/>
          <w:szCs w:val="24"/>
        </w:rPr>
        <w:t xml:space="preserve"> no Órgão</w:t>
      </w:r>
      <w:r w:rsidR="007D6F32">
        <w:rPr>
          <w:sz w:val="24"/>
          <w:szCs w:val="24"/>
        </w:rPr>
        <w:t xml:space="preserve">, desde a protocolização do Termo de Referência até a assinatura do contrato. </w:t>
      </w:r>
    </w:p>
    <w:p w:rsidR="007B2816" w:rsidRDefault="00A81146" w:rsidP="00C02B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 </w:t>
      </w:r>
      <w:r w:rsidR="007D6F32">
        <w:rPr>
          <w:sz w:val="24"/>
          <w:szCs w:val="24"/>
        </w:rPr>
        <w:t xml:space="preserve">A informação acerca da não renovação do contrato pelo TSE ocorreu em 11/5/2015, com extinção do ajuste em 05/8/2015, verificando-se, portanto, um prazo de aproximadamente </w:t>
      </w:r>
      <w:proofErr w:type="gramStart"/>
      <w:r w:rsidR="007D6F32">
        <w:rPr>
          <w:sz w:val="24"/>
          <w:szCs w:val="24"/>
        </w:rPr>
        <w:t>3</w:t>
      </w:r>
      <w:proofErr w:type="gramEnd"/>
      <w:r w:rsidR="007D6F32">
        <w:rPr>
          <w:sz w:val="24"/>
          <w:szCs w:val="24"/>
        </w:rPr>
        <w:t xml:space="preserve"> meses para a celebração da nova contratação. Ocorre que a nova contratação se efetivou apenas no mês de abril do </w:t>
      </w:r>
      <w:r w:rsidR="0011245E">
        <w:rPr>
          <w:sz w:val="24"/>
          <w:szCs w:val="24"/>
        </w:rPr>
        <w:t>ano de 2016</w:t>
      </w:r>
      <w:r w:rsidR="007D6F32">
        <w:rPr>
          <w:sz w:val="24"/>
          <w:szCs w:val="24"/>
        </w:rPr>
        <w:t>, portanto quase um ano após a protocolização do termo de referência. Tal atraso</w:t>
      </w:r>
      <w:r w:rsidR="00FB6804">
        <w:rPr>
          <w:sz w:val="24"/>
          <w:szCs w:val="24"/>
        </w:rPr>
        <w:t xml:space="preserve"> implicou situação de urnas eletrônicas desguarnecidas de manutenção preventiva, </w:t>
      </w:r>
      <w:r w:rsidR="00C61AE5">
        <w:rPr>
          <w:sz w:val="24"/>
          <w:szCs w:val="24"/>
        </w:rPr>
        <w:t>ocasionando</w:t>
      </w:r>
      <w:r w:rsidR="007D6F32">
        <w:rPr>
          <w:sz w:val="24"/>
          <w:szCs w:val="24"/>
        </w:rPr>
        <w:t>, consoante manifestaç</w:t>
      </w:r>
      <w:r w:rsidR="00FB6804">
        <w:rPr>
          <w:sz w:val="24"/>
          <w:szCs w:val="24"/>
        </w:rPr>
        <w:t>ão em Doc. PAD nº 179.873/2016 (</w:t>
      </w:r>
      <w:r w:rsidR="007D6F32">
        <w:rPr>
          <w:sz w:val="24"/>
          <w:szCs w:val="24"/>
        </w:rPr>
        <w:t xml:space="preserve">PAD </w:t>
      </w:r>
      <w:r w:rsidR="00FB6804">
        <w:rPr>
          <w:sz w:val="24"/>
          <w:szCs w:val="24"/>
        </w:rPr>
        <w:t xml:space="preserve">n° 13.269/2016), </w:t>
      </w:r>
      <w:r w:rsidR="00C61AE5">
        <w:rPr>
          <w:sz w:val="24"/>
          <w:szCs w:val="24"/>
        </w:rPr>
        <w:t xml:space="preserve">os seguintes impactos: perda de 12.000 baterias, que se tornaram imprestáveis por ter perdido capacidade de retenção de carga em virtude da sulfatação das placas que as compõem; acúmulo de expressivo número de urnas com defeito, o que </w:t>
      </w:r>
      <w:r w:rsidRPr="00A81146">
        <w:rPr>
          <w:sz w:val="24"/>
          <w:szCs w:val="24"/>
        </w:rPr>
        <w:t>inviabilizou</w:t>
      </w:r>
      <w:r w:rsidR="00C61AE5">
        <w:rPr>
          <w:sz w:val="24"/>
          <w:szCs w:val="24"/>
        </w:rPr>
        <w:t xml:space="preserve"> até mesmo a manutenção corretiva; risco de redução de urnas de contingência, caso a empresa responsável pela manutenção corretiva das urnas </w:t>
      </w:r>
      <w:r w:rsidR="00C61AE5" w:rsidRPr="00A81146">
        <w:rPr>
          <w:sz w:val="24"/>
          <w:szCs w:val="24"/>
        </w:rPr>
        <w:t>não consiga efetivar a manutenção do acervo; envio de urnas para seções eleitorais com baterias sem carga plena,</w:t>
      </w:r>
      <w:r w:rsidR="00C61AE5">
        <w:rPr>
          <w:sz w:val="24"/>
          <w:szCs w:val="24"/>
        </w:rPr>
        <w:t xml:space="preserve"> reduzindo a autonomia da urna em caso de falta de energia elétrica.</w:t>
      </w:r>
      <w:r w:rsidR="00BA2BE4">
        <w:rPr>
          <w:sz w:val="24"/>
          <w:szCs w:val="24"/>
        </w:rPr>
        <w:t xml:space="preserve"> </w:t>
      </w:r>
    </w:p>
    <w:p w:rsidR="00C61AE5" w:rsidRPr="00F74D23" w:rsidRDefault="009B340D" w:rsidP="00C02B02">
      <w:pPr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C61AE5">
        <w:rPr>
          <w:sz w:val="24"/>
          <w:szCs w:val="24"/>
        </w:rPr>
        <w:t xml:space="preserve"> Ainda que restasse impossibilitada a realização da nova contratação no prazo de tr</w:t>
      </w:r>
      <w:r w:rsidR="00115EC0">
        <w:rPr>
          <w:sz w:val="24"/>
          <w:szCs w:val="24"/>
        </w:rPr>
        <w:t xml:space="preserve">ês meses – tempo entre a comunicação do TSE acerca da </w:t>
      </w:r>
      <w:proofErr w:type="gramStart"/>
      <w:r w:rsidR="00115EC0">
        <w:rPr>
          <w:sz w:val="24"/>
          <w:szCs w:val="24"/>
        </w:rPr>
        <w:t>não-renovação</w:t>
      </w:r>
      <w:proofErr w:type="gramEnd"/>
      <w:r w:rsidR="00115EC0">
        <w:rPr>
          <w:sz w:val="24"/>
          <w:szCs w:val="24"/>
        </w:rPr>
        <w:t xml:space="preserve"> do contrato e o seu termo </w:t>
      </w:r>
      <w:r w:rsidR="00115EC0" w:rsidRPr="00852241">
        <w:rPr>
          <w:sz w:val="24"/>
          <w:szCs w:val="24"/>
        </w:rPr>
        <w:t>final –, a</w:t>
      </w:r>
      <w:r w:rsidR="00115EC0">
        <w:rPr>
          <w:sz w:val="24"/>
          <w:szCs w:val="24"/>
        </w:rPr>
        <w:t xml:space="preserve"> assinatura do novo ajuste apenas em abril/2016 mostra-se incompatível com a celeridade administrativa que se espera na instrução das contratações do Órgão, em especial quando </w:t>
      </w:r>
      <w:r w:rsidR="000F1420">
        <w:rPr>
          <w:sz w:val="24"/>
          <w:szCs w:val="24"/>
        </w:rPr>
        <w:t>se</w:t>
      </w:r>
      <w:r w:rsidR="00115EC0">
        <w:rPr>
          <w:sz w:val="24"/>
          <w:szCs w:val="24"/>
        </w:rPr>
        <w:t xml:space="preserve"> trata de objeto de extrema importância para a atividade-fim do Tribunal, qual seja, manutenção de </w:t>
      </w:r>
      <w:r w:rsidR="00115EC0">
        <w:rPr>
          <w:sz w:val="24"/>
          <w:szCs w:val="24"/>
        </w:rPr>
        <w:lastRenderedPageBreak/>
        <w:t>urnas eletrônicas. Os efeitos de tal retardamento, certamente, poderia</w:t>
      </w:r>
      <w:r w:rsidR="00E63EAE">
        <w:rPr>
          <w:sz w:val="24"/>
          <w:szCs w:val="24"/>
        </w:rPr>
        <w:t>m</w:t>
      </w:r>
      <w:r w:rsidR="00115EC0">
        <w:rPr>
          <w:sz w:val="24"/>
          <w:szCs w:val="24"/>
        </w:rPr>
        <w:t xml:space="preserve"> ser minorado</w:t>
      </w:r>
      <w:r w:rsidR="00E63EAE">
        <w:rPr>
          <w:sz w:val="24"/>
          <w:szCs w:val="24"/>
        </w:rPr>
        <w:t>s</w:t>
      </w:r>
      <w:r w:rsidR="00115EC0">
        <w:rPr>
          <w:sz w:val="24"/>
          <w:szCs w:val="24"/>
        </w:rPr>
        <w:t xml:space="preserve"> se realizado um bom planejamento da contratação, bem como acompanhamento efetivo do processo.</w:t>
      </w:r>
    </w:p>
    <w:p w:rsidR="00FA0F6D" w:rsidRPr="00F74D23" w:rsidRDefault="009B340D" w:rsidP="00C02B02">
      <w:pPr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="00FA0F6D" w:rsidRPr="00F74D23">
        <w:rPr>
          <w:sz w:val="24"/>
          <w:szCs w:val="24"/>
        </w:rPr>
        <w:t xml:space="preserve"> O planejamento da contratação, de acordo com o Guia de Riscos e Controles Internos de Aquisições </w:t>
      </w:r>
      <w:proofErr w:type="gramStart"/>
      <w:r w:rsidR="00FA0F6D" w:rsidRPr="00F74D23">
        <w:rPr>
          <w:sz w:val="24"/>
          <w:szCs w:val="24"/>
        </w:rPr>
        <w:t>Públicas produzido pelo Tribunal de Contas da União (TCU),</w:t>
      </w:r>
      <w:proofErr w:type="gramEnd"/>
      <w:r w:rsidR="00FA0F6D" w:rsidRPr="00F74D23">
        <w:rPr>
          <w:sz w:val="24"/>
          <w:szCs w:val="24"/>
        </w:rPr>
        <w:t xml:space="preserve"> “recebe como insumo uma necessidade de negócio e gera como saída um edital completo, incluindo o termo de referência (TR) ou projeto básico (PB) para a contratação”. Posteriormente, dentro de um metaprocesso para aquisições públicas, tem-se a segunda fase, que consiste na seleção do fornecedor, “que recebe como insumo o edital completo, e gera como saída o contrato”.</w:t>
      </w:r>
    </w:p>
    <w:p w:rsidR="00A948B7" w:rsidRPr="00F74D23" w:rsidRDefault="006D4E14" w:rsidP="00C02B02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9B340D">
        <w:rPr>
          <w:sz w:val="24"/>
          <w:szCs w:val="24"/>
        </w:rPr>
        <w:t>8</w:t>
      </w:r>
      <w:r w:rsidR="00FA0F6D" w:rsidRPr="00AC2FD1">
        <w:rPr>
          <w:sz w:val="24"/>
          <w:szCs w:val="24"/>
        </w:rPr>
        <w:t xml:space="preserve"> </w:t>
      </w:r>
      <w:r w:rsidR="00442EE2" w:rsidRPr="00AC2FD1">
        <w:rPr>
          <w:sz w:val="24"/>
          <w:szCs w:val="24"/>
        </w:rPr>
        <w:t>Na fase de</w:t>
      </w:r>
      <w:r w:rsidR="00EC12A3" w:rsidRPr="00AC2FD1">
        <w:rPr>
          <w:sz w:val="24"/>
          <w:szCs w:val="24"/>
        </w:rPr>
        <w:t xml:space="preserve"> </w:t>
      </w:r>
      <w:r w:rsidR="00AC2FD1">
        <w:rPr>
          <w:sz w:val="24"/>
          <w:szCs w:val="24"/>
        </w:rPr>
        <w:t>instrução</w:t>
      </w:r>
      <w:r w:rsidR="00AC2FD1" w:rsidRPr="00AC2FD1">
        <w:rPr>
          <w:sz w:val="24"/>
          <w:szCs w:val="24"/>
        </w:rPr>
        <w:t xml:space="preserve"> interna do processo de contratação</w:t>
      </w:r>
      <w:r w:rsidR="00AF3517" w:rsidRPr="00AC2FD1">
        <w:rPr>
          <w:sz w:val="24"/>
          <w:szCs w:val="24"/>
        </w:rPr>
        <w:t xml:space="preserve"> se observa um</w:t>
      </w:r>
      <w:r w:rsidR="004E0133" w:rsidRPr="00AC2FD1">
        <w:rPr>
          <w:sz w:val="24"/>
          <w:szCs w:val="24"/>
        </w:rPr>
        <w:t xml:space="preserve"> longo lapso temporal </w:t>
      </w:r>
      <w:r w:rsidR="00AF3517" w:rsidRPr="00AC2FD1">
        <w:rPr>
          <w:sz w:val="24"/>
          <w:szCs w:val="24"/>
        </w:rPr>
        <w:t>desde</w:t>
      </w:r>
      <w:r w:rsidR="004E0133" w:rsidRPr="00AC2FD1">
        <w:rPr>
          <w:sz w:val="24"/>
          <w:szCs w:val="24"/>
        </w:rPr>
        <w:t xml:space="preserve"> a protocolização</w:t>
      </w:r>
      <w:r w:rsidR="004E0133" w:rsidRPr="00F74D23">
        <w:rPr>
          <w:sz w:val="24"/>
          <w:szCs w:val="24"/>
        </w:rPr>
        <w:t xml:space="preserve"> do Termo de Referência/Projeto Básico </w:t>
      </w:r>
      <w:r w:rsidR="00AF3517">
        <w:rPr>
          <w:sz w:val="24"/>
          <w:szCs w:val="24"/>
        </w:rPr>
        <w:t>até a</w:t>
      </w:r>
      <w:r w:rsidR="004E0133" w:rsidRPr="00F74D23">
        <w:rPr>
          <w:sz w:val="24"/>
          <w:szCs w:val="24"/>
        </w:rPr>
        <w:t xml:space="preserve"> homologação do procedimento licitatório</w:t>
      </w:r>
      <w:r w:rsidR="00AF3517">
        <w:rPr>
          <w:sz w:val="24"/>
          <w:szCs w:val="24"/>
        </w:rPr>
        <w:t>, o que</w:t>
      </w:r>
      <w:r w:rsidR="004E0133" w:rsidRPr="00F74D23">
        <w:rPr>
          <w:sz w:val="24"/>
          <w:szCs w:val="24"/>
        </w:rPr>
        <w:t xml:space="preserve"> tem sido recorrente</w:t>
      </w:r>
      <w:r w:rsidR="00E63EAE">
        <w:rPr>
          <w:sz w:val="24"/>
          <w:szCs w:val="24"/>
        </w:rPr>
        <w:t xml:space="preserve"> </w:t>
      </w:r>
      <w:r w:rsidR="00FA0F6D" w:rsidRPr="00F74D23">
        <w:rPr>
          <w:sz w:val="24"/>
          <w:szCs w:val="24"/>
        </w:rPr>
        <w:t xml:space="preserve">no âmbito deste </w:t>
      </w:r>
      <w:r w:rsidR="00D901D9">
        <w:rPr>
          <w:sz w:val="24"/>
          <w:szCs w:val="24"/>
        </w:rPr>
        <w:t>Órgão</w:t>
      </w:r>
      <w:r w:rsidR="00E63EAE">
        <w:rPr>
          <w:sz w:val="24"/>
          <w:szCs w:val="24"/>
        </w:rPr>
        <w:t xml:space="preserve"> – a exemplo da contratação de manutenção de urnas acima mencionado </w:t>
      </w:r>
      <w:r w:rsidR="00E63EAE" w:rsidRPr="00AC2FD1">
        <w:rPr>
          <w:sz w:val="24"/>
          <w:szCs w:val="24"/>
        </w:rPr>
        <w:t>–</w:t>
      </w:r>
      <w:r w:rsidR="004E0133" w:rsidRPr="00AC2FD1">
        <w:rPr>
          <w:sz w:val="24"/>
          <w:szCs w:val="24"/>
        </w:rPr>
        <w:t>,</w:t>
      </w:r>
      <w:r w:rsidR="004E0133" w:rsidRPr="00F74D23">
        <w:rPr>
          <w:sz w:val="24"/>
          <w:szCs w:val="24"/>
        </w:rPr>
        <w:t xml:space="preserve"> </w:t>
      </w:r>
      <w:r w:rsidR="00AF3517">
        <w:rPr>
          <w:sz w:val="24"/>
          <w:szCs w:val="24"/>
        </w:rPr>
        <w:t>denotando</w:t>
      </w:r>
      <w:r w:rsidR="004E0133" w:rsidRPr="00F74D23">
        <w:rPr>
          <w:sz w:val="24"/>
          <w:szCs w:val="24"/>
        </w:rPr>
        <w:t xml:space="preserve"> fragilidade na instrução </w:t>
      </w:r>
      <w:r w:rsidR="00046672" w:rsidRPr="00F74D23">
        <w:rPr>
          <w:sz w:val="24"/>
          <w:szCs w:val="24"/>
        </w:rPr>
        <w:t xml:space="preserve">inicial </w:t>
      </w:r>
      <w:r w:rsidR="004E0133" w:rsidRPr="00F74D23">
        <w:rPr>
          <w:sz w:val="24"/>
          <w:szCs w:val="24"/>
        </w:rPr>
        <w:t xml:space="preserve">do processo de licitação, geralmente ocasionado por alterações </w:t>
      </w:r>
      <w:r w:rsidR="00046672" w:rsidRPr="00F74D23">
        <w:rPr>
          <w:sz w:val="24"/>
          <w:szCs w:val="24"/>
        </w:rPr>
        <w:t xml:space="preserve">sequenciais de regras e especificações técnicas que embasam o instrumento convocatório. </w:t>
      </w:r>
    </w:p>
    <w:p w:rsidR="00C9586C" w:rsidRPr="00F74D23" w:rsidRDefault="009B340D" w:rsidP="00C02B02">
      <w:pPr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046672" w:rsidRPr="00F74D23">
        <w:rPr>
          <w:sz w:val="24"/>
          <w:szCs w:val="24"/>
        </w:rPr>
        <w:t xml:space="preserve"> </w:t>
      </w:r>
      <w:r w:rsidR="00C61ED1" w:rsidRPr="00F74D23">
        <w:rPr>
          <w:sz w:val="24"/>
          <w:szCs w:val="24"/>
        </w:rPr>
        <w:t>As</w:t>
      </w:r>
      <w:r w:rsidR="00046672" w:rsidRPr="00F74D23">
        <w:rPr>
          <w:sz w:val="24"/>
          <w:szCs w:val="24"/>
        </w:rPr>
        <w:t xml:space="preserve"> aquisições públicas</w:t>
      </w:r>
      <w:r w:rsidR="00C61ED1" w:rsidRPr="00F74D23">
        <w:rPr>
          <w:sz w:val="24"/>
          <w:szCs w:val="24"/>
        </w:rPr>
        <w:t>, deve-se frisar,</w:t>
      </w:r>
      <w:r w:rsidR="00046672" w:rsidRPr="00F74D23">
        <w:rPr>
          <w:sz w:val="24"/>
          <w:szCs w:val="24"/>
        </w:rPr>
        <w:t xml:space="preserve"> são guiadas pela necessidade da Administração. A partir dela, busca-se a solução que melhor atenda aos seus interesses, o que </w:t>
      </w:r>
      <w:r w:rsidR="00046672" w:rsidRPr="00804439">
        <w:rPr>
          <w:sz w:val="24"/>
          <w:szCs w:val="24"/>
        </w:rPr>
        <w:t xml:space="preserve">demanda estudos </w:t>
      </w:r>
      <w:r w:rsidR="007D0812" w:rsidRPr="00804439">
        <w:rPr>
          <w:sz w:val="24"/>
          <w:szCs w:val="24"/>
        </w:rPr>
        <w:t>prévios</w:t>
      </w:r>
      <w:r w:rsidR="00046672" w:rsidRPr="00804439">
        <w:rPr>
          <w:sz w:val="24"/>
          <w:szCs w:val="24"/>
        </w:rPr>
        <w:t xml:space="preserve"> à contrataç</w:t>
      </w:r>
      <w:r w:rsidR="00193993" w:rsidRPr="00804439">
        <w:rPr>
          <w:sz w:val="24"/>
          <w:szCs w:val="24"/>
        </w:rPr>
        <w:t>ão – referenciado na Resolução nº. 182/2013</w:t>
      </w:r>
      <w:r w:rsidR="00C9586C" w:rsidRPr="00804439">
        <w:rPr>
          <w:sz w:val="24"/>
          <w:szCs w:val="24"/>
        </w:rPr>
        <w:t xml:space="preserve"> </w:t>
      </w:r>
      <w:r w:rsidR="00193993" w:rsidRPr="00804439">
        <w:rPr>
          <w:sz w:val="24"/>
          <w:szCs w:val="24"/>
        </w:rPr>
        <w:t>como</w:t>
      </w:r>
      <w:r w:rsidR="00193993" w:rsidRPr="00F74D23">
        <w:rPr>
          <w:sz w:val="24"/>
          <w:szCs w:val="24"/>
        </w:rPr>
        <w:t xml:space="preserve"> estudos técnicos preliminares</w:t>
      </w:r>
      <w:r w:rsidR="00C9586C" w:rsidRPr="00F74D23">
        <w:rPr>
          <w:sz w:val="24"/>
          <w:szCs w:val="24"/>
        </w:rPr>
        <w:t xml:space="preserve">. </w:t>
      </w:r>
      <w:r w:rsidR="00981D08">
        <w:rPr>
          <w:sz w:val="24"/>
          <w:szCs w:val="24"/>
        </w:rPr>
        <w:t>Tal ferramenta consiste</w:t>
      </w:r>
      <w:r w:rsidR="007D0812" w:rsidRPr="00F74D23">
        <w:rPr>
          <w:sz w:val="24"/>
          <w:szCs w:val="24"/>
        </w:rPr>
        <w:t xml:space="preserve"> em </w:t>
      </w:r>
      <w:r w:rsidR="00981D08">
        <w:rPr>
          <w:sz w:val="24"/>
          <w:szCs w:val="24"/>
        </w:rPr>
        <w:t>mecanismo</w:t>
      </w:r>
      <w:r w:rsidR="00EC12A3" w:rsidRPr="00F74D23">
        <w:rPr>
          <w:sz w:val="24"/>
          <w:szCs w:val="24"/>
        </w:rPr>
        <w:t xml:space="preserve"> </w:t>
      </w:r>
      <w:r w:rsidR="00981D08">
        <w:rPr>
          <w:sz w:val="24"/>
          <w:szCs w:val="24"/>
        </w:rPr>
        <w:t>que agrega qualidade</w:t>
      </w:r>
      <w:r w:rsidR="00EC12A3" w:rsidRPr="00F74D23">
        <w:rPr>
          <w:sz w:val="24"/>
          <w:szCs w:val="24"/>
        </w:rPr>
        <w:t xml:space="preserve"> </w:t>
      </w:r>
      <w:r w:rsidR="000E323D" w:rsidRPr="00F74D23">
        <w:rPr>
          <w:sz w:val="24"/>
          <w:szCs w:val="24"/>
        </w:rPr>
        <w:t>par</w:t>
      </w:r>
      <w:r w:rsidR="00EC12A3" w:rsidRPr="00F74D23">
        <w:rPr>
          <w:sz w:val="24"/>
          <w:szCs w:val="24"/>
        </w:rPr>
        <w:t xml:space="preserve">a engendrar uma contratação em tempo hábil ao atendimento do objeto final </w:t>
      </w:r>
      <w:r w:rsidR="000E323D" w:rsidRPr="00F74D23">
        <w:rPr>
          <w:sz w:val="24"/>
          <w:szCs w:val="24"/>
        </w:rPr>
        <w:t>pretendido, sem que ocorra superveniente perda de objeto.</w:t>
      </w:r>
      <w:r w:rsidR="008B3F3F">
        <w:rPr>
          <w:sz w:val="24"/>
          <w:szCs w:val="24"/>
        </w:rPr>
        <w:t xml:space="preserve"> </w:t>
      </w:r>
    </w:p>
    <w:p w:rsidR="000E323D" w:rsidRDefault="009B340D" w:rsidP="00C02B02">
      <w:pPr>
        <w:jc w:val="both"/>
        <w:rPr>
          <w:sz w:val="24"/>
          <w:szCs w:val="24"/>
        </w:rPr>
      </w:pPr>
      <w:r>
        <w:rPr>
          <w:sz w:val="24"/>
          <w:szCs w:val="24"/>
        </w:rPr>
        <w:t>3.10</w:t>
      </w:r>
      <w:r w:rsidR="00C9586C" w:rsidRPr="00F74D23">
        <w:rPr>
          <w:sz w:val="24"/>
          <w:szCs w:val="24"/>
        </w:rPr>
        <w:t xml:space="preserve"> </w:t>
      </w:r>
      <w:r w:rsidR="007D0812" w:rsidRPr="00F74D23">
        <w:rPr>
          <w:sz w:val="24"/>
          <w:szCs w:val="24"/>
        </w:rPr>
        <w:t>A fase interna da licitação merece</w:t>
      </w:r>
      <w:r w:rsidR="00EC12A3" w:rsidRPr="00F74D23">
        <w:rPr>
          <w:sz w:val="24"/>
          <w:szCs w:val="24"/>
        </w:rPr>
        <w:t>, então, uma</w:t>
      </w:r>
      <w:r w:rsidR="007D0812" w:rsidRPr="00F74D23">
        <w:rPr>
          <w:sz w:val="24"/>
          <w:szCs w:val="24"/>
        </w:rPr>
        <w:t xml:space="preserve"> especial atenção, </w:t>
      </w:r>
      <w:r w:rsidR="00EC12A3" w:rsidRPr="00F74D23">
        <w:rPr>
          <w:sz w:val="24"/>
          <w:szCs w:val="24"/>
        </w:rPr>
        <w:t>já que</w:t>
      </w:r>
      <w:r w:rsidR="007D0812" w:rsidRPr="00F74D23">
        <w:rPr>
          <w:sz w:val="24"/>
          <w:szCs w:val="24"/>
        </w:rPr>
        <w:t xml:space="preserve"> uma demanda planejada e com parâmetros de contratação be</w:t>
      </w:r>
      <w:r w:rsidR="00EC12A3" w:rsidRPr="00F74D23">
        <w:rPr>
          <w:sz w:val="24"/>
          <w:szCs w:val="24"/>
        </w:rPr>
        <w:t xml:space="preserve">m definidos reflete na seleção da melhor proposta para a Administração Pública, impactando positivamente no resultado final da solução contratada. Tal </w:t>
      </w:r>
      <w:r w:rsidR="00442EE2" w:rsidRPr="00F74D23">
        <w:rPr>
          <w:sz w:val="24"/>
          <w:szCs w:val="24"/>
        </w:rPr>
        <w:t>objetivo</w:t>
      </w:r>
      <w:r w:rsidR="00EC12A3" w:rsidRPr="00F74D23">
        <w:rPr>
          <w:sz w:val="24"/>
          <w:szCs w:val="24"/>
        </w:rPr>
        <w:t xml:space="preserve">, repita-se, não se atinge tão-somente com a avaliação da conformidade regulatória dos processos licitatórios no âmbito do TRE-BA. </w:t>
      </w:r>
      <w:r w:rsidR="00442EE2" w:rsidRPr="00F74D23">
        <w:rPr>
          <w:sz w:val="24"/>
          <w:szCs w:val="24"/>
        </w:rPr>
        <w:t>Reconhecendo</w:t>
      </w:r>
      <w:r w:rsidR="00EC12A3" w:rsidRPr="00F74D23">
        <w:rPr>
          <w:sz w:val="24"/>
          <w:szCs w:val="24"/>
        </w:rPr>
        <w:t>-se que o nível de tolerância a risco da Administração Pública deve ser m</w:t>
      </w:r>
      <w:r w:rsidR="000E323D" w:rsidRPr="00F74D23">
        <w:rPr>
          <w:sz w:val="24"/>
          <w:szCs w:val="24"/>
        </w:rPr>
        <w:t>ínimo</w:t>
      </w:r>
      <w:r w:rsidR="00EC12A3" w:rsidRPr="00F74D23">
        <w:rPr>
          <w:sz w:val="24"/>
          <w:szCs w:val="24"/>
        </w:rPr>
        <w:t xml:space="preserve"> – por conta da adstrição ao princípio d</w:t>
      </w:r>
      <w:r w:rsidR="00442EE2" w:rsidRPr="00F74D23">
        <w:rPr>
          <w:sz w:val="24"/>
          <w:szCs w:val="24"/>
        </w:rPr>
        <w:t>a legalidade administrativa –, é importante frisar que o</w:t>
      </w:r>
      <w:r w:rsidR="00EC12A3" w:rsidRPr="00F74D23">
        <w:rPr>
          <w:sz w:val="24"/>
          <w:szCs w:val="24"/>
        </w:rPr>
        <w:t xml:space="preserve"> enfoque da fiscalização deve estar voltado também, e em maior grau, para a boa governança das aquisições p</w:t>
      </w:r>
      <w:r w:rsidR="000E323D" w:rsidRPr="00F74D23">
        <w:rPr>
          <w:sz w:val="24"/>
          <w:szCs w:val="24"/>
        </w:rPr>
        <w:t>úblicas.</w:t>
      </w:r>
      <w:r w:rsidR="00AB011D" w:rsidRPr="00F74D23">
        <w:rPr>
          <w:sz w:val="24"/>
          <w:szCs w:val="24"/>
        </w:rPr>
        <w:t xml:space="preserve"> O aprimoramento do planejamento </w:t>
      </w:r>
      <w:r w:rsidR="0004321A" w:rsidRPr="00F74D23">
        <w:rPr>
          <w:sz w:val="24"/>
          <w:szCs w:val="24"/>
        </w:rPr>
        <w:t>consiste</w:t>
      </w:r>
      <w:r w:rsidR="001F3457">
        <w:rPr>
          <w:sz w:val="24"/>
          <w:szCs w:val="24"/>
        </w:rPr>
        <w:t xml:space="preserve"> assim</w:t>
      </w:r>
      <w:r w:rsidR="00AB011D" w:rsidRPr="00F74D23">
        <w:rPr>
          <w:sz w:val="24"/>
          <w:szCs w:val="24"/>
        </w:rPr>
        <w:t xml:space="preserve"> em princípio ativo para a melhoria das contratações.</w:t>
      </w:r>
    </w:p>
    <w:p w:rsidR="007B2816" w:rsidRPr="00F74D23" w:rsidRDefault="009B340D" w:rsidP="00C02B02">
      <w:pPr>
        <w:jc w:val="both"/>
        <w:rPr>
          <w:sz w:val="24"/>
          <w:szCs w:val="24"/>
        </w:rPr>
      </w:pPr>
      <w:r>
        <w:rPr>
          <w:sz w:val="24"/>
          <w:szCs w:val="24"/>
        </w:rPr>
        <w:t>3.11</w:t>
      </w:r>
      <w:r w:rsidR="007B2816">
        <w:rPr>
          <w:sz w:val="24"/>
          <w:szCs w:val="24"/>
        </w:rPr>
        <w:t xml:space="preserve"> A demanda bem planejada e cumprida</w:t>
      </w:r>
      <w:r w:rsidR="0079587B">
        <w:rPr>
          <w:sz w:val="24"/>
          <w:szCs w:val="24"/>
        </w:rPr>
        <w:t xml:space="preserve"> nos estritos termos do planejamento </w:t>
      </w:r>
      <w:r w:rsidR="007B2816">
        <w:rPr>
          <w:sz w:val="24"/>
          <w:szCs w:val="24"/>
        </w:rPr>
        <w:t>evita ocorrência de desperd</w:t>
      </w:r>
      <w:r w:rsidR="00E90DDE">
        <w:rPr>
          <w:sz w:val="24"/>
          <w:szCs w:val="24"/>
        </w:rPr>
        <w:t>ícios de recursos</w:t>
      </w:r>
      <w:r w:rsidR="0079587B">
        <w:rPr>
          <w:sz w:val="24"/>
          <w:szCs w:val="24"/>
        </w:rPr>
        <w:t xml:space="preserve"> e aprimora a qualidade d</w:t>
      </w:r>
      <w:r w:rsidR="00E90DDE">
        <w:rPr>
          <w:sz w:val="24"/>
          <w:szCs w:val="24"/>
        </w:rPr>
        <w:t>a execução dos gastos p</w:t>
      </w:r>
      <w:r w:rsidR="0079587B">
        <w:rPr>
          <w:sz w:val="24"/>
          <w:szCs w:val="24"/>
        </w:rPr>
        <w:t xml:space="preserve">úblicos e </w:t>
      </w:r>
      <w:r w:rsidR="008314D9">
        <w:rPr>
          <w:sz w:val="24"/>
          <w:szCs w:val="24"/>
        </w:rPr>
        <w:t xml:space="preserve">a </w:t>
      </w:r>
      <w:r w:rsidR="0079587B">
        <w:rPr>
          <w:sz w:val="24"/>
          <w:szCs w:val="24"/>
        </w:rPr>
        <w:t>eficiência dos serviços, mitigando deficiência na gestão do Órgão.</w:t>
      </w:r>
    </w:p>
    <w:p w:rsidR="00DB2F37" w:rsidRDefault="009B340D" w:rsidP="00C02B02">
      <w:pPr>
        <w:jc w:val="both"/>
        <w:rPr>
          <w:sz w:val="24"/>
          <w:szCs w:val="24"/>
        </w:rPr>
      </w:pPr>
      <w:r>
        <w:rPr>
          <w:sz w:val="24"/>
          <w:szCs w:val="24"/>
        </w:rPr>
        <w:t>3.12</w:t>
      </w:r>
      <w:r w:rsidR="00442EE2" w:rsidRPr="00F74D23">
        <w:rPr>
          <w:sz w:val="24"/>
          <w:szCs w:val="24"/>
        </w:rPr>
        <w:t xml:space="preserve"> </w:t>
      </w:r>
      <w:r w:rsidR="002B024F" w:rsidRPr="00F74D23">
        <w:rPr>
          <w:sz w:val="24"/>
          <w:szCs w:val="24"/>
        </w:rPr>
        <w:t>Além de melhorias no planejamento da contratação</w:t>
      </w:r>
      <w:proofErr w:type="gramStart"/>
      <w:r w:rsidR="002B024F" w:rsidRPr="00F74D23">
        <w:rPr>
          <w:sz w:val="24"/>
          <w:szCs w:val="24"/>
        </w:rPr>
        <w:t>, deve-se</w:t>
      </w:r>
      <w:proofErr w:type="gramEnd"/>
      <w:r w:rsidR="002B024F" w:rsidRPr="00F74D23">
        <w:rPr>
          <w:sz w:val="24"/>
          <w:szCs w:val="24"/>
        </w:rPr>
        <w:t xml:space="preserve"> prezar </w:t>
      </w:r>
      <w:r w:rsidR="00AB5937" w:rsidRPr="00F74D23">
        <w:rPr>
          <w:sz w:val="24"/>
          <w:szCs w:val="24"/>
        </w:rPr>
        <w:t xml:space="preserve">por uma melhor qualidade nos controles internos </w:t>
      </w:r>
      <w:r w:rsidR="005F3DD3">
        <w:rPr>
          <w:sz w:val="24"/>
          <w:szCs w:val="24"/>
        </w:rPr>
        <w:t>administrativos</w:t>
      </w:r>
      <w:r w:rsidR="005F630E">
        <w:rPr>
          <w:sz w:val="24"/>
          <w:szCs w:val="24"/>
        </w:rPr>
        <w:t xml:space="preserve"> </w:t>
      </w:r>
      <w:r w:rsidR="00DB2F37" w:rsidRPr="00F74D23">
        <w:rPr>
          <w:sz w:val="24"/>
          <w:szCs w:val="24"/>
        </w:rPr>
        <w:t xml:space="preserve">das atividades de instrução dos processos de aquisição. Uma possibilidade de melhoria é, justamente, e em consonância com ressonante jurisprudência do Tribunal de Contas da União, a observância do princípio da </w:t>
      </w:r>
      <w:r w:rsidR="00DB2F37" w:rsidRPr="00F74D23">
        <w:rPr>
          <w:i/>
          <w:sz w:val="24"/>
          <w:szCs w:val="24"/>
        </w:rPr>
        <w:t>segregação de funções</w:t>
      </w:r>
      <w:r w:rsidR="00DB2F37" w:rsidRPr="00F74D23">
        <w:rPr>
          <w:sz w:val="24"/>
          <w:szCs w:val="24"/>
        </w:rPr>
        <w:t xml:space="preserve">, evitando-se que </w:t>
      </w:r>
      <w:r w:rsidR="0072726E" w:rsidRPr="00F74D23">
        <w:rPr>
          <w:sz w:val="24"/>
          <w:szCs w:val="24"/>
        </w:rPr>
        <w:t>atividades diversas e essenciais do processo de contratação recaiam</w:t>
      </w:r>
      <w:r w:rsidR="00DB2F37" w:rsidRPr="00F74D23">
        <w:rPr>
          <w:sz w:val="24"/>
          <w:szCs w:val="24"/>
        </w:rPr>
        <w:t xml:space="preserve"> sobre um mesmo servidor, como por exemplo, </w:t>
      </w:r>
      <w:r w:rsidR="0072726E" w:rsidRPr="00F74D23">
        <w:rPr>
          <w:sz w:val="24"/>
          <w:szCs w:val="24"/>
        </w:rPr>
        <w:t>elaboração de termo de referência e exercício de atividade de pregoeiro.</w:t>
      </w:r>
    </w:p>
    <w:p w:rsidR="003210B8" w:rsidRPr="00F74D23" w:rsidRDefault="009B340D" w:rsidP="00C02B02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3.13</w:t>
      </w:r>
      <w:r w:rsidR="0098122F" w:rsidRPr="00F74D23">
        <w:rPr>
          <w:sz w:val="24"/>
          <w:szCs w:val="24"/>
        </w:rPr>
        <w:t xml:space="preserve"> </w:t>
      </w:r>
      <w:r w:rsidR="000C5265" w:rsidRPr="00F74D23">
        <w:rPr>
          <w:sz w:val="24"/>
          <w:szCs w:val="24"/>
        </w:rPr>
        <w:t>Outro</w:t>
      </w:r>
      <w:proofErr w:type="gramEnd"/>
      <w:r w:rsidR="000C5265" w:rsidRPr="00F74D23">
        <w:rPr>
          <w:sz w:val="24"/>
          <w:szCs w:val="24"/>
        </w:rPr>
        <w:t xml:space="preserve"> ponto a ser vislumbrado é</w:t>
      </w:r>
      <w:r w:rsidR="0098122F" w:rsidRPr="00F74D23">
        <w:rPr>
          <w:sz w:val="24"/>
          <w:szCs w:val="24"/>
        </w:rPr>
        <w:t xml:space="preserve"> a necessidade de incorporação de padrões de consumo ambientalmente sustentáveis para as aquisições públicas, com o sentido de induzir fornecedores </w:t>
      </w:r>
      <w:r w:rsidR="0098122F" w:rsidRPr="00F74D23">
        <w:rPr>
          <w:sz w:val="24"/>
          <w:szCs w:val="24"/>
        </w:rPr>
        <w:lastRenderedPageBreak/>
        <w:t xml:space="preserve">e prestadores de serviço a adotarem, em seu ciclo de produção, critérios de sustentabilidade. </w:t>
      </w:r>
      <w:r w:rsidR="00E23395" w:rsidRPr="00F74D23">
        <w:rPr>
          <w:sz w:val="24"/>
          <w:szCs w:val="24"/>
        </w:rPr>
        <w:t>Neste ínterim, o</w:t>
      </w:r>
      <w:r w:rsidR="0098122F" w:rsidRPr="00F74D23">
        <w:rPr>
          <w:sz w:val="24"/>
          <w:szCs w:val="24"/>
        </w:rPr>
        <w:t xml:space="preserve">bserva-se a adoção </w:t>
      </w:r>
      <w:r w:rsidR="000C5265" w:rsidRPr="00F74D23">
        <w:rPr>
          <w:sz w:val="24"/>
          <w:szCs w:val="24"/>
        </w:rPr>
        <w:t>de normativos expressos</w:t>
      </w:r>
      <w:r w:rsidR="0098122F" w:rsidRPr="00F74D23">
        <w:rPr>
          <w:sz w:val="24"/>
          <w:szCs w:val="24"/>
        </w:rPr>
        <w:t xml:space="preserve">, a exemplo da </w:t>
      </w:r>
      <w:r w:rsidR="00E23395" w:rsidRPr="00F74D23">
        <w:rPr>
          <w:sz w:val="24"/>
          <w:szCs w:val="24"/>
        </w:rPr>
        <w:t>IN SLTI</w:t>
      </w:r>
      <w:r w:rsidR="0098122F" w:rsidRPr="00F74D23">
        <w:rPr>
          <w:sz w:val="24"/>
          <w:szCs w:val="24"/>
        </w:rPr>
        <w:t xml:space="preserve"> MPOG </w:t>
      </w:r>
      <w:r w:rsidR="004F5280">
        <w:rPr>
          <w:sz w:val="24"/>
          <w:szCs w:val="24"/>
        </w:rPr>
        <w:t>nº</w:t>
      </w:r>
      <w:r w:rsidR="0098122F" w:rsidRPr="00F74D23">
        <w:rPr>
          <w:sz w:val="24"/>
          <w:szCs w:val="24"/>
        </w:rPr>
        <w:t xml:space="preserve"> 01/2010</w:t>
      </w:r>
      <w:r w:rsidR="00E23395" w:rsidRPr="00F74D23">
        <w:rPr>
          <w:sz w:val="24"/>
          <w:szCs w:val="24"/>
        </w:rPr>
        <w:t>, que dispõe sobre os critérios de sustentabilidade ambiental na aquisição de bens, contratação de serviços ou obras pela Administração Pública Federal.</w:t>
      </w:r>
    </w:p>
    <w:p w:rsidR="00DB2F37" w:rsidRDefault="009B340D" w:rsidP="00C02B02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3.14</w:t>
      </w:r>
      <w:r w:rsidR="00E23395" w:rsidRPr="00F74D23">
        <w:rPr>
          <w:sz w:val="24"/>
          <w:szCs w:val="24"/>
        </w:rPr>
        <w:t xml:space="preserve"> </w:t>
      </w:r>
      <w:r w:rsidR="000C5265" w:rsidRPr="00F74D23">
        <w:rPr>
          <w:sz w:val="24"/>
          <w:szCs w:val="24"/>
        </w:rPr>
        <w:t>Ainda</w:t>
      </w:r>
      <w:r w:rsidR="00E23395" w:rsidRPr="00F74D23">
        <w:rPr>
          <w:sz w:val="24"/>
          <w:szCs w:val="24"/>
        </w:rPr>
        <w:t xml:space="preserve"> que de forma incipiente, </w:t>
      </w:r>
      <w:r w:rsidR="000C5265" w:rsidRPr="00F74D23">
        <w:rPr>
          <w:sz w:val="24"/>
          <w:szCs w:val="24"/>
        </w:rPr>
        <w:t xml:space="preserve">o TRE-BA </w:t>
      </w:r>
      <w:r w:rsidR="00E23395" w:rsidRPr="00F74D23">
        <w:rPr>
          <w:sz w:val="24"/>
          <w:szCs w:val="24"/>
        </w:rPr>
        <w:t xml:space="preserve">tem </w:t>
      </w:r>
      <w:r w:rsidR="00DB4ACA" w:rsidRPr="00F74D23">
        <w:rPr>
          <w:sz w:val="24"/>
          <w:szCs w:val="24"/>
        </w:rPr>
        <w:t>de</w:t>
      </w:r>
      <w:r w:rsidR="00E23395" w:rsidRPr="00F74D23">
        <w:rPr>
          <w:sz w:val="24"/>
          <w:szCs w:val="24"/>
        </w:rPr>
        <w:t>mo</w:t>
      </w:r>
      <w:r w:rsidR="00DB4ACA" w:rsidRPr="00F74D23">
        <w:rPr>
          <w:sz w:val="24"/>
          <w:szCs w:val="24"/>
        </w:rPr>
        <w:t>n</w:t>
      </w:r>
      <w:r w:rsidR="00E23395" w:rsidRPr="00F74D23">
        <w:rPr>
          <w:sz w:val="24"/>
          <w:szCs w:val="24"/>
        </w:rPr>
        <w:t>strado preocupação na condução de licitações sustent</w:t>
      </w:r>
      <w:r w:rsidR="00DB4ACA" w:rsidRPr="00F74D23">
        <w:rPr>
          <w:sz w:val="24"/>
          <w:szCs w:val="24"/>
        </w:rPr>
        <w:t>áveis e, para tanto,</w:t>
      </w:r>
      <w:r w:rsidR="008E0B01" w:rsidRPr="00F74D23">
        <w:rPr>
          <w:sz w:val="24"/>
          <w:szCs w:val="24"/>
        </w:rPr>
        <w:t xml:space="preserve"> institui</w:t>
      </w:r>
      <w:r w:rsidR="00D72228" w:rsidRPr="00F74D23">
        <w:rPr>
          <w:sz w:val="24"/>
          <w:szCs w:val="24"/>
        </w:rPr>
        <w:t xml:space="preserve">u, por meio da Portaria </w:t>
      </w:r>
      <w:r w:rsidR="00981D08">
        <w:rPr>
          <w:sz w:val="24"/>
          <w:szCs w:val="24"/>
        </w:rPr>
        <w:t xml:space="preserve">DG </w:t>
      </w:r>
      <w:r w:rsidR="004F5280">
        <w:rPr>
          <w:sz w:val="24"/>
          <w:szCs w:val="24"/>
        </w:rPr>
        <w:t>nº</w:t>
      </w:r>
      <w:r w:rsidR="00D72228" w:rsidRPr="00F74D23">
        <w:rPr>
          <w:sz w:val="24"/>
          <w:szCs w:val="24"/>
        </w:rPr>
        <w:t xml:space="preserve"> </w:t>
      </w:r>
      <w:r w:rsidR="00981D08">
        <w:rPr>
          <w:sz w:val="24"/>
          <w:szCs w:val="24"/>
        </w:rPr>
        <w:t>224, de 11 de novembro de 2014</w:t>
      </w:r>
      <w:r w:rsidR="000C5265" w:rsidRPr="00F74D23">
        <w:rPr>
          <w:sz w:val="24"/>
          <w:szCs w:val="24"/>
        </w:rPr>
        <w:t xml:space="preserve">, Comissão de </w:t>
      </w:r>
      <w:r w:rsidR="000C5265" w:rsidRPr="00F74D23">
        <w:rPr>
          <w:bCs/>
          <w:sz w:val="24"/>
          <w:szCs w:val="24"/>
        </w:rPr>
        <w:t>Padronização de Critérios Ambientais do TRE-BA</w:t>
      </w:r>
      <w:r w:rsidR="000C5265" w:rsidRPr="00F74D23">
        <w:rPr>
          <w:sz w:val="24"/>
          <w:szCs w:val="24"/>
        </w:rPr>
        <w:t xml:space="preserve">, que culminou em </w:t>
      </w:r>
      <w:r w:rsidR="000C5265" w:rsidRPr="00F74D23">
        <w:rPr>
          <w:bCs/>
          <w:sz w:val="24"/>
          <w:szCs w:val="24"/>
        </w:rPr>
        <w:t>Relatório Doc. PAD nº. 49.942/2015.</w:t>
      </w:r>
      <w:r w:rsidR="00156F7D" w:rsidRPr="00F74D23">
        <w:rPr>
          <w:bCs/>
          <w:sz w:val="24"/>
          <w:szCs w:val="24"/>
        </w:rPr>
        <w:t xml:space="preserve"> Ressalta-se, assim, a necessidade de promoção do consumo sustentável da Administração Pública.</w:t>
      </w:r>
    </w:p>
    <w:p w:rsidR="00AB5937" w:rsidRPr="00F74D23" w:rsidRDefault="009B340D" w:rsidP="00C02B02">
      <w:pPr>
        <w:jc w:val="both"/>
        <w:rPr>
          <w:sz w:val="24"/>
          <w:szCs w:val="24"/>
        </w:rPr>
      </w:pPr>
      <w:r>
        <w:rPr>
          <w:sz w:val="24"/>
          <w:szCs w:val="24"/>
        </w:rPr>
        <w:t>3.15</w:t>
      </w:r>
      <w:r w:rsidR="00156F7D" w:rsidRPr="00F74D23">
        <w:rPr>
          <w:sz w:val="24"/>
          <w:szCs w:val="24"/>
        </w:rPr>
        <w:t xml:space="preserve"> Por fim, deve-se registrar a</w:t>
      </w:r>
      <w:r w:rsidR="00F81963">
        <w:rPr>
          <w:sz w:val="24"/>
          <w:szCs w:val="24"/>
        </w:rPr>
        <w:t xml:space="preserve"> importância da</w:t>
      </w:r>
      <w:r w:rsidR="00156F7D" w:rsidRPr="00F74D23">
        <w:rPr>
          <w:sz w:val="24"/>
          <w:szCs w:val="24"/>
        </w:rPr>
        <w:t xml:space="preserve"> atuação da ASSESD na verificação de conformidade regulatória dos procedimentos licitatórios previamente à homologação do certame, uma vez que consiste </w:t>
      </w:r>
      <w:r w:rsidR="00AF3517">
        <w:rPr>
          <w:sz w:val="24"/>
          <w:szCs w:val="24"/>
        </w:rPr>
        <w:t>na segunda</w:t>
      </w:r>
      <w:r w:rsidR="00156F7D" w:rsidRPr="00F74D23">
        <w:rPr>
          <w:sz w:val="24"/>
          <w:szCs w:val="24"/>
        </w:rPr>
        <w:t xml:space="preserve"> linha de defesa da Administração, com o intuito de coibir irregularidades.</w:t>
      </w:r>
    </w:p>
    <w:p w:rsidR="008B1CB9" w:rsidRPr="00AF3517" w:rsidRDefault="008B1CB9" w:rsidP="00FC7A09">
      <w:pPr>
        <w:jc w:val="both"/>
        <w:rPr>
          <w:b/>
          <w:sz w:val="24"/>
          <w:szCs w:val="24"/>
        </w:rPr>
      </w:pPr>
    </w:p>
    <w:p w:rsidR="0044446A" w:rsidRPr="00F74D23" w:rsidRDefault="00C02B02" w:rsidP="00FC7A09">
      <w:pPr>
        <w:jc w:val="both"/>
        <w:rPr>
          <w:b/>
          <w:sz w:val="24"/>
          <w:szCs w:val="24"/>
        </w:rPr>
      </w:pPr>
      <w:r w:rsidRPr="00F74D23">
        <w:rPr>
          <w:b/>
          <w:sz w:val="24"/>
          <w:szCs w:val="24"/>
        </w:rPr>
        <w:t>4</w:t>
      </w:r>
      <w:r w:rsidR="009C1E05" w:rsidRPr="00F74D23">
        <w:rPr>
          <w:b/>
          <w:sz w:val="24"/>
          <w:szCs w:val="24"/>
        </w:rPr>
        <w:t xml:space="preserve">. </w:t>
      </w:r>
      <w:r w:rsidR="0044446A" w:rsidRPr="00F74D23">
        <w:rPr>
          <w:b/>
          <w:sz w:val="24"/>
          <w:szCs w:val="24"/>
        </w:rPr>
        <w:t>PROPOSTAS DE ENCAMINHAMENTO</w:t>
      </w:r>
    </w:p>
    <w:p w:rsidR="00D901D9" w:rsidRPr="00D901D9" w:rsidRDefault="001C414C" w:rsidP="00D901D9">
      <w:pPr>
        <w:pStyle w:val="TextosemFormatao"/>
        <w:jc w:val="both"/>
        <w:rPr>
          <w:rFonts w:ascii="Times New Roman" w:hAnsi="Times New Roman" w:cs="Times New Roman"/>
          <w:sz w:val="24"/>
          <w:szCs w:val="24"/>
        </w:rPr>
      </w:pPr>
      <w:r w:rsidRPr="00D901D9">
        <w:rPr>
          <w:rFonts w:ascii="Times New Roman" w:hAnsi="Times New Roman" w:cs="Times New Roman"/>
          <w:sz w:val="24"/>
          <w:szCs w:val="24"/>
          <w:lang w:val="x-none"/>
        </w:rPr>
        <w:t>No tocante às vulnerabilidades evidenciada</w:t>
      </w:r>
      <w:r w:rsidR="00AF3517">
        <w:rPr>
          <w:rFonts w:ascii="Times New Roman" w:hAnsi="Times New Roman" w:cs="Times New Roman"/>
          <w:sz w:val="24"/>
          <w:szCs w:val="24"/>
          <w:lang w:val="x-none"/>
        </w:rPr>
        <w:t>s n</w:t>
      </w:r>
      <w:r w:rsidR="00AF3517">
        <w:rPr>
          <w:rFonts w:ascii="Times New Roman" w:hAnsi="Times New Roman" w:cs="Times New Roman"/>
          <w:sz w:val="24"/>
          <w:szCs w:val="24"/>
        </w:rPr>
        <w:t>a seção 2</w:t>
      </w:r>
      <w:r w:rsidRPr="00D901D9">
        <w:rPr>
          <w:rFonts w:ascii="Times New Roman" w:hAnsi="Times New Roman" w:cs="Times New Roman"/>
          <w:sz w:val="24"/>
          <w:szCs w:val="24"/>
          <w:lang w:val="x-none"/>
        </w:rPr>
        <w:t xml:space="preserve"> submete-se ao exame superior, visando posterior apreciação pela Presidência desta Casa, as seguintes propostas de encaminhamento:</w:t>
      </w:r>
    </w:p>
    <w:p w:rsidR="000C5544" w:rsidRDefault="00D901D9" w:rsidP="00D901D9">
      <w:pPr>
        <w:pStyle w:val="TextosemFormata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F12D6" w:rsidRPr="00D901D9">
        <w:rPr>
          <w:rFonts w:ascii="Times New Roman" w:hAnsi="Times New Roman" w:cs="Times New Roman"/>
          <w:b/>
          <w:sz w:val="24"/>
          <w:szCs w:val="24"/>
          <w:lang w:val="x-none"/>
        </w:rPr>
        <w:t>.1</w:t>
      </w:r>
      <w:r w:rsidR="00E96351" w:rsidRPr="00D901D9">
        <w:rPr>
          <w:rFonts w:ascii="Times New Roman" w:hAnsi="Times New Roman" w:cs="Times New Roman"/>
          <w:b/>
          <w:sz w:val="24"/>
          <w:szCs w:val="24"/>
          <w:lang w:val="x-none"/>
        </w:rPr>
        <w:t>.</w:t>
      </w:r>
      <w:r w:rsidR="00EF12D6" w:rsidRPr="00D901D9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</w:t>
      </w:r>
      <w:r w:rsidR="00180ED1" w:rsidRPr="00D901D9">
        <w:rPr>
          <w:rFonts w:ascii="Times New Roman" w:hAnsi="Times New Roman" w:cs="Times New Roman"/>
          <w:sz w:val="24"/>
          <w:szCs w:val="24"/>
        </w:rPr>
        <w:t xml:space="preserve">Recomendar às unidades demandantes </w:t>
      </w:r>
      <w:r w:rsidR="000C5544">
        <w:rPr>
          <w:rFonts w:ascii="Times New Roman" w:hAnsi="Times New Roman" w:cs="Times New Roman"/>
          <w:sz w:val="24"/>
          <w:szCs w:val="24"/>
        </w:rPr>
        <w:t xml:space="preserve">do Tribunal </w:t>
      </w:r>
      <w:r w:rsidR="00AF3517">
        <w:rPr>
          <w:rFonts w:ascii="Times New Roman" w:hAnsi="Times New Roman" w:cs="Times New Roman"/>
          <w:sz w:val="24"/>
          <w:szCs w:val="24"/>
        </w:rPr>
        <w:t>que elaborem os</w:t>
      </w:r>
      <w:r w:rsidR="00180ED1" w:rsidRPr="00D901D9">
        <w:rPr>
          <w:rFonts w:ascii="Times New Roman" w:hAnsi="Times New Roman" w:cs="Times New Roman"/>
          <w:sz w:val="24"/>
          <w:szCs w:val="24"/>
        </w:rPr>
        <w:t xml:space="preserve"> estudos técnicos preliminares para as contratações</w:t>
      </w:r>
      <w:r w:rsidR="00AF3517">
        <w:rPr>
          <w:rFonts w:ascii="Times New Roman" w:hAnsi="Times New Roman" w:cs="Times New Roman"/>
          <w:sz w:val="24"/>
          <w:szCs w:val="24"/>
        </w:rPr>
        <w:t xml:space="preserve"> contemplando: </w:t>
      </w:r>
      <w:r w:rsidR="0068663C">
        <w:rPr>
          <w:rFonts w:ascii="Times New Roman" w:hAnsi="Times New Roman" w:cs="Times New Roman"/>
          <w:sz w:val="24"/>
          <w:szCs w:val="24"/>
        </w:rPr>
        <w:t>a necessidade da contratação;</w:t>
      </w:r>
      <w:r w:rsidR="00180ED1" w:rsidRPr="00D901D9">
        <w:rPr>
          <w:rFonts w:ascii="Times New Roman" w:hAnsi="Times New Roman" w:cs="Times New Roman"/>
          <w:sz w:val="24"/>
          <w:szCs w:val="24"/>
        </w:rPr>
        <w:t xml:space="preserve"> </w:t>
      </w:r>
      <w:r w:rsidR="00AF3517">
        <w:rPr>
          <w:rFonts w:ascii="Times New Roman" w:hAnsi="Times New Roman" w:cs="Times New Roman"/>
          <w:sz w:val="24"/>
          <w:szCs w:val="24"/>
        </w:rPr>
        <w:t xml:space="preserve">a </w:t>
      </w:r>
      <w:r w:rsidR="00180ED1" w:rsidRPr="00D901D9">
        <w:rPr>
          <w:rFonts w:ascii="Times New Roman" w:hAnsi="Times New Roman" w:cs="Times New Roman"/>
          <w:sz w:val="24"/>
          <w:szCs w:val="24"/>
        </w:rPr>
        <w:t>rel</w:t>
      </w:r>
      <w:r w:rsidR="007C33FC">
        <w:rPr>
          <w:rFonts w:ascii="Times New Roman" w:hAnsi="Times New Roman" w:cs="Times New Roman"/>
          <w:sz w:val="24"/>
          <w:szCs w:val="24"/>
        </w:rPr>
        <w:t xml:space="preserve">ação entre a demanda prevista </w:t>
      </w:r>
      <w:r w:rsidR="007C33FC" w:rsidRPr="0005500F">
        <w:rPr>
          <w:rFonts w:ascii="Times New Roman" w:hAnsi="Times New Roman" w:cs="Times New Roman"/>
          <w:sz w:val="24"/>
          <w:szCs w:val="24"/>
        </w:rPr>
        <w:t>e</w:t>
      </w:r>
      <w:r w:rsidR="007C33FC">
        <w:rPr>
          <w:rFonts w:ascii="Times New Roman" w:hAnsi="Times New Roman" w:cs="Times New Roman"/>
          <w:sz w:val="24"/>
          <w:szCs w:val="24"/>
        </w:rPr>
        <w:t xml:space="preserve"> </w:t>
      </w:r>
      <w:r w:rsidR="00180ED1" w:rsidRPr="00D901D9">
        <w:rPr>
          <w:rFonts w:ascii="Times New Roman" w:hAnsi="Times New Roman" w:cs="Times New Roman"/>
          <w:sz w:val="24"/>
          <w:szCs w:val="24"/>
        </w:rPr>
        <w:t>quantidade a ser contrat</w:t>
      </w:r>
      <w:r w:rsidR="0068663C">
        <w:rPr>
          <w:rFonts w:ascii="Times New Roman" w:hAnsi="Times New Roman" w:cs="Times New Roman"/>
          <w:sz w:val="24"/>
          <w:szCs w:val="24"/>
        </w:rPr>
        <w:t>ada e os resultados pretendidos;</w:t>
      </w:r>
      <w:r w:rsidR="00180ED1" w:rsidRPr="00D901D9">
        <w:rPr>
          <w:rFonts w:ascii="Times New Roman" w:hAnsi="Times New Roman" w:cs="Times New Roman"/>
          <w:sz w:val="24"/>
          <w:szCs w:val="24"/>
        </w:rPr>
        <w:t xml:space="preserve"> </w:t>
      </w:r>
      <w:r w:rsidR="00180ED1" w:rsidRPr="0005500F">
        <w:rPr>
          <w:rFonts w:ascii="Times New Roman" w:hAnsi="Times New Roman" w:cs="Times New Roman"/>
          <w:sz w:val="24"/>
          <w:szCs w:val="24"/>
        </w:rPr>
        <w:t>demonstrativo de economicidade</w:t>
      </w:r>
      <w:r w:rsidR="0068663C">
        <w:rPr>
          <w:rFonts w:ascii="Times New Roman" w:hAnsi="Times New Roman" w:cs="Times New Roman"/>
          <w:sz w:val="24"/>
          <w:szCs w:val="24"/>
        </w:rPr>
        <w:t xml:space="preserve"> </w:t>
      </w:r>
      <w:r w:rsidR="0005500F">
        <w:rPr>
          <w:rFonts w:ascii="Times New Roman" w:hAnsi="Times New Roman" w:cs="Times New Roman"/>
          <w:sz w:val="24"/>
          <w:szCs w:val="24"/>
        </w:rPr>
        <w:t>da solução a ser contratada</w:t>
      </w:r>
      <w:r w:rsidR="00180ED1" w:rsidRPr="00D901D9">
        <w:rPr>
          <w:rFonts w:ascii="Times New Roman" w:hAnsi="Times New Roman" w:cs="Times New Roman"/>
          <w:sz w:val="24"/>
          <w:szCs w:val="24"/>
        </w:rPr>
        <w:t xml:space="preserve"> e </w:t>
      </w:r>
      <w:r w:rsidR="0005500F">
        <w:rPr>
          <w:rFonts w:ascii="Times New Roman" w:hAnsi="Times New Roman" w:cs="Times New Roman"/>
          <w:sz w:val="24"/>
          <w:szCs w:val="24"/>
        </w:rPr>
        <w:t>o</w:t>
      </w:r>
      <w:r w:rsidR="0068663C">
        <w:rPr>
          <w:rFonts w:ascii="Times New Roman" w:hAnsi="Times New Roman" w:cs="Times New Roman"/>
          <w:sz w:val="24"/>
          <w:szCs w:val="24"/>
        </w:rPr>
        <w:t xml:space="preserve"> </w:t>
      </w:r>
      <w:r w:rsidR="00180ED1" w:rsidRPr="00D901D9">
        <w:rPr>
          <w:rFonts w:ascii="Times New Roman" w:hAnsi="Times New Roman" w:cs="Times New Roman"/>
          <w:sz w:val="24"/>
          <w:szCs w:val="24"/>
        </w:rPr>
        <w:t>melhor aproveitamento de recursos humanos, materiais e f</w:t>
      </w:r>
      <w:r w:rsidR="000C5544">
        <w:rPr>
          <w:rFonts w:ascii="Times New Roman" w:hAnsi="Times New Roman" w:cs="Times New Roman"/>
          <w:sz w:val="24"/>
          <w:szCs w:val="24"/>
        </w:rPr>
        <w:t>inanceiros</w:t>
      </w:r>
      <w:r w:rsidR="00C15601">
        <w:rPr>
          <w:rFonts w:ascii="Times New Roman" w:hAnsi="Times New Roman" w:cs="Times New Roman"/>
          <w:sz w:val="24"/>
          <w:szCs w:val="24"/>
        </w:rPr>
        <w:t xml:space="preserve">, devendo anexá-los ao </w:t>
      </w:r>
      <w:r w:rsidR="00C15601" w:rsidRPr="00D901D9">
        <w:rPr>
          <w:rFonts w:ascii="Times New Roman" w:hAnsi="Times New Roman" w:cs="Times New Roman"/>
          <w:sz w:val="24"/>
          <w:szCs w:val="24"/>
        </w:rPr>
        <w:t>Formulário de Aquisição de Bens e Serviços</w:t>
      </w:r>
      <w:r w:rsidR="000C5544">
        <w:rPr>
          <w:rFonts w:ascii="Times New Roman" w:hAnsi="Times New Roman" w:cs="Times New Roman"/>
          <w:sz w:val="24"/>
          <w:szCs w:val="24"/>
        </w:rPr>
        <w:t xml:space="preserve">. 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(Ref. subitem 2.</w:t>
      </w:r>
      <w:r w:rsidR="000C5544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D901D9" w:rsidRPr="00D901D9" w:rsidRDefault="00D901D9" w:rsidP="00D901D9">
      <w:pPr>
        <w:pStyle w:val="TextosemFormata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F12D6" w:rsidRPr="00D901D9">
        <w:rPr>
          <w:rFonts w:ascii="Times New Roman" w:hAnsi="Times New Roman" w:cs="Times New Roman"/>
          <w:b/>
          <w:sz w:val="24"/>
          <w:szCs w:val="24"/>
          <w:lang w:val="x-none"/>
        </w:rPr>
        <w:t>.2</w:t>
      </w:r>
      <w:r w:rsidR="00E96351" w:rsidRPr="00D901D9">
        <w:rPr>
          <w:rFonts w:ascii="Times New Roman" w:hAnsi="Times New Roman" w:cs="Times New Roman"/>
          <w:b/>
          <w:sz w:val="24"/>
          <w:szCs w:val="24"/>
          <w:lang w:val="x-none"/>
        </w:rPr>
        <w:t>.</w:t>
      </w:r>
      <w:r w:rsidR="00EA0F5F" w:rsidRPr="00D901D9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</w:t>
      </w:r>
      <w:r w:rsidR="009D3ED0" w:rsidRPr="00D901D9">
        <w:rPr>
          <w:rFonts w:ascii="Times New Roman" w:hAnsi="Times New Roman" w:cs="Times New Roman"/>
          <w:sz w:val="24"/>
          <w:szCs w:val="24"/>
        </w:rPr>
        <w:t xml:space="preserve">Recomendar à </w:t>
      </w:r>
      <w:r w:rsidR="000C5544">
        <w:rPr>
          <w:rFonts w:ascii="Times New Roman" w:hAnsi="Times New Roman" w:cs="Times New Roman"/>
          <w:sz w:val="24"/>
          <w:szCs w:val="24"/>
        </w:rPr>
        <w:t>ASJUR 1</w:t>
      </w:r>
      <w:r w:rsidR="009D3ED0" w:rsidRPr="00D901D9">
        <w:rPr>
          <w:rFonts w:ascii="Times New Roman" w:hAnsi="Times New Roman" w:cs="Times New Roman"/>
          <w:sz w:val="24"/>
          <w:szCs w:val="24"/>
        </w:rPr>
        <w:t xml:space="preserve">, que </w:t>
      </w:r>
      <w:r w:rsidR="000C5544">
        <w:rPr>
          <w:rFonts w:ascii="Times New Roman" w:hAnsi="Times New Roman" w:cs="Times New Roman"/>
          <w:sz w:val="24"/>
          <w:szCs w:val="24"/>
        </w:rPr>
        <w:t xml:space="preserve">se </w:t>
      </w:r>
      <w:r w:rsidR="000C5544" w:rsidRPr="00944AFA">
        <w:rPr>
          <w:rFonts w:ascii="Times New Roman" w:hAnsi="Times New Roman" w:cs="Times New Roman"/>
          <w:sz w:val="24"/>
          <w:szCs w:val="24"/>
        </w:rPr>
        <w:t>a</w:t>
      </w:r>
      <w:r w:rsidR="00944AFA" w:rsidRPr="00944AFA">
        <w:rPr>
          <w:rFonts w:ascii="Times New Roman" w:hAnsi="Times New Roman" w:cs="Times New Roman"/>
          <w:sz w:val="24"/>
          <w:szCs w:val="24"/>
        </w:rPr>
        <w:t>bstenha</w:t>
      </w:r>
      <w:r w:rsidR="004B6FD9">
        <w:rPr>
          <w:rFonts w:ascii="Times New Roman" w:hAnsi="Times New Roman" w:cs="Times New Roman"/>
          <w:sz w:val="24"/>
          <w:szCs w:val="24"/>
        </w:rPr>
        <w:t xml:space="preserve"> </w:t>
      </w:r>
      <w:r w:rsidR="000C5544">
        <w:rPr>
          <w:rFonts w:ascii="Times New Roman" w:hAnsi="Times New Roman" w:cs="Times New Roman"/>
          <w:sz w:val="24"/>
          <w:szCs w:val="24"/>
        </w:rPr>
        <w:t xml:space="preserve">de </w:t>
      </w:r>
      <w:r w:rsidR="009D3ED0" w:rsidRPr="00D901D9">
        <w:rPr>
          <w:rFonts w:ascii="Times New Roman" w:hAnsi="Times New Roman" w:cs="Times New Roman"/>
          <w:sz w:val="24"/>
          <w:szCs w:val="24"/>
        </w:rPr>
        <w:t>aprov</w:t>
      </w:r>
      <w:r w:rsidR="000C5544">
        <w:rPr>
          <w:rFonts w:ascii="Times New Roman" w:hAnsi="Times New Roman" w:cs="Times New Roman"/>
          <w:sz w:val="24"/>
          <w:szCs w:val="24"/>
        </w:rPr>
        <w:t xml:space="preserve">ar </w:t>
      </w:r>
      <w:r w:rsidR="009D3ED0" w:rsidRPr="00D901D9">
        <w:rPr>
          <w:rFonts w:ascii="Times New Roman" w:hAnsi="Times New Roman" w:cs="Times New Roman"/>
          <w:sz w:val="24"/>
          <w:szCs w:val="24"/>
        </w:rPr>
        <w:t xml:space="preserve">processos de contratações </w:t>
      </w:r>
      <w:r w:rsidR="00C15601">
        <w:rPr>
          <w:rFonts w:ascii="Times New Roman" w:hAnsi="Times New Roman" w:cs="Times New Roman"/>
          <w:sz w:val="24"/>
          <w:szCs w:val="24"/>
        </w:rPr>
        <w:t xml:space="preserve">de TI </w:t>
      </w:r>
      <w:r w:rsidR="009D3ED0" w:rsidRPr="00D901D9">
        <w:rPr>
          <w:rFonts w:ascii="Times New Roman" w:hAnsi="Times New Roman" w:cs="Times New Roman"/>
          <w:sz w:val="24"/>
          <w:szCs w:val="24"/>
        </w:rPr>
        <w:t>que não contenham os estudos técnicos preliminares</w:t>
      </w:r>
      <w:r w:rsidR="000C5544">
        <w:rPr>
          <w:rFonts w:ascii="Times New Roman" w:hAnsi="Times New Roman" w:cs="Times New Roman"/>
          <w:sz w:val="24"/>
          <w:szCs w:val="24"/>
        </w:rPr>
        <w:t>.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(Ref. subitem 2.1).</w:t>
      </w:r>
    </w:p>
    <w:p w:rsidR="00D901D9" w:rsidRPr="00D901D9" w:rsidRDefault="00D901D9" w:rsidP="00D901D9">
      <w:pPr>
        <w:pStyle w:val="TextosemFormata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x-non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E96351" w:rsidRPr="00D901D9">
        <w:rPr>
          <w:rFonts w:ascii="Times New Roman" w:hAnsi="Times New Roman" w:cs="Times New Roman"/>
          <w:b/>
          <w:sz w:val="24"/>
          <w:szCs w:val="24"/>
          <w:lang w:val="x-none"/>
        </w:rPr>
        <w:t>.</w:t>
      </w:r>
      <w:r w:rsidR="005B5D75" w:rsidRPr="00D901D9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</w:t>
      </w:r>
      <w:r w:rsidR="0051267C" w:rsidRPr="00D901D9">
        <w:rPr>
          <w:rFonts w:ascii="Times New Roman" w:hAnsi="Times New Roman" w:cs="Times New Roman"/>
          <w:sz w:val="24"/>
          <w:szCs w:val="24"/>
        </w:rPr>
        <w:t xml:space="preserve">Recomendar às unidades </w:t>
      </w:r>
      <w:r w:rsidR="00C15601">
        <w:rPr>
          <w:rFonts w:ascii="Times New Roman" w:hAnsi="Times New Roman" w:cs="Times New Roman"/>
          <w:sz w:val="24"/>
          <w:szCs w:val="24"/>
        </w:rPr>
        <w:t>demandantes</w:t>
      </w:r>
      <w:r w:rsidR="0051267C" w:rsidRPr="00D901D9">
        <w:rPr>
          <w:rFonts w:ascii="Times New Roman" w:hAnsi="Times New Roman" w:cs="Times New Roman"/>
          <w:sz w:val="24"/>
          <w:szCs w:val="24"/>
        </w:rPr>
        <w:t xml:space="preserve">, </w:t>
      </w:r>
      <w:r w:rsidR="00C15601">
        <w:rPr>
          <w:rFonts w:ascii="Times New Roman" w:hAnsi="Times New Roman" w:cs="Times New Roman"/>
          <w:sz w:val="24"/>
          <w:szCs w:val="24"/>
        </w:rPr>
        <w:t>que verificada</w:t>
      </w:r>
      <w:r w:rsidR="0051267C" w:rsidRPr="00D901D9">
        <w:rPr>
          <w:rFonts w:ascii="Times New Roman" w:hAnsi="Times New Roman" w:cs="Times New Roman"/>
          <w:sz w:val="24"/>
          <w:szCs w:val="24"/>
        </w:rPr>
        <w:t xml:space="preserve"> a complexidade e/ou ineditismo do objeto a ser licitado, formalize comissão ou grupo de trabalho interdisciplinar, para a elaboração de Termo de Referência ou Projeto Básico com base nos Es</w:t>
      </w:r>
      <w:r>
        <w:rPr>
          <w:rFonts w:ascii="Times New Roman" w:hAnsi="Times New Roman" w:cs="Times New Roman"/>
          <w:sz w:val="24"/>
          <w:szCs w:val="24"/>
        </w:rPr>
        <w:t>tudos Técnicos Preliminares</w:t>
      </w:r>
      <w:r w:rsidR="00C15601">
        <w:rPr>
          <w:rFonts w:ascii="Times New Roman" w:hAnsi="Times New Roman" w:cs="Times New Roman"/>
          <w:sz w:val="24"/>
          <w:szCs w:val="24"/>
        </w:rPr>
        <w:t>, devendo, inclusive</w:t>
      </w:r>
      <w:r w:rsidR="0005500F">
        <w:rPr>
          <w:rFonts w:ascii="Times New Roman" w:hAnsi="Times New Roman" w:cs="Times New Roman"/>
          <w:sz w:val="24"/>
          <w:szCs w:val="24"/>
        </w:rPr>
        <w:t>,</w:t>
      </w:r>
      <w:r w:rsidR="00C15601">
        <w:rPr>
          <w:rFonts w:ascii="Times New Roman" w:hAnsi="Times New Roman" w:cs="Times New Roman"/>
          <w:sz w:val="24"/>
          <w:szCs w:val="24"/>
        </w:rPr>
        <w:t xml:space="preserve"> ser submetido à validação do gestor do contrato. 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(Ref. subitem 2.</w:t>
      </w:r>
      <w:r w:rsidR="00C15601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  <w:r w:rsidR="0006711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D901D9" w:rsidRPr="00D901D9" w:rsidRDefault="00D901D9" w:rsidP="00D901D9">
      <w:pPr>
        <w:pStyle w:val="TextosemFormata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x-non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B87381" w:rsidRPr="00D901D9">
        <w:rPr>
          <w:rFonts w:ascii="Times New Roman" w:hAnsi="Times New Roman" w:cs="Times New Roman"/>
          <w:b/>
          <w:sz w:val="24"/>
          <w:szCs w:val="24"/>
          <w:lang w:val="x-none"/>
        </w:rPr>
        <w:t>.</w:t>
      </w:r>
      <w:r w:rsidR="005B5D75" w:rsidRPr="00D901D9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</w:t>
      </w:r>
      <w:r w:rsidR="0051267C" w:rsidRPr="00D901D9">
        <w:rPr>
          <w:rFonts w:ascii="Times New Roman" w:hAnsi="Times New Roman" w:cs="Times New Roman"/>
          <w:sz w:val="24"/>
          <w:szCs w:val="24"/>
        </w:rPr>
        <w:t xml:space="preserve">Recomendar </w:t>
      </w:r>
      <w:r w:rsidR="009B4103" w:rsidRPr="00D901D9">
        <w:rPr>
          <w:rFonts w:ascii="Times New Roman" w:hAnsi="Times New Roman" w:cs="Times New Roman"/>
          <w:sz w:val="24"/>
          <w:szCs w:val="24"/>
        </w:rPr>
        <w:t xml:space="preserve">às unidades </w:t>
      </w:r>
      <w:r w:rsidR="009B4103">
        <w:rPr>
          <w:rFonts w:ascii="Times New Roman" w:hAnsi="Times New Roman" w:cs="Times New Roman"/>
          <w:sz w:val="24"/>
          <w:szCs w:val="24"/>
        </w:rPr>
        <w:t>demandantes</w:t>
      </w:r>
      <w:r w:rsidR="009B4103" w:rsidRPr="00D901D9">
        <w:rPr>
          <w:rFonts w:ascii="Times New Roman" w:hAnsi="Times New Roman" w:cs="Times New Roman"/>
          <w:sz w:val="24"/>
          <w:szCs w:val="24"/>
        </w:rPr>
        <w:t xml:space="preserve"> </w:t>
      </w:r>
      <w:r w:rsidR="009B4103">
        <w:rPr>
          <w:rFonts w:ascii="Times New Roman" w:hAnsi="Times New Roman" w:cs="Times New Roman"/>
          <w:sz w:val="24"/>
          <w:szCs w:val="24"/>
        </w:rPr>
        <w:t xml:space="preserve">e/ou </w:t>
      </w:r>
      <w:r w:rsidR="009B4103" w:rsidRPr="00D901D9">
        <w:rPr>
          <w:rFonts w:ascii="Times New Roman" w:hAnsi="Times New Roman" w:cs="Times New Roman"/>
          <w:sz w:val="24"/>
          <w:szCs w:val="24"/>
        </w:rPr>
        <w:t xml:space="preserve">grupo de trabalho </w:t>
      </w:r>
      <w:r w:rsidR="0051267C" w:rsidRPr="00D901D9">
        <w:rPr>
          <w:rFonts w:ascii="Times New Roman" w:hAnsi="Times New Roman" w:cs="Times New Roman"/>
          <w:sz w:val="24"/>
          <w:szCs w:val="24"/>
        </w:rPr>
        <w:t xml:space="preserve">que </w:t>
      </w:r>
      <w:r w:rsidR="009B4103">
        <w:rPr>
          <w:rFonts w:ascii="Times New Roman" w:hAnsi="Times New Roman" w:cs="Times New Roman"/>
          <w:sz w:val="24"/>
          <w:szCs w:val="24"/>
        </w:rPr>
        <w:t>adotem</w:t>
      </w:r>
      <w:r w:rsidR="0051267C" w:rsidRPr="00D901D9">
        <w:rPr>
          <w:rFonts w:ascii="Times New Roman" w:hAnsi="Times New Roman" w:cs="Times New Roman"/>
          <w:sz w:val="24"/>
          <w:szCs w:val="24"/>
        </w:rPr>
        <w:t xml:space="preserve"> como fonte de orientação na elaboração de termos de referência, projetos básicos e editais, o relatório produzido pela Comissão de Sustentabilidade Ambiental instituíd</w:t>
      </w:r>
      <w:r w:rsidR="00545E16">
        <w:rPr>
          <w:rFonts w:ascii="Times New Roman" w:hAnsi="Times New Roman" w:cs="Times New Roman"/>
          <w:sz w:val="24"/>
          <w:szCs w:val="24"/>
        </w:rPr>
        <w:t>o</w:t>
      </w:r>
      <w:r w:rsidR="0051267C" w:rsidRPr="00D901D9">
        <w:rPr>
          <w:rFonts w:ascii="Times New Roman" w:hAnsi="Times New Roman" w:cs="Times New Roman"/>
          <w:sz w:val="24"/>
          <w:szCs w:val="24"/>
        </w:rPr>
        <w:t xml:space="preserve"> pela Portaria DG </w:t>
      </w:r>
      <w:r w:rsidR="004F5280" w:rsidRPr="00D901D9">
        <w:rPr>
          <w:rFonts w:ascii="Times New Roman" w:hAnsi="Times New Roman" w:cs="Times New Roman"/>
          <w:sz w:val="24"/>
          <w:szCs w:val="24"/>
        </w:rPr>
        <w:t>nº</w:t>
      </w:r>
      <w:r w:rsidR="0051267C" w:rsidRPr="00D901D9">
        <w:rPr>
          <w:rFonts w:ascii="Times New Roman" w:hAnsi="Times New Roman" w:cs="Times New Roman"/>
          <w:sz w:val="24"/>
          <w:szCs w:val="24"/>
        </w:rPr>
        <w:t xml:space="preserve"> 224/2014</w:t>
      </w:r>
      <w:r w:rsidR="009B4103">
        <w:rPr>
          <w:rFonts w:ascii="Times New Roman" w:hAnsi="Times New Roman" w:cs="Times New Roman"/>
          <w:sz w:val="24"/>
          <w:szCs w:val="24"/>
        </w:rPr>
        <w:t xml:space="preserve"> </w:t>
      </w:r>
      <w:r w:rsidR="0051267C" w:rsidRPr="00D901D9">
        <w:rPr>
          <w:rFonts w:ascii="Times New Roman" w:hAnsi="Times New Roman" w:cs="Times New Roman"/>
          <w:sz w:val="24"/>
          <w:szCs w:val="24"/>
        </w:rPr>
        <w:t>– Doc. PAD nº. 49.942/2015</w:t>
      </w:r>
      <w:r w:rsidR="00AF2001" w:rsidRPr="00D901D9">
        <w:rPr>
          <w:rFonts w:ascii="Times New Roman" w:hAnsi="Times New Roman" w:cs="Times New Roman"/>
          <w:sz w:val="24"/>
          <w:szCs w:val="24"/>
        </w:rPr>
        <w:t>, PAD nº. 5.914/2015</w:t>
      </w:r>
      <w:r w:rsidR="0051267C" w:rsidRPr="00D901D9">
        <w:rPr>
          <w:rFonts w:ascii="Times New Roman" w:hAnsi="Times New Roman" w:cs="Times New Roman"/>
          <w:sz w:val="24"/>
          <w:szCs w:val="24"/>
        </w:rPr>
        <w:t xml:space="preserve"> </w:t>
      </w:r>
      <w:r w:rsidR="0051267C" w:rsidRPr="0005500F">
        <w:rPr>
          <w:rFonts w:ascii="Times New Roman" w:hAnsi="Times New Roman" w:cs="Times New Roman"/>
          <w:sz w:val="24"/>
          <w:szCs w:val="24"/>
        </w:rPr>
        <w:t>–,</w:t>
      </w:r>
      <w:r w:rsidR="0051267C" w:rsidRPr="00D901D9">
        <w:rPr>
          <w:rFonts w:ascii="Times New Roman" w:hAnsi="Times New Roman" w:cs="Times New Roman"/>
          <w:sz w:val="24"/>
          <w:szCs w:val="24"/>
        </w:rPr>
        <w:t xml:space="preserve"> bem como </w:t>
      </w:r>
      <w:r w:rsidR="00545E16">
        <w:rPr>
          <w:rFonts w:ascii="Times New Roman" w:hAnsi="Times New Roman" w:cs="Times New Roman"/>
          <w:sz w:val="24"/>
          <w:szCs w:val="24"/>
        </w:rPr>
        <w:t xml:space="preserve">consultem o </w:t>
      </w:r>
      <w:r w:rsidR="0051267C" w:rsidRPr="00D901D9">
        <w:rPr>
          <w:rFonts w:ascii="Times New Roman" w:hAnsi="Times New Roman" w:cs="Times New Roman"/>
          <w:sz w:val="24"/>
          <w:szCs w:val="24"/>
        </w:rPr>
        <w:t xml:space="preserve">banco de editais sustentáveis disponível no Portal </w:t>
      </w:r>
      <w:r w:rsidR="0051267C" w:rsidRPr="00D901D9">
        <w:rPr>
          <w:rFonts w:ascii="Times New Roman" w:hAnsi="Times New Roman" w:cs="Times New Roman"/>
          <w:i/>
          <w:sz w:val="24"/>
          <w:szCs w:val="24"/>
        </w:rPr>
        <w:t>Comprasnet</w:t>
      </w:r>
      <w:r w:rsidR="009B4103">
        <w:rPr>
          <w:rFonts w:ascii="Times New Roman" w:hAnsi="Times New Roman" w:cs="Times New Roman"/>
          <w:i/>
          <w:sz w:val="24"/>
          <w:szCs w:val="24"/>
        </w:rPr>
        <w:t>.</w:t>
      </w:r>
      <w:r w:rsidR="0051267C" w:rsidRPr="00D901D9">
        <w:rPr>
          <w:rFonts w:ascii="Times New Roman" w:hAnsi="Times New Roman" w:cs="Times New Roman"/>
          <w:sz w:val="24"/>
          <w:szCs w:val="24"/>
        </w:rPr>
        <w:t xml:space="preserve"> 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(Ref. subitem 2.</w:t>
      </w:r>
      <w:r w:rsidR="009B4103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:rsidR="00D901D9" w:rsidRPr="00D901D9" w:rsidRDefault="00D901D9" w:rsidP="00D901D9">
      <w:pPr>
        <w:pStyle w:val="TextosemFormata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9B410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362D5" w:rsidRPr="00D901D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F2001" w:rsidRPr="00D90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2001" w:rsidRPr="00D901D9">
        <w:rPr>
          <w:rFonts w:ascii="Times New Roman" w:hAnsi="Times New Roman" w:cs="Times New Roman"/>
          <w:bCs/>
          <w:sz w:val="24"/>
          <w:szCs w:val="24"/>
        </w:rPr>
        <w:t xml:space="preserve">Recomendar à </w:t>
      </w:r>
      <w:r w:rsidR="009B4103">
        <w:rPr>
          <w:rFonts w:ascii="Times New Roman" w:hAnsi="Times New Roman" w:cs="Times New Roman"/>
          <w:bCs/>
          <w:sz w:val="24"/>
          <w:szCs w:val="24"/>
        </w:rPr>
        <w:t>SGA</w:t>
      </w:r>
      <w:r w:rsidR="00AF2001" w:rsidRPr="00D901D9">
        <w:rPr>
          <w:rFonts w:ascii="Times New Roman" w:hAnsi="Times New Roman" w:cs="Times New Roman"/>
          <w:bCs/>
          <w:sz w:val="24"/>
          <w:szCs w:val="24"/>
        </w:rPr>
        <w:t xml:space="preserve"> que, em obediência ao princípio da segregação de funções, </w:t>
      </w:r>
      <w:r>
        <w:rPr>
          <w:rFonts w:ascii="Times New Roman" w:hAnsi="Times New Roman" w:cs="Times New Roman"/>
          <w:bCs/>
          <w:sz w:val="24"/>
          <w:szCs w:val="24"/>
        </w:rPr>
        <w:t>abstenha-se de nomear</w:t>
      </w:r>
      <w:r w:rsidR="00AF2001" w:rsidRPr="00D901D9">
        <w:rPr>
          <w:rFonts w:ascii="Times New Roman" w:hAnsi="Times New Roman" w:cs="Times New Roman"/>
          <w:bCs/>
          <w:sz w:val="24"/>
          <w:szCs w:val="24"/>
        </w:rPr>
        <w:t xml:space="preserve"> como pregoeiro o servidor que </w:t>
      </w:r>
      <w:r w:rsidR="009B4103">
        <w:rPr>
          <w:rFonts w:ascii="Times New Roman" w:hAnsi="Times New Roman" w:cs="Times New Roman"/>
          <w:bCs/>
          <w:sz w:val="24"/>
          <w:szCs w:val="24"/>
        </w:rPr>
        <w:t>tenha</w:t>
      </w:r>
      <w:r w:rsidR="00AF2001" w:rsidRPr="00D901D9">
        <w:rPr>
          <w:rFonts w:ascii="Times New Roman" w:hAnsi="Times New Roman" w:cs="Times New Roman"/>
          <w:bCs/>
          <w:sz w:val="24"/>
          <w:szCs w:val="24"/>
        </w:rPr>
        <w:t xml:space="preserve"> participado da fase de planejamento da contratação e/ou elab</w:t>
      </w:r>
      <w:r w:rsidR="002C13F8">
        <w:rPr>
          <w:rFonts w:ascii="Times New Roman" w:hAnsi="Times New Roman" w:cs="Times New Roman"/>
          <w:bCs/>
          <w:sz w:val="24"/>
          <w:szCs w:val="24"/>
        </w:rPr>
        <w:t>oração de Termo de Referência,</w:t>
      </w:r>
      <w:r w:rsidR="00AF2001" w:rsidRPr="00D901D9">
        <w:rPr>
          <w:rFonts w:ascii="Times New Roman" w:hAnsi="Times New Roman" w:cs="Times New Roman"/>
          <w:bCs/>
          <w:sz w:val="24"/>
          <w:szCs w:val="24"/>
        </w:rPr>
        <w:t xml:space="preserve"> Projeto Básico</w:t>
      </w:r>
      <w:r w:rsidR="002C13F8">
        <w:rPr>
          <w:rFonts w:ascii="Times New Roman" w:hAnsi="Times New Roman" w:cs="Times New Roman"/>
          <w:bCs/>
          <w:sz w:val="24"/>
          <w:szCs w:val="24"/>
        </w:rPr>
        <w:t xml:space="preserve"> ou do edital</w:t>
      </w:r>
      <w:r w:rsidR="009B4103">
        <w:rPr>
          <w:rFonts w:ascii="Times New Roman" w:hAnsi="Times New Roman" w:cs="Times New Roman"/>
          <w:bCs/>
          <w:sz w:val="24"/>
          <w:szCs w:val="24"/>
        </w:rPr>
        <w:t>.</w:t>
      </w:r>
      <w:r w:rsidR="00AF2001" w:rsidRPr="00D901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(Ref. subitem 2.</w:t>
      </w:r>
      <w:r w:rsidR="009B4103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:rsidR="00D901D9" w:rsidRPr="00D901D9" w:rsidRDefault="00D901D9" w:rsidP="00D901D9">
      <w:pPr>
        <w:pStyle w:val="TextosemFormata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9B410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362D5" w:rsidRPr="00D901D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F2001" w:rsidRPr="00D90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2001" w:rsidRPr="00D901D9">
        <w:rPr>
          <w:rFonts w:ascii="Times New Roman" w:hAnsi="Times New Roman" w:cs="Times New Roman"/>
          <w:bCs/>
          <w:sz w:val="24"/>
          <w:szCs w:val="24"/>
        </w:rPr>
        <w:t xml:space="preserve">Recomendar à </w:t>
      </w:r>
      <w:r w:rsidR="00545E16">
        <w:rPr>
          <w:rFonts w:ascii="Times New Roman" w:hAnsi="Times New Roman" w:cs="Times New Roman"/>
          <w:bCs/>
          <w:sz w:val="24"/>
          <w:szCs w:val="24"/>
        </w:rPr>
        <w:t>SEAQUI</w:t>
      </w:r>
      <w:r w:rsidR="00AF2001" w:rsidRPr="00D901D9">
        <w:rPr>
          <w:rFonts w:ascii="Times New Roman" w:hAnsi="Times New Roman" w:cs="Times New Roman"/>
          <w:bCs/>
          <w:sz w:val="24"/>
          <w:szCs w:val="24"/>
        </w:rPr>
        <w:t xml:space="preserve"> que, na fase de </w:t>
      </w:r>
      <w:r w:rsidR="006138F2" w:rsidRPr="00D901D9">
        <w:rPr>
          <w:rFonts w:ascii="Times New Roman" w:hAnsi="Times New Roman" w:cs="Times New Roman"/>
          <w:bCs/>
          <w:sz w:val="24"/>
          <w:szCs w:val="24"/>
        </w:rPr>
        <w:t>pesquisa de mercado</w:t>
      </w:r>
      <w:r w:rsidR="00AF2001" w:rsidRPr="00D901D9">
        <w:rPr>
          <w:rFonts w:ascii="Times New Roman" w:hAnsi="Times New Roman" w:cs="Times New Roman"/>
          <w:bCs/>
          <w:sz w:val="24"/>
          <w:szCs w:val="24"/>
        </w:rPr>
        <w:t>, amplie</w:t>
      </w:r>
      <w:r w:rsidR="006138F2" w:rsidRPr="00D901D9">
        <w:rPr>
          <w:rFonts w:ascii="Times New Roman" w:hAnsi="Times New Roman" w:cs="Times New Roman"/>
          <w:bCs/>
          <w:sz w:val="24"/>
          <w:szCs w:val="24"/>
        </w:rPr>
        <w:t xml:space="preserve"> a cotação de preços</w:t>
      </w:r>
      <w:r w:rsidR="009B4103">
        <w:rPr>
          <w:rFonts w:ascii="Times New Roman" w:hAnsi="Times New Roman" w:cs="Times New Roman"/>
          <w:bCs/>
          <w:sz w:val="24"/>
          <w:szCs w:val="24"/>
        </w:rPr>
        <w:t>, conforme</w:t>
      </w:r>
      <w:r w:rsidR="006138F2" w:rsidRPr="00D901D9">
        <w:rPr>
          <w:rFonts w:ascii="Times New Roman" w:hAnsi="Times New Roman" w:cs="Times New Roman"/>
          <w:bCs/>
          <w:sz w:val="24"/>
          <w:szCs w:val="24"/>
        </w:rPr>
        <w:t xml:space="preserve"> parâmetros </w:t>
      </w:r>
      <w:r w:rsidR="009B4103">
        <w:rPr>
          <w:rFonts w:ascii="Times New Roman" w:hAnsi="Times New Roman" w:cs="Times New Roman"/>
          <w:bCs/>
          <w:sz w:val="24"/>
          <w:szCs w:val="24"/>
        </w:rPr>
        <w:t>estabelecidos pela</w:t>
      </w:r>
      <w:r w:rsidR="006138F2" w:rsidRPr="00D901D9">
        <w:rPr>
          <w:rFonts w:ascii="Times New Roman" w:hAnsi="Times New Roman" w:cs="Times New Roman"/>
          <w:bCs/>
          <w:sz w:val="24"/>
          <w:szCs w:val="24"/>
        </w:rPr>
        <w:t xml:space="preserve"> Portaria DG </w:t>
      </w:r>
      <w:r w:rsidR="004F5280" w:rsidRPr="00D901D9">
        <w:rPr>
          <w:rFonts w:ascii="Times New Roman" w:hAnsi="Times New Roman" w:cs="Times New Roman"/>
          <w:bCs/>
          <w:sz w:val="24"/>
          <w:szCs w:val="24"/>
        </w:rPr>
        <w:t>nº</w:t>
      </w:r>
      <w:r w:rsidR="006138F2" w:rsidRPr="00D901D9">
        <w:rPr>
          <w:rFonts w:ascii="Times New Roman" w:hAnsi="Times New Roman" w:cs="Times New Roman"/>
          <w:bCs/>
          <w:sz w:val="24"/>
          <w:szCs w:val="24"/>
        </w:rPr>
        <w:t xml:space="preserve"> 144, de 28 de agosto de 2015, e, quando da utilização da consulta direta aos fornecedores, </w:t>
      </w:r>
      <w:r w:rsidR="0006070A" w:rsidRPr="00D901D9">
        <w:rPr>
          <w:rFonts w:ascii="Times New Roman" w:hAnsi="Times New Roman" w:cs="Times New Roman"/>
          <w:bCs/>
          <w:sz w:val="24"/>
          <w:szCs w:val="24"/>
        </w:rPr>
        <w:t xml:space="preserve">justifique a excepcionalidade de obtenção de </w:t>
      </w:r>
      <w:r w:rsidR="0006070A" w:rsidRPr="00D901D9">
        <w:rPr>
          <w:rFonts w:ascii="Times New Roman" w:hAnsi="Times New Roman" w:cs="Times New Roman"/>
          <w:bCs/>
          <w:sz w:val="24"/>
          <w:szCs w:val="24"/>
        </w:rPr>
        <w:lastRenderedPageBreak/>
        <w:t>número infe</w:t>
      </w:r>
      <w:r w:rsidR="00BE32D4">
        <w:rPr>
          <w:rFonts w:ascii="Times New Roman" w:hAnsi="Times New Roman" w:cs="Times New Roman"/>
          <w:bCs/>
          <w:sz w:val="24"/>
          <w:szCs w:val="24"/>
        </w:rPr>
        <w:t xml:space="preserve">rior a três propostas de preços, </w:t>
      </w:r>
      <w:r w:rsidR="00BE32D4" w:rsidRPr="009B4103">
        <w:rPr>
          <w:rFonts w:ascii="Times New Roman" w:hAnsi="Times New Roman" w:cs="Times New Roman"/>
          <w:bCs/>
          <w:sz w:val="24"/>
          <w:szCs w:val="24"/>
        </w:rPr>
        <w:t>consultando a regularidade fiscal das empresas participantes da fase de cotação de preços em caso de prestação de serviços, consoante normativo do art. 11, §4° da Resolução TSE n° 23.234/2010</w:t>
      </w:r>
      <w:r w:rsidR="009B4103">
        <w:rPr>
          <w:rFonts w:ascii="Times New Roman" w:hAnsi="Times New Roman" w:cs="Times New Roman"/>
          <w:bCs/>
          <w:sz w:val="24"/>
          <w:szCs w:val="24"/>
        </w:rPr>
        <w:t>.</w:t>
      </w:r>
      <w:r w:rsidR="000C5544" w:rsidRPr="009B41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(Ref. subitem 2.</w:t>
      </w:r>
      <w:r w:rsidR="009B4103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:rsidR="00D901D9" w:rsidRPr="00D901D9" w:rsidRDefault="00D901D9" w:rsidP="00D901D9">
      <w:pPr>
        <w:pStyle w:val="TextosemFormata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9B410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362D5" w:rsidRPr="00D901D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6070A" w:rsidRPr="00D90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070A" w:rsidRPr="00D901D9">
        <w:rPr>
          <w:rFonts w:ascii="Times New Roman" w:hAnsi="Times New Roman" w:cs="Times New Roman"/>
          <w:bCs/>
          <w:sz w:val="24"/>
          <w:szCs w:val="24"/>
        </w:rPr>
        <w:t xml:space="preserve">Recomendar que, no fluxo do processo de contratação, em momento posterior à homologação da licitação, </w:t>
      </w:r>
      <w:r w:rsidR="00D44308" w:rsidRPr="00D901D9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545E16">
        <w:rPr>
          <w:rFonts w:ascii="Times New Roman" w:hAnsi="Times New Roman" w:cs="Times New Roman"/>
          <w:bCs/>
          <w:sz w:val="24"/>
          <w:szCs w:val="24"/>
        </w:rPr>
        <w:t>COGELIC</w:t>
      </w:r>
      <w:r w:rsidR="00D44308" w:rsidRPr="00D901D9">
        <w:rPr>
          <w:rFonts w:ascii="Times New Roman" w:hAnsi="Times New Roman" w:cs="Times New Roman"/>
          <w:bCs/>
          <w:sz w:val="24"/>
          <w:szCs w:val="24"/>
        </w:rPr>
        <w:t xml:space="preserve"> realize análise qualitativa do resultado da pesquisa de preços em cotejo com o resultado obtido no certame, </w:t>
      </w:r>
      <w:r w:rsidR="00002214">
        <w:rPr>
          <w:rFonts w:ascii="Times New Roman" w:hAnsi="Times New Roman" w:cs="Times New Roman"/>
          <w:bCs/>
          <w:sz w:val="24"/>
          <w:szCs w:val="24"/>
        </w:rPr>
        <w:t xml:space="preserve">assegurando a devida </w:t>
      </w:r>
      <w:r w:rsidR="00D44308" w:rsidRPr="00D901D9">
        <w:rPr>
          <w:rFonts w:ascii="Times New Roman" w:hAnsi="Times New Roman" w:cs="Times New Roman"/>
          <w:bCs/>
          <w:sz w:val="24"/>
          <w:szCs w:val="24"/>
        </w:rPr>
        <w:t xml:space="preserve">ciência </w:t>
      </w:r>
      <w:r w:rsidR="00002214" w:rsidRPr="00D901D9">
        <w:rPr>
          <w:rFonts w:ascii="Times New Roman" w:hAnsi="Times New Roman" w:cs="Times New Roman"/>
          <w:bCs/>
          <w:sz w:val="24"/>
          <w:szCs w:val="24"/>
        </w:rPr>
        <w:t>à SEAQUI</w:t>
      </w:r>
      <w:r w:rsidR="00002214">
        <w:rPr>
          <w:rFonts w:ascii="Times New Roman" w:hAnsi="Times New Roman" w:cs="Times New Roman"/>
          <w:bCs/>
          <w:sz w:val="24"/>
          <w:szCs w:val="24"/>
        </w:rPr>
        <w:t>, para aprimoramento das futuras cotações.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(Ref. subitem 2.</w:t>
      </w:r>
      <w:r w:rsidR="009B4103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:rsidR="00D901D9" w:rsidRPr="00D901D9" w:rsidRDefault="00D901D9" w:rsidP="00D901D9">
      <w:pPr>
        <w:pStyle w:val="TextosemFormata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9B410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9362D5" w:rsidRPr="00D901D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B7DF4" w:rsidRPr="00D90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58EE" w:rsidRPr="00D901D9">
        <w:rPr>
          <w:rFonts w:ascii="Times New Roman" w:hAnsi="Times New Roman" w:cs="Times New Roman"/>
          <w:bCs/>
          <w:sz w:val="24"/>
          <w:szCs w:val="24"/>
        </w:rPr>
        <w:t xml:space="preserve">Recomendar ao pregoeiro, </w:t>
      </w:r>
      <w:r w:rsidR="00C14E7E">
        <w:rPr>
          <w:rFonts w:ascii="Times New Roman" w:hAnsi="Times New Roman" w:cs="Times New Roman"/>
          <w:bCs/>
          <w:sz w:val="24"/>
          <w:szCs w:val="24"/>
        </w:rPr>
        <w:t>ASJUR 1</w:t>
      </w:r>
      <w:r w:rsidR="007358EE" w:rsidRPr="00D901D9">
        <w:rPr>
          <w:rFonts w:ascii="Times New Roman" w:hAnsi="Times New Roman" w:cs="Times New Roman"/>
          <w:bCs/>
          <w:sz w:val="24"/>
          <w:szCs w:val="24"/>
        </w:rPr>
        <w:t xml:space="preserve"> e </w:t>
      </w:r>
      <w:r w:rsidR="00C14E7E">
        <w:rPr>
          <w:rFonts w:ascii="Times New Roman" w:hAnsi="Times New Roman" w:cs="Times New Roman"/>
          <w:bCs/>
          <w:sz w:val="24"/>
          <w:szCs w:val="24"/>
        </w:rPr>
        <w:t>ASSESD</w:t>
      </w:r>
      <w:r w:rsidR="007358EE" w:rsidRPr="00D901D9">
        <w:rPr>
          <w:rFonts w:ascii="Times New Roman" w:hAnsi="Times New Roman" w:cs="Times New Roman"/>
          <w:bCs/>
          <w:sz w:val="24"/>
          <w:szCs w:val="24"/>
        </w:rPr>
        <w:t xml:space="preserve"> que implementem mecanismos de controle </w:t>
      </w:r>
      <w:r w:rsidR="000D0AB2">
        <w:rPr>
          <w:rFonts w:ascii="Times New Roman" w:hAnsi="Times New Roman" w:cs="Times New Roman"/>
          <w:bCs/>
          <w:sz w:val="24"/>
          <w:szCs w:val="24"/>
        </w:rPr>
        <w:t>que assegurem o atendimento d</w:t>
      </w:r>
      <w:r w:rsidR="00C14E7E">
        <w:rPr>
          <w:rFonts w:ascii="Times New Roman" w:hAnsi="Times New Roman" w:cs="Times New Roman"/>
          <w:bCs/>
          <w:sz w:val="24"/>
          <w:szCs w:val="24"/>
        </w:rPr>
        <w:t>os requisitos e</w:t>
      </w:r>
      <w:r w:rsidR="007358EE" w:rsidRPr="00D901D9">
        <w:rPr>
          <w:rFonts w:ascii="Times New Roman" w:hAnsi="Times New Roman" w:cs="Times New Roman"/>
          <w:bCs/>
          <w:sz w:val="24"/>
          <w:szCs w:val="24"/>
        </w:rPr>
        <w:t xml:space="preserve"> critérios exigidos para a habilitação das licitantes vencedoras</w:t>
      </w:r>
      <w:r w:rsidR="000D0AB2">
        <w:rPr>
          <w:rFonts w:ascii="Times New Roman" w:hAnsi="Times New Roman" w:cs="Times New Roman"/>
          <w:bCs/>
          <w:sz w:val="24"/>
          <w:szCs w:val="24"/>
        </w:rPr>
        <w:t>.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(Ref. subitem 2.</w:t>
      </w:r>
      <w:r w:rsidR="000D0AB2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:rsidR="00D901D9" w:rsidRPr="00D901D9" w:rsidRDefault="00D901D9" w:rsidP="00D901D9">
      <w:pPr>
        <w:pStyle w:val="TextosemFormata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9B410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358EE" w:rsidRPr="00D901D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358EE" w:rsidRPr="00D901D9">
        <w:rPr>
          <w:rFonts w:ascii="Times New Roman" w:hAnsi="Times New Roman" w:cs="Times New Roman"/>
          <w:bCs/>
          <w:sz w:val="24"/>
          <w:szCs w:val="24"/>
        </w:rPr>
        <w:t>Recomendar aos pregoeiros que</w:t>
      </w:r>
      <w:r w:rsidR="009B4103">
        <w:rPr>
          <w:rFonts w:ascii="Times New Roman" w:hAnsi="Times New Roman" w:cs="Times New Roman"/>
          <w:bCs/>
          <w:sz w:val="24"/>
          <w:szCs w:val="24"/>
        </w:rPr>
        <w:t>, durante a</w:t>
      </w:r>
      <w:r w:rsidR="009B4103" w:rsidRPr="00D901D9">
        <w:rPr>
          <w:rFonts w:ascii="Times New Roman" w:hAnsi="Times New Roman" w:cs="Times New Roman"/>
          <w:bCs/>
          <w:sz w:val="24"/>
          <w:szCs w:val="24"/>
        </w:rPr>
        <w:t xml:space="preserve"> fase de lances do pregão</w:t>
      </w:r>
      <w:r w:rsidR="009B4103">
        <w:rPr>
          <w:rFonts w:ascii="Times New Roman" w:hAnsi="Times New Roman" w:cs="Times New Roman"/>
          <w:bCs/>
          <w:sz w:val="24"/>
          <w:szCs w:val="24"/>
        </w:rPr>
        <w:t>,</w:t>
      </w:r>
      <w:r w:rsidR="009B4103" w:rsidRPr="00D901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58EE" w:rsidRPr="00D901D9">
        <w:rPr>
          <w:rFonts w:ascii="Times New Roman" w:hAnsi="Times New Roman" w:cs="Times New Roman"/>
          <w:bCs/>
          <w:sz w:val="24"/>
          <w:szCs w:val="24"/>
        </w:rPr>
        <w:t xml:space="preserve">maximizem a busca </w:t>
      </w:r>
      <w:r w:rsidR="009B4103">
        <w:rPr>
          <w:rFonts w:ascii="Times New Roman" w:hAnsi="Times New Roman" w:cs="Times New Roman"/>
          <w:bCs/>
          <w:sz w:val="24"/>
          <w:szCs w:val="24"/>
        </w:rPr>
        <w:t>pela</w:t>
      </w:r>
      <w:r w:rsidR="007358EE" w:rsidRPr="00D901D9">
        <w:rPr>
          <w:rFonts w:ascii="Times New Roman" w:hAnsi="Times New Roman" w:cs="Times New Roman"/>
          <w:bCs/>
          <w:sz w:val="24"/>
          <w:szCs w:val="24"/>
        </w:rPr>
        <w:t xml:space="preserve"> economia de recursos financeiros, através de estímulos à competitividade, bem como </w:t>
      </w:r>
      <w:r w:rsidR="00545E16">
        <w:rPr>
          <w:rFonts w:ascii="Times New Roman" w:hAnsi="Times New Roman" w:cs="Times New Roman"/>
          <w:bCs/>
          <w:sz w:val="24"/>
          <w:szCs w:val="24"/>
        </w:rPr>
        <w:t xml:space="preserve">promova a </w:t>
      </w:r>
      <w:r w:rsidR="007358EE" w:rsidRPr="00D901D9">
        <w:rPr>
          <w:rFonts w:ascii="Times New Roman" w:hAnsi="Times New Roman" w:cs="Times New Roman"/>
          <w:bCs/>
          <w:sz w:val="24"/>
          <w:szCs w:val="24"/>
        </w:rPr>
        <w:t>negociação da proposta com o licitante melhor classificado</w:t>
      </w:r>
      <w:r w:rsidR="009B4103">
        <w:rPr>
          <w:rFonts w:ascii="Times New Roman" w:hAnsi="Times New Roman" w:cs="Times New Roman"/>
          <w:bCs/>
          <w:sz w:val="24"/>
          <w:szCs w:val="24"/>
        </w:rPr>
        <w:t>.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(Ref. subitem 2.</w:t>
      </w:r>
      <w:r w:rsidR="000D0AB2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:rsidR="00D901D9" w:rsidRPr="00D901D9" w:rsidRDefault="00D901D9" w:rsidP="00D901D9">
      <w:pPr>
        <w:pStyle w:val="TextosemFormata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</w:t>
      </w:r>
      <w:r w:rsidR="000D0AB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CC277A" w:rsidRPr="00D901D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C277A" w:rsidRPr="00D901D9">
        <w:rPr>
          <w:rFonts w:ascii="Times New Roman" w:hAnsi="Times New Roman" w:cs="Times New Roman"/>
          <w:bCs/>
          <w:sz w:val="24"/>
          <w:szCs w:val="24"/>
        </w:rPr>
        <w:t xml:space="preserve"> Recomendar aos pregoeiros </w:t>
      </w:r>
      <w:r w:rsidR="009B4103">
        <w:rPr>
          <w:rFonts w:ascii="Times New Roman" w:hAnsi="Times New Roman" w:cs="Times New Roman"/>
          <w:bCs/>
          <w:sz w:val="24"/>
          <w:szCs w:val="24"/>
        </w:rPr>
        <w:t xml:space="preserve">que </w:t>
      </w:r>
      <w:r w:rsidR="009B4103" w:rsidRPr="00D901D9">
        <w:rPr>
          <w:rFonts w:ascii="Times New Roman" w:hAnsi="Times New Roman" w:cs="Times New Roman"/>
          <w:bCs/>
          <w:sz w:val="24"/>
          <w:szCs w:val="24"/>
        </w:rPr>
        <w:t>promov</w:t>
      </w:r>
      <w:r w:rsidR="009B4103">
        <w:rPr>
          <w:rFonts w:ascii="Times New Roman" w:hAnsi="Times New Roman" w:cs="Times New Roman"/>
          <w:bCs/>
          <w:sz w:val="24"/>
          <w:szCs w:val="24"/>
        </w:rPr>
        <w:t>am</w:t>
      </w:r>
      <w:r w:rsidR="009B4103" w:rsidRPr="00D901D9">
        <w:rPr>
          <w:rFonts w:ascii="Times New Roman" w:hAnsi="Times New Roman" w:cs="Times New Roman"/>
          <w:bCs/>
          <w:sz w:val="24"/>
          <w:szCs w:val="24"/>
        </w:rPr>
        <w:t xml:space="preserve"> a comunicação à </w:t>
      </w:r>
      <w:r w:rsidR="000D0AB2">
        <w:rPr>
          <w:rFonts w:ascii="Times New Roman" w:hAnsi="Times New Roman" w:cs="Times New Roman"/>
          <w:bCs/>
          <w:sz w:val="24"/>
          <w:szCs w:val="24"/>
        </w:rPr>
        <w:t>SELIC</w:t>
      </w:r>
      <w:r w:rsidR="009B4103" w:rsidRPr="00D901D9">
        <w:rPr>
          <w:rFonts w:ascii="Times New Roman" w:hAnsi="Times New Roman" w:cs="Times New Roman"/>
          <w:bCs/>
          <w:sz w:val="24"/>
          <w:szCs w:val="24"/>
        </w:rPr>
        <w:t xml:space="preserve"> acerca de indícios de condutas ilícitas praticadas durante a fase de realização da licitação </w:t>
      </w:r>
      <w:r w:rsidR="009B4103">
        <w:rPr>
          <w:rFonts w:ascii="Times New Roman" w:hAnsi="Times New Roman" w:cs="Times New Roman"/>
          <w:bCs/>
          <w:sz w:val="24"/>
          <w:szCs w:val="24"/>
        </w:rPr>
        <w:t>em</w:t>
      </w:r>
      <w:r w:rsidR="00CC277A" w:rsidRPr="00D901D9">
        <w:rPr>
          <w:rFonts w:ascii="Times New Roman" w:hAnsi="Times New Roman" w:cs="Times New Roman"/>
          <w:bCs/>
          <w:sz w:val="24"/>
          <w:szCs w:val="24"/>
        </w:rPr>
        <w:t xml:space="preserve"> observância </w:t>
      </w:r>
      <w:r w:rsidR="009B4103">
        <w:rPr>
          <w:rFonts w:ascii="Times New Roman" w:hAnsi="Times New Roman" w:cs="Times New Roman"/>
          <w:bCs/>
          <w:sz w:val="24"/>
          <w:szCs w:val="24"/>
        </w:rPr>
        <w:t>a</w:t>
      </w:r>
      <w:r w:rsidR="00CC277A" w:rsidRPr="00D901D9">
        <w:rPr>
          <w:rFonts w:ascii="Times New Roman" w:hAnsi="Times New Roman" w:cs="Times New Roman"/>
          <w:bCs/>
          <w:sz w:val="24"/>
          <w:szCs w:val="24"/>
        </w:rPr>
        <w:t>o artigo 10 da Portaria TRE-BA nº 455/2016</w:t>
      </w:r>
      <w:r w:rsidR="009B4103">
        <w:rPr>
          <w:rFonts w:ascii="Times New Roman" w:hAnsi="Times New Roman" w:cs="Times New Roman"/>
          <w:bCs/>
          <w:sz w:val="24"/>
          <w:szCs w:val="24"/>
        </w:rPr>
        <w:t>.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(Ref. subitem 2.</w:t>
      </w:r>
      <w:r w:rsidR="009B4103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:rsidR="007358EE" w:rsidRDefault="00D901D9" w:rsidP="00D901D9">
      <w:pPr>
        <w:pStyle w:val="TextosemFormata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</w:t>
      </w:r>
      <w:r w:rsidR="000D0AB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358EE" w:rsidRPr="00D901D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358EE" w:rsidRPr="00D901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7017" w:rsidRPr="00C57017">
        <w:rPr>
          <w:rFonts w:ascii="Times New Roman" w:eastAsia="Calibri" w:hAnsi="Times New Roman" w:cs="Times New Roman"/>
          <w:sz w:val="24"/>
          <w:szCs w:val="24"/>
          <w:lang w:eastAsia="en-US"/>
        </w:rPr>
        <w:t>Recomendar à SGP/COEDE que proceda à inclusão, no PAC 201</w:t>
      </w:r>
      <w:r w:rsidR="00C57017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C57017" w:rsidRPr="00C57017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05500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de </w:t>
      </w:r>
      <w:r w:rsidR="00C57017" w:rsidRPr="00C5701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capacitação </w:t>
      </w:r>
      <w:r w:rsidR="00C57017">
        <w:rPr>
          <w:rFonts w:ascii="Times New Roman" w:eastAsia="Calibri" w:hAnsi="Times New Roman" w:cs="Times New Roman"/>
          <w:sz w:val="24"/>
          <w:szCs w:val="24"/>
          <w:lang w:eastAsia="en-US"/>
        </w:rPr>
        <w:t>para os pregoeiros deste Tribunal</w:t>
      </w:r>
      <w:r w:rsidR="00C57017" w:rsidRPr="00C5701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visando </w:t>
      </w:r>
      <w:r w:rsidR="00C5701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 atualização e </w:t>
      </w:r>
      <w:r w:rsidR="00C57017" w:rsidRPr="00C5701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 aperfeiçoamento da execução das atividades relacionadas à </w:t>
      </w:r>
      <w:r w:rsidR="00C5701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licitação, </w:t>
      </w:r>
      <w:r w:rsidR="00C57017">
        <w:rPr>
          <w:rFonts w:ascii="Times New Roman" w:hAnsi="Times New Roman" w:cs="Times New Roman"/>
          <w:bCs/>
          <w:sz w:val="24"/>
          <w:szCs w:val="24"/>
        </w:rPr>
        <w:t xml:space="preserve">incluindo </w:t>
      </w:r>
      <w:r w:rsidR="00C57017" w:rsidRPr="00D901D9">
        <w:rPr>
          <w:rFonts w:ascii="Times New Roman" w:hAnsi="Times New Roman" w:cs="Times New Roman"/>
          <w:bCs/>
          <w:sz w:val="24"/>
          <w:szCs w:val="24"/>
        </w:rPr>
        <w:t>abordagens referentes às</w:t>
      </w:r>
      <w:r w:rsidR="00C57017">
        <w:rPr>
          <w:rFonts w:ascii="Times New Roman" w:hAnsi="Times New Roman" w:cs="Times New Roman"/>
          <w:bCs/>
          <w:sz w:val="24"/>
          <w:szCs w:val="24"/>
        </w:rPr>
        <w:t xml:space="preserve"> técnicas de negociação. 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(Ref. subitem 2.</w:t>
      </w:r>
      <w:r w:rsidR="000D0AB2">
        <w:rPr>
          <w:rFonts w:ascii="Times New Roman" w:eastAsia="Calibri" w:hAnsi="Times New Roman" w:cs="Times New Roman"/>
          <w:sz w:val="24"/>
          <w:szCs w:val="24"/>
          <w:lang w:eastAsia="en-US"/>
        </w:rPr>
        <w:t>1; 2.2;</w:t>
      </w:r>
      <w:r w:rsidR="00AC2F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4321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2.3; </w:t>
      </w:r>
      <w:r w:rsidR="000D0AB2">
        <w:rPr>
          <w:rFonts w:ascii="Times New Roman" w:eastAsia="Calibri" w:hAnsi="Times New Roman" w:cs="Times New Roman"/>
          <w:sz w:val="24"/>
          <w:szCs w:val="24"/>
          <w:lang w:eastAsia="en-US"/>
        </w:rPr>
        <w:t>2.6; 2.7; 2.8</w:t>
      </w:r>
      <w:r w:rsidR="0004321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e 2.9</w:t>
      </w:r>
      <w:r w:rsidR="000C5544" w:rsidRPr="000C5544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:rsidR="00214EC7" w:rsidRPr="00214EC7" w:rsidRDefault="00214EC7" w:rsidP="00214EC7">
      <w:pPr>
        <w:spacing w:before="120" w:after="0" w:line="276" w:lineRule="auto"/>
        <w:jc w:val="both"/>
        <w:rPr>
          <w:rFonts w:eastAsia="Calibri"/>
          <w:sz w:val="24"/>
          <w:szCs w:val="24"/>
        </w:rPr>
      </w:pPr>
      <w:r w:rsidRPr="00214EC7">
        <w:rPr>
          <w:rFonts w:eastAsia="Calibri"/>
          <w:sz w:val="24"/>
          <w:szCs w:val="24"/>
        </w:rPr>
        <w:t xml:space="preserve">Por fim, homologadas as propostas de encaminhamento e cientificadas as partes interessadas, propõe-se o apensamento do presente relatório ao do processo da </w:t>
      </w:r>
      <w:r>
        <w:rPr>
          <w:rFonts w:eastAsia="Calibri"/>
          <w:sz w:val="24"/>
          <w:szCs w:val="24"/>
        </w:rPr>
        <w:t>fiscalização</w:t>
      </w:r>
      <w:r w:rsidRPr="00214EC7">
        <w:rPr>
          <w:rFonts w:eastAsia="Calibri"/>
          <w:sz w:val="24"/>
          <w:szCs w:val="24"/>
        </w:rPr>
        <w:t xml:space="preserve"> que lhe deu origem (PAD </w:t>
      </w:r>
      <w:r>
        <w:rPr>
          <w:rFonts w:eastAsia="Calibri"/>
          <w:sz w:val="24"/>
          <w:szCs w:val="24"/>
        </w:rPr>
        <w:t>12.081</w:t>
      </w:r>
      <w:r w:rsidRPr="00214EC7">
        <w:rPr>
          <w:rFonts w:eastAsia="Calibri"/>
          <w:sz w:val="24"/>
          <w:szCs w:val="24"/>
        </w:rPr>
        <w:t>/201</w:t>
      </w:r>
      <w:r>
        <w:rPr>
          <w:rFonts w:eastAsia="Calibri"/>
          <w:sz w:val="24"/>
          <w:szCs w:val="24"/>
        </w:rPr>
        <w:t>6</w:t>
      </w:r>
      <w:r w:rsidRPr="00214EC7">
        <w:rPr>
          <w:rFonts w:eastAsia="Calibri"/>
          <w:sz w:val="24"/>
          <w:szCs w:val="24"/>
        </w:rPr>
        <w:t>).</w:t>
      </w:r>
    </w:p>
    <w:p w:rsidR="00214EC7" w:rsidRPr="00D901D9" w:rsidRDefault="00214EC7" w:rsidP="00D901D9">
      <w:pPr>
        <w:pStyle w:val="TextosemFormatao"/>
        <w:jc w:val="both"/>
        <w:rPr>
          <w:rFonts w:ascii="Times New Roman" w:hAnsi="Times New Roman" w:cs="Times New Roman"/>
          <w:sz w:val="24"/>
          <w:szCs w:val="24"/>
        </w:rPr>
      </w:pPr>
    </w:p>
    <w:p w:rsidR="00B726BC" w:rsidRPr="00F74D23" w:rsidRDefault="00B909C2" w:rsidP="00AF3517">
      <w:pPr>
        <w:pStyle w:val="Corpodetexto3"/>
        <w:spacing w:before="120" w:after="120" w:line="360" w:lineRule="auto"/>
        <w:jc w:val="right"/>
        <w:rPr>
          <w:szCs w:val="24"/>
        </w:rPr>
      </w:pPr>
      <w:r w:rsidRPr="00F74D23">
        <w:rPr>
          <w:szCs w:val="24"/>
        </w:rPr>
        <w:t>S</w:t>
      </w:r>
      <w:r w:rsidR="00B726BC" w:rsidRPr="00F74D23">
        <w:rPr>
          <w:szCs w:val="24"/>
        </w:rPr>
        <w:t xml:space="preserve">alvador (BA), </w:t>
      </w:r>
      <w:r w:rsidR="00667411">
        <w:rPr>
          <w:szCs w:val="24"/>
        </w:rPr>
        <w:t>08</w:t>
      </w:r>
      <w:r w:rsidR="00B75363" w:rsidRPr="00F74D23">
        <w:rPr>
          <w:szCs w:val="24"/>
        </w:rPr>
        <w:t xml:space="preserve"> de </w:t>
      </w:r>
      <w:r w:rsidR="00A81160">
        <w:rPr>
          <w:szCs w:val="24"/>
        </w:rPr>
        <w:t>fevereiro</w:t>
      </w:r>
      <w:r w:rsidR="00914D3A" w:rsidRPr="00F74D23">
        <w:rPr>
          <w:szCs w:val="24"/>
        </w:rPr>
        <w:t xml:space="preserve"> de </w:t>
      </w:r>
      <w:r w:rsidR="00944AFA">
        <w:rPr>
          <w:szCs w:val="24"/>
        </w:rPr>
        <w:t>2017</w:t>
      </w:r>
      <w:r w:rsidR="00B726BC" w:rsidRPr="00F74D23">
        <w:rPr>
          <w:szCs w:val="24"/>
        </w:rPr>
        <w:t>.</w:t>
      </w:r>
    </w:p>
    <w:p w:rsidR="009362D5" w:rsidRDefault="009362D5" w:rsidP="000300E2">
      <w:pPr>
        <w:pStyle w:val="Corpodetexto3"/>
        <w:jc w:val="left"/>
        <w:rPr>
          <w:b/>
          <w:szCs w:val="24"/>
        </w:rPr>
      </w:pPr>
    </w:p>
    <w:p w:rsidR="006C6DE9" w:rsidRPr="00F74D23" w:rsidRDefault="006C6DE9" w:rsidP="000300E2">
      <w:pPr>
        <w:pStyle w:val="Corpodetexto3"/>
        <w:jc w:val="left"/>
        <w:rPr>
          <w:b/>
          <w:szCs w:val="24"/>
        </w:rPr>
      </w:pPr>
    </w:p>
    <w:p w:rsidR="004B76F8" w:rsidRPr="00F74D23" w:rsidRDefault="00914D3A" w:rsidP="004B76F8">
      <w:pPr>
        <w:pStyle w:val="Corpodetexto3"/>
        <w:jc w:val="left"/>
        <w:rPr>
          <w:b/>
          <w:szCs w:val="24"/>
        </w:rPr>
      </w:pPr>
      <w:r w:rsidRPr="00F74D23">
        <w:rPr>
          <w:b/>
          <w:szCs w:val="24"/>
        </w:rPr>
        <w:t>Eduardo Machado Oliveira</w:t>
      </w:r>
      <w:r w:rsidR="000300E2" w:rsidRPr="00F74D23">
        <w:rPr>
          <w:b/>
          <w:szCs w:val="24"/>
        </w:rPr>
        <w:t xml:space="preserve"> </w:t>
      </w:r>
    </w:p>
    <w:p w:rsidR="004B76F8" w:rsidRPr="00F74D23" w:rsidRDefault="004B76F8" w:rsidP="001F0D3A">
      <w:pPr>
        <w:pStyle w:val="Corpodetexto3"/>
        <w:rPr>
          <w:szCs w:val="24"/>
        </w:rPr>
      </w:pPr>
      <w:r w:rsidRPr="00F74D23">
        <w:rPr>
          <w:szCs w:val="24"/>
        </w:rPr>
        <w:t>Auditor Interno</w:t>
      </w:r>
    </w:p>
    <w:p w:rsidR="009362D5" w:rsidRDefault="009362D5" w:rsidP="000300E2">
      <w:pPr>
        <w:pStyle w:val="Corpodetexto3"/>
        <w:jc w:val="left"/>
        <w:rPr>
          <w:b/>
          <w:szCs w:val="24"/>
        </w:rPr>
      </w:pPr>
    </w:p>
    <w:p w:rsidR="006C6DE9" w:rsidRPr="00F74D23" w:rsidRDefault="006C6DE9" w:rsidP="000300E2">
      <w:pPr>
        <w:pStyle w:val="Corpodetexto3"/>
        <w:jc w:val="left"/>
        <w:rPr>
          <w:b/>
          <w:szCs w:val="24"/>
        </w:rPr>
      </w:pPr>
    </w:p>
    <w:p w:rsidR="0078376F" w:rsidRPr="00F74D23" w:rsidRDefault="009362D5" w:rsidP="000300E2">
      <w:pPr>
        <w:pStyle w:val="Corpodetexto3"/>
        <w:jc w:val="left"/>
        <w:rPr>
          <w:b/>
          <w:szCs w:val="24"/>
        </w:rPr>
      </w:pPr>
      <w:r w:rsidRPr="00F74D23">
        <w:rPr>
          <w:b/>
          <w:szCs w:val="24"/>
        </w:rPr>
        <w:t>Cristian Patric de Sousa Santos</w:t>
      </w:r>
    </w:p>
    <w:p w:rsidR="001F0D3A" w:rsidRDefault="001F0D3A" w:rsidP="000300E2">
      <w:pPr>
        <w:pStyle w:val="Corpodetexto3"/>
        <w:jc w:val="left"/>
        <w:rPr>
          <w:szCs w:val="24"/>
        </w:rPr>
      </w:pPr>
      <w:r>
        <w:rPr>
          <w:szCs w:val="24"/>
        </w:rPr>
        <w:t xml:space="preserve">Auditor Interno </w:t>
      </w:r>
    </w:p>
    <w:p w:rsidR="0078376F" w:rsidRPr="00F74D23" w:rsidRDefault="0078376F" w:rsidP="000300E2">
      <w:pPr>
        <w:pStyle w:val="Corpodetexto3"/>
        <w:jc w:val="left"/>
        <w:rPr>
          <w:szCs w:val="24"/>
        </w:rPr>
      </w:pPr>
      <w:r w:rsidRPr="001F0D3A">
        <w:rPr>
          <w:i/>
          <w:szCs w:val="24"/>
        </w:rPr>
        <w:t>Chefe da SEAGES</w:t>
      </w:r>
    </w:p>
    <w:p w:rsidR="009362D5" w:rsidRDefault="009362D5" w:rsidP="00FC7A09">
      <w:pPr>
        <w:pStyle w:val="Corpodetexto3"/>
        <w:rPr>
          <w:b/>
          <w:szCs w:val="24"/>
        </w:rPr>
      </w:pPr>
    </w:p>
    <w:p w:rsidR="006C6DE9" w:rsidRDefault="006C6DE9" w:rsidP="00FC7A09">
      <w:pPr>
        <w:pStyle w:val="Corpodetexto3"/>
        <w:rPr>
          <w:b/>
          <w:szCs w:val="24"/>
        </w:rPr>
      </w:pPr>
    </w:p>
    <w:p w:rsidR="009362D5" w:rsidRPr="00D901D9" w:rsidRDefault="00D901D9" w:rsidP="00FC7A09">
      <w:pPr>
        <w:pStyle w:val="Corpodetexto3"/>
        <w:rPr>
          <w:szCs w:val="24"/>
        </w:rPr>
      </w:pPr>
      <w:r w:rsidRPr="00D901D9">
        <w:rPr>
          <w:szCs w:val="24"/>
        </w:rPr>
        <w:t>De acordo.</w:t>
      </w:r>
    </w:p>
    <w:p w:rsidR="00D901D9" w:rsidRDefault="00D901D9" w:rsidP="00FC7A09">
      <w:pPr>
        <w:pStyle w:val="Corpodetexto3"/>
        <w:rPr>
          <w:b/>
          <w:szCs w:val="24"/>
        </w:rPr>
      </w:pPr>
    </w:p>
    <w:p w:rsidR="006C6DE9" w:rsidRPr="00F74D23" w:rsidRDefault="006C6DE9" w:rsidP="00FC7A09">
      <w:pPr>
        <w:pStyle w:val="Corpodetexto3"/>
        <w:rPr>
          <w:b/>
          <w:szCs w:val="24"/>
        </w:rPr>
      </w:pPr>
    </w:p>
    <w:p w:rsidR="00B726BC" w:rsidRPr="00F74D23" w:rsidRDefault="0097212E" w:rsidP="00FC7A09">
      <w:pPr>
        <w:pStyle w:val="Corpodetexto3"/>
        <w:rPr>
          <w:b/>
          <w:szCs w:val="24"/>
        </w:rPr>
      </w:pPr>
      <w:r>
        <w:rPr>
          <w:b/>
          <w:szCs w:val="24"/>
        </w:rPr>
        <w:t>Antonio Fernando dos Santos Paixão</w:t>
      </w:r>
    </w:p>
    <w:p w:rsidR="0004321A" w:rsidRDefault="001F0D3A" w:rsidP="001F0D3A">
      <w:pPr>
        <w:pStyle w:val="Corpodetexto3"/>
        <w:jc w:val="left"/>
        <w:rPr>
          <w:szCs w:val="24"/>
        </w:rPr>
        <w:sectPr w:rsidR="0004321A" w:rsidSect="0011006E">
          <w:footerReference w:type="default" r:id="rId13"/>
          <w:pgSz w:w="11907" w:h="16840" w:code="9"/>
          <w:pgMar w:top="1418" w:right="1134" w:bottom="1134" w:left="1418" w:header="283" w:footer="737" w:gutter="0"/>
          <w:pgNumType w:start="1"/>
          <w:cols w:space="708"/>
          <w:docGrid w:linePitch="272"/>
        </w:sectPr>
      </w:pPr>
      <w:r>
        <w:rPr>
          <w:szCs w:val="24"/>
        </w:rPr>
        <w:t xml:space="preserve">Coordenador </w:t>
      </w:r>
      <w:r w:rsidR="00914D3A" w:rsidRPr="00F74D23">
        <w:rPr>
          <w:szCs w:val="24"/>
        </w:rPr>
        <w:t>da COGES</w:t>
      </w:r>
      <w:r>
        <w:rPr>
          <w:szCs w:val="24"/>
        </w:rPr>
        <w:t xml:space="preserve"> Substituto</w:t>
      </w:r>
    </w:p>
    <w:p w:rsidR="00E62548" w:rsidRPr="00F74D23" w:rsidRDefault="00E62548" w:rsidP="00FC7A09">
      <w:pPr>
        <w:pStyle w:val="Corpodetexto3"/>
        <w:rPr>
          <w:szCs w:val="24"/>
        </w:rPr>
      </w:pPr>
    </w:p>
    <w:p w:rsidR="00E62548" w:rsidRDefault="00E62548" w:rsidP="00E62548">
      <w:pPr>
        <w:pStyle w:val="Corpodetexto3"/>
        <w:jc w:val="center"/>
        <w:rPr>
          <w:szCs w:val="24"/>
        </w:rPr>
      </w:pPr>
    </w:p>
    <w:p w:rsidR="00E62548" w:rsidRPr="008B1CB9" w:rsidRDefault="000978B2" w:rsidP="00E62548">
      <w:pPr>
        <w:pStyle w:val="Corpodetexto3"/>
        <w:jc w:val="center"/>
        <w:rPr>
          <w:b/>
          <w:szCs w:val="24"/>
        </w:rPr>
      </w:pPr>
      <w:r>
        <w:rPr>
          <w:b/>
          <w:szCs w:val="24"/>
        </w:rPr>
        <w:t>ANEXO</w:t>
      </w:r>
    </w:p>
    <w:p w:rsidR="00E62548" w:rsidRDefault="00E62548" w:rsidP="00E62548">
      <w:pPr>
        <w:pStyle w:val="Corpodetexto3"/>
        <w:jc w:val="center"/>
        <w:rPr>
          <w:szCs w:val="24"/>
        </w:rPr>
      </w:pPr>
    </w:p>
    <w:p w:rsidR="00ED33BF" w:rsidRDefault="00ED33BF" w:rsidP="00E62548">
      <w:pPr>
        <w:pStyle w:val="Corpodetexto3"/>
        <w:jc w:val="center"/>
        <w:rPr>
          <w:szCs w:val="24"/>
        </w:rPr>
      </w:pPr>
    </w:p>
    <w:p w:rsidR="00ED33BF" w:rsidRPr="008B1CB9" w:rsidRDefault="00545E16" w:rsidP="008B1CB9">
      <w:pPr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Quadro 1 - L</w:t>
      </w:r>
      <w:r w:rsidR="008B1CB9" w:rsidRPr="008B1CB9">
        <w:rPr>
          <w:rFonts w:cs="Arial"/>
          <w:b/>
          <w:sz w:val="24"/>
          <w:szCs w:val="24"/>
        </w:rPr>
        <w:t xml:space="preserve">icitações concluídas no primeiro semestre de 2016 selecionados </w:t>
      </w:r>
      <w:r>
        <w:rPr>
          <w:rFonts w:cs="Arial"/>
          <w:b/>
          <w:sz w:val="24"/>
          <w:szCs w:val="24"/>
        </w:rPr>
        <w:t>para análise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3544"/>
        <w:gridCol w:w="1842"/>
        <w:gridCol w:w="1985"/>
      </w:tblGrid>
      <w:tr w:rsidR="008B1CB9" w:rsidRPr="00545E16" w:rsidTr="00545E16">
        <w:tc>
          <w:tcPr>
            <w:tcW w:w="2127" w:type="dxa"/>
            <w:shd w:val="clear" w:color="auto" w:fill="EEECE1" w:themeFill="background2"/>
          </w:tcPr>
          <w:p w:rsidR="008B1CB9" w:rsidRPr="00545E16" w:rsidRDefault="008B1CB9" w:rsidP="00C30A7F">
            <w:pPr>
              <w:tabs>
                <w:tab w:val="num" w:pos="0"/>
              </w:tabs>
              <w:jc w:val="center"/>
              <w:rPr>
                <w:b/>
                <w:sz w:val="22"/>
                <w:szCs w:val="22"/>
              </w:rPr>
            </w:pPr>
            <w:r w:rsidRPr="00545E16">
              <w:rPr>
                <w:b/>
                <w:sz w:val="22"/>
                <w:szCs w:val="22"/>
              </w:rPr>
              <w:t>Protocolo</w:t>
            </w:r>
          </w:p>
        </w:tc>
        <w:tc>
          <w:tcPr>
            <w:tcW w:w="3544" w:type="dxa"/>
            <w:shd w:val="clear" w:color="auto" w:fill="EEECE1" w:themeFill="background2"/>
          </w:tcPr>
          <w:p w:rsidR="008B1CB9" w:rsidRPr="00545E16" w:rsidRDefault="008B1CB9" w:rsidP="00C30A7F">
            <w:pPr>
              <w:tabs>
                <w:tab w:val="num" w:pos="0"/>
              </w:tabs>
              <w:jc w:val="center"/>
              <w:rPr>
                <w:b/>
                <w:sz w:val="22"/>
                <w:szCs w:val="22"/>
              </w:rPr>
            </w:pPr>
            <w:r w:rsidRPr="00545E16">
              <w:rPr>
                <w:b/>
                <w:sz w:val="22"/>
                <w:szCs w:val="22"/>
              </w:rPr>
              <w:t>Objeto</w:t>
            </w:r>
          </w:p>
        </w:tc>
        <w:tc>
          <w:tcPr>
            <w:tcW w:w="1842" w:type="dxa"/>
            <w:shd w:val="clear" w:color="auto" w:fill="EEECE1" w:themeFill="background2"/>
          </w:tcPr>
          <w:p w:rsidR="008B1CB9" w:rsidRPr="00545E16" w:rsidRDefault="008B1CB9" w:rsidP="00C30A7F">
            <w:pPr>
              <w:tabs>
                <w:tab w:val="num" w:pos="0"/>
              </w:tabs>
              <w:jc w:val="center"/>
              <w:rPr>
                <w:b/>
                <w:sz w:val="22"/>
                <w:szCs w:val="22"/>
              </w:rPr>
            </w:pPr>
            <w:r w:rsidRPr="00545E16">
              <w:rPr>
                <w:b/>
                <w:sz w:val="22"/>
                <w:szCs w:val="22"/>
              </w:rPr>
              <w:t>Tipo</w:t>
            </w:r>
          </w:p>
        </w:tc>
        <w:tc>
          <w:tcPr>
            <w:tcW w:w="1985" w:type="dxa"/>
            <w:shd w:val="clear" w:color="auto" w:fill="EEECE1" w:themeFill="background2"/>
          </w:tcPr>
          <w:p w:rsidR="008B1CB9" w:rsidRPr="00545E16" w:rsidRDefault="008B1CB9" w:rsidP="00C30A7F">
            <w:pPr>
              <w:tabs>
                <w:tab w:val="num" w:pos="0"/>
              </w:tabs>
              <w:jc w:val="center"/>
              <w:rPr>
                <w:b/>
                <w:sz w:val="22"/>
                <w:szCs w:val="22"/>
              </w:rPr>
            </w:pPr>
            <w:r w:rsidRPr="00545E16">
              <w:rPr>
                <w:b/>
                <w:sz w:val="22"/>
                <w:szCs w:val="22"/>
              </w:rPr>
              <w:t>Valor</w:t>
            </w:r>
          </w:p>
        </w:tc>
      </w:tr>
      <w:tr w:rsidR="008B1CB9" w:rsidRPr="003C3CC8" w:rsidTr="00545E16">
        <w:tc>
          <w:tcPr>
            <w:tcW w:w="2127" w:type="dxa"/>
            <w:shd w:val="clear" w:color="auto" w:fill="auto"/>
            <w:vAlign w:val="center"/>
          </w:tcPr>
          <w:p w:rsidR="008B1CB9" w:rsidRPr="003C3CC8" w:rsidRDefault="008B1CB9" w:rsidP="00545E16">
            <w:pPr>
              <w:tabs>
                <w:tab w:val="num" w:pos="0"/>
              </w:tabs>
              <w:rPr>
                <w:sz w:val="22"/>
                <w:szCs w:val="22"/>
              </w:rPr>
            </w:pPr>
            <w:r w:rsidRPr="003C3CC8">
              <w:rPr>
                <w:sz w:val="22"/>
                <w:szCs w:val="22"/>
              </w:rPr>
              <w:t>PAD Nº 003/2015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B1CB9" w:rsidRPr="003C3CC8" w:rsidRDefault="008B1CB9" w:rsidP="00C30A7F">
            <w:pPr>
              <w:tabs>
                <w:tab w:val="num" w:pos="0"/>
              </w:tabs>
              <w:jc w:val="both"/>
              <w:rPr>
                <w:sz w:val="22"/>
                <w:szCs w:val="22"/>
              </w:rPr>
            </w:pPr>
            <w:r w:rsidRPr="003C3CC8">
              <w:rPr>
                <w:sz w:val="22"/>
                <w:szCs w:val="22"/>
              </w:rPr>
              <w:t>Contratação de empresa de manutenção predial para os imóveis do interior do Estado/BA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B1CB9" w:rsidRPr="003C3CC8" w:rsidRDefault="008B1CB9" w:rsidP="00C30A7F">
            <w:pPr>
              <w:tabs>
                <w:tab w:val="num" w:pos="0"/>
              </w:tabs>
              <w:jc w:val="center"/>
              <w:rPr>
                <w:sz w:val="22"/>
                <w:szCs w:val="22"/>
              </w:rPr>
            </w:pPr>
            <w:r w:rsidRPr="003C3CC8">
              <w:rPr>
                <w:sz w:val="22"/>
                <w:szCs w:val="22"/>
              </w:rPr>
              <w:t>Pregão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CB9" w:rsidRPr="003C3CC8" w:rsidRDefault="008B1CB9" w:rsidP="00C30A7F">
            <w:pPr>
              <w:tabs>
                <w:tab w:val="num" w:pos="0"/>
              </w:tabs>
              <w:rPr>
                <w:sz w:val="22"/>
                <w:szCs w:val="22"/>
              </w:rPr>
            </w:pPr>
            <w:r w:rsidRPr="003C3CC8">
              <w:rPr>
                <w:sz w:val="22"/>
                <w:szCs w:val="22"/>
              </w:rPr>
              <w:t>R$ 1.252.659,53</w:t>
            </w:r>
          </w:p>
        </w:tc>
      </w:tr>
      <w:tr w:rsidR="008B1CB9" w:rsidRPr="003C3CC8" w:rsidTr="006C6DE9">
        <w:tc>
          <w:tcPr>
            <w:tcW w:w="2127" w:type="dxa"/>
            <w:shd w:val="clear" w:color="auto" w:fill="auto"/>
            <w:vAlign w:val="center"/>
          </w:tcPr>
          <w:p w:rsidR="006C6DE9" w:rsidRPr="003C3CC8" w:rsidRDefault="008B1CB9" w:rsidP="006C6DE9">
            <w:pPr>
              <w:tabs>
                <w:tab w:val="num" w:pos="0"/>
              </w:tabs>
              <w:jc w:val="both"/>
              <w:rPr>
                <w:sz w:val="22"/>
                <w:szCs w:val="22"/>
              </w:rPr>
            </w:pPr>
            <w:r w:rsidRPr="003C3CC8">
              <w:rPr>
                <w:sz w:val="22"/>
                <w:szCs w:val="22"/>
              </w:rPr>
              <w:t>PAD Nº 290/2015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33BF" w:rsidRDefault="00ED33BF" w:rsidP="00ED33BF">
            <w:pPr>
              <w:tabs>
                <w:tab w:val="num" w:pos="0"/>
              </w:tabs>
              <w:spacing w:after="0"/>
              <w:jc w:val="both"/>
              <w:rPr>
                <w:sz w:val="22"/>
                <w:szCs w:val="22"/>
              </w:rPr>
            </w:pPr>
          </w:p>
          <w:p w:rsidR="008B1CB9" w:rsidRDefault="008B1CB9" w:rsidP="00ED33BF">
            <w:pPr>
              <w:tabs>
                <w:tab w:val="num" w:pos="0"/>
              </w:tabs>
              <w:spacing w:after="0"/>
              <w:jc w:val="both"/>
              <w:rPr>
                <w:sz w:val="22"/>
                <w:szCs w:val="22"/>
              </w:rPr>
            </w:pPr>
            <w:r w:rsidRPr="003C3CC8">
              <w:rPr>
                <w:sz w:val="22"/>
                <w:szCs w:val="22"/>
              </w:rPr>
              <w:t>Contratação de Serviços Gráficos</w:t>
            </w:r>
          </w:p>
          <w:p w:rsidR="00ED33BF" w:rsidRPr="003C3CC8" w:rsidRDefault="00ED33BF" w:rsidP="00C30A7F">
            <w:pPr>
              <w:tabs>
                <w:tab w:val="num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B1CB9" w:rsidRPr="003C3CC8" w:rsidRDefault="008B1CB9" w:rsidP="00C30A7F">
            <w:pPr>
              <w:tabs>
                <w:tab w:val="num" w:pos="0"/>
              </w:tabs>
              <w:jc w:val="center"/>
              <w:rPr>
                <w:sz w:val="22"/>
                <w:szCs w:val="22"/>
              </w:rPr>
            </w:pPr>
            <w:r w:rsidRPr="003C3CC8">
              <w:rPr>
                <w:sz w:val="22"/>
                <w:szCs w:val="22"/>
              </w:rPr>
              <w:t>Pregão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CB9" w:rsidRPr="003C3CC8" w:rsidRDefault="008B1CB9" w:rsidP="00C30A7F">
            <w:pPr>
              <w:tabs>
                <w:tab w:val="num" w:pos="0"/>
              </w:tabs>
              <w:rPr>
                <w:sz w:val="22"/>
                <w:szCs w:val="22"/>
              </w:rPr>
            </w:pPr>
            <w:r w:rsidRPr="003C3CC8">
              <w:rPr>
                <w:sz w:val="22"/>
                <w:szCs w:val="22"/>
              </w:rPr>
              <w:t>R$ 978.183,20</w:t>
            </w:r>
          </w:p>
        </w:tc>
      </w:tr>
      <w:tr w:rsidR="008B1CB9" w:rsidRPr="003C3CC8" w:rsidTr="00545E16">
        <w:tc>
          <w:tcPr>
            <w:tcW w:w="2127" w:type="dxa"/>
            <w:shd w:val="clear" w:color="auto" w:fill="auto"/>
            <w:vAlign w:val="center"/>
          </w:tcPr>
          <w:p w:rsidR="008B1CB9" w:rsidRPr="003C3CC8" w:rsidRDefault="008B1CB9" w:rsidP="00545E16">
            <w:pPr>
              <w:tabs>
                <w:tab w:val="num" w:pos="0"/>
              </w:tabs>
              <w:rPr>
                <w:sz w:val="22"/>
                <w:szCs w:val="22"/>
              </w:rPr>
            </w:pPr>
            <w:r w:rsidRPr="003C3CC8">
              <w:rPr>
                <w:sz w:val="22"/>
                <w:szCs w:val="22"/>
              </w:rPr>
              <w:t>PAD Nº 4.689/2015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B1CB9" w:rsidRPr="003C3CC8" w:rsidRDefault="008B1CB9" w:rsidP="00C30A7F">
            <w:pPr>
              <w:tabs>
                <w:tab w:val="num" w:pos="0"/>
              </w:tabs>
              <w:jc w:val="both"/>
              <w:rPr>
                <w:sz w:val="22"/>
                <w:szCs w:val="22"/>
              </w:rPr>
            </w:pPr>
            <w:r w:rsidRPr="003C3CC8">
              <w:rPr>
                <w:sz w:val="22"/>
                <w:szCs w:val="22"/>
              </w:rPr>
              <w:t xml:space="preserve">Prestação de Serviços de Conservação das Urnas Eletrônicas da Justiça Eleitoral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B1CB9" w:rsidRPr="003C3CC8" w:rsidRDefault="008B1CB9" w:rsidP="00C30A7F">
            <w:pPr>
              <w:tabs>
                <w:tab w:val="num" w:pos="0"/>
              </w:tabs>
              <w:jc w:val="center"/>
              <w:rPr>
                <w:sz w:val="22"/>
                <w:szCs w:val="22"/>
              </w:rPr>
            </w:pPr>
            <w:r w:rsidRPr="003C3CC8">
              <w:rPr>
                <w:sz w:val="22"/>
                <w:szCs w:val="22"/>
              </w:rPr>
              <w:t>Pregão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1CB9" w:rsidRPr="003C3CC8" w:rsidRDefault="008B1CB9" w:rsidP="00C30A7F">
            <w:pPr>
              <w:tabs>
                <w:tab w:val="num" w:pos="0"/>
              </w:tabs>
              <w:rPr>
                <w:sz w:val="22"/>
                <w:szCs w:val="22"/>
              </w:rPr>
            </w:pPr>
            <w:r w:rsidRPr="003C3CC8">
              <w:rPr>
                <w:sz w:val="22"/>
                <w:szCs w:val="22"/>
              </w:rPr>
              <w:t>R$ 1.463.000,00</w:t>
            </w:r>
          </w:p>
        </w:tc>
      </w:tr>
    </w:tbl>
    <w:p w:rsidR="00E62548" w:rsidRPr="000300E2" w:rsidRDefault="00E62548" w:rsidP="00E62548">
      <w:pPr>
        <w:pStyle w:val="Corpodetexto3"/>
        <w:jc w:val="center"/>
        <w:rPr>
          <w:szCs w:val="24"/>
        </w:rPr>
      </w:pPr>
    </w:p>
    <w:sectPr w:rsidR="00E62548" w:rsidRPr="000300E2" w:rsidSect="00A12996">
      <w:pgSz w:w="11907" w:h="16840" w:code="9"/>
      <w:pgMar w:top="1418" w:right="1134" w:bottom="1134" w:left="1418" w:header="737" w:footer="73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54A" w:rsidRDefault="00FA654A">
      <w:r>
        <w:separator/>
      </w:r>
    </w:p>
  </w:endnote>
  <w:endnote w:type="continuationSeparator" w:id="0">
    <w:p w:rsidR="00FA654A" w:rsidRDefault="00FA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AB2" w:rsidRDefault="000D0AB2" w:rsidP="00C47BC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1006E">
      <w:rPr>
        <w:rStyle w:val="Nmerodepgina"/>
        <w:noProof/>
      </w:rPr>
      <w:t>10</w:t>
    </w:r>
    <w:r>
      <w:rPr>
        <w:rStyle w:val="Nmerodepgina"/>
      </w:rPr>
      <w:fldChar w:fldCharType="end"/>
    </w:r>
  </w:p>
  <w:p w:rsidR="000D0AB2" w:rsidRDefault="000D0AB2" w:rsidP="00B4074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9FB" w:rsidRDefault="002309FB" w:rsidP="002309FB">
    <w:pPr>
      <w:pStyle w:val="Rodap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9FB" w:rsidRDefault="002309FB">
    <w:pPr>
      <w:pStyle w:val="Rodap"/>
      <w:jc w:val="right"/>
    </w:pPr>
  </w:p>
  <w:p w:rsidR="002E2AF3" w:rsidRDefault="002E2AF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54A" w:rsidRDefault="00FA654A">
      <w:r>
        <w:separator/>
      </w:r>
    </w:p>
  </w:footnote>
  <w:footnote w:type="continuationSeparator" w:id="0">
    <w:p w:rsidR="00FA654A" w:rsidRDefault="00FA654A">
      <w:r>
        <w:continuationSeparator/>
      </w:r>
    </w:p>
  </w:footnote>
  <w:footnote w:id="1">
    <w:p w:rsidR="00FB7328" w:rsidRDefault="00FB7328" w:rsidP="00E42830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Disponível em </w:t>
      </w:r>
      <w:r w:rsidRPr="00FB7328">
        <w:t>http://portal.tcu.gov.br/comunidades/controle-externo-das-aquisicoes-logisticas/atuacao/riscos-e-controles-nas-aquisicoes/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AB2" w:rsidRDefault="000D0AB2" w:rsidP="00355054">
    <w:pPr>
      <w:pStyle w:val="Cabealho"/>
      <w:framePr w:w="1134" w:h="1474" w:hRule="exact" w:wrap="around" w:vAnchor="page" w:hAnchor="page" w:x="1119" w:y="739"/>
      <w:ind w:right="119"/>
    </w:pPr>
  </w:p>
  <w:bookmarkStart w:id="0" w:name="_MON_1543676535"/>
  <w:bookmarkEnd w:id="0"/>
  <w:p w:rsidR="000D0AB2" w:rsidRPr="00F873CA" w:rsidRDefault="000D0AB2" w:rsidP="00A12996">
    <w:pPr>
      <w:tabs>
        <w:tab w:val="left" w:pos="900"/>
        <w:tab w:val="center" w:pos="4252"/>
        <w:tab w:val="right" w:pos="8504"/>
      </w:tabs>
      <w:spacing w:after="0"/>
      <w:jc w:val="center"/>
      <w:rPr>
        <w:rFonts w:eastAsia="Calibri"/>
        <w:b/>
        <w:caps/>
        <w:lang w:eastAsia="en-US"/>
      </w:rPr>
    </w:pPr>
    <w:r w:rsidRPr="00F873CA">
      <w:rPr>
        <w:rFonts w:ascii="Calibri" w:eastAsia="Calibri" w:hAnsi="Calibri"/>
        <w:sz w:val="22"/>
        <w:szCs w:val="22"/>
        <w:lang w:eastAsia="en-US"/>
      </w:rPr>
      <w:object w:dxaOrig="3521" w:dyaOrig="24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0.55pt;height:58.55pt" o:ole="" fillcolor="window">
          <v:imagedata r:id="rId1" o:title="" cropbottom="15491f" cropleft="9679f" cropright="9679f"/>
        </v:shape>
        <o:OLEObject Type="Embed" ProgID="Word.Picture.8" ShapeID="_x0000_i1025" DrawAspect="Content" ObjectID="_1682259361" r:id="rId2"/>
      </w:object>
    </w:r>
  </w:p>
  <w:p w:rsidR="000D0AB2" w:rsidRPr="00F873CA" w:rsidRDefault="000D0AB2" w:rsidP="00A12996">
    <w:pPr>
      <w:tabs>
        <w:tab w:val="left" w:pos="0"/>
        <w:tab w:val="center" w:pos="4252"/>
        <w:tab w:val="right" w:pos="8504"/>
      </w:tabs>
      <w:spacing w:after="0"/>
      <w:jc w:val="center"/>
      <w:rPr>
        <w:rFonts w:eastAsia="Calibri"/>
        <w:b/>
        <w:caps/>
        <w:lang w:eastAsia="en-US"/>
      </w:rPr>
    </w:pPr>
    <w:r w:rsidRPr="00F873CA">
      <w:rPr>
        <w:rFonts w:eastAsia="Calibri"/>
        <w:b/>
        <w:caps/>
        <w:lang w:eastAsia="en-US"/>
      </w:rPr>
      <w:t>Tribunal Regional Eleitoral DA BAHIA</w:t>
    </w:r>
  </w:p>
  <w:p w:rsidR="000D0AB2" w:rsidRPr="00F873CA" w:rsidRDefault="000D0AB2" w:rsidP="00A12996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  <w:r w:rsidRPr="00F873CA">
      <w:rPr>
        <w:rFonts w:eastAsia="Calibri"/>
        <w:lang w:eastAsia="en-US"/>
      </w:rPr>
      <w:t>Secretaria de Controle Interno e Auditoria</w:t>
    </w:r>
  </w:p>
  <w:p w:rsidR="000D0AB2" w:rsidRPr="00F873CA" w:rsidRDefault="000D0AB2" w:rsidP="00A12996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  <w:r w:rsidRPr="00F873CA">
      <w:rPr>
        <w:rFonts w:eastAsia="Calibri"/>
        <w:lang w:eastAsia="en-US"/>
      </w:rPr>
      <w:t>Coordenadoria de Auditoria, Acompanhamento e Orientação da Gestão</w:t>
    </w:r>
  </w:p>
  <w:p w:rsidR="000D0AB2" w:rsidRDefault="000D0AB2" w:rsidP="00A12996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  <w:r>
      <w:rPr>
        <w:rFonts w:eastAsia="Calibri"/>
        <w:lang w:eastAsia="en-US"/>
      </w:rPr>
      <w:t>Seção de Acompanhamento e Orientação à Gestão Administrativa</w:t>
    </w:r>
  </w:p>
  <w:p w:rsidR="000D0AB2" w:rsidRPr="00A12996" w:rsidRDefault="000D0AB2" w:rsidP="00A12996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AB2" w:rsidRDefault="000D0AB2" w:rsidP="00264EF3">
    <w:pPr>
      <w:pStyle w:val="Cabealho"/>
      <w:framePr w:w="1134" w:h="1474" w:hRule="exact" w:wrap="around" w:vAnchor="page" w:hAnchor="page" w:x="1119" w:y="739"/>
      <w:ind w:right="119"/>
    </w:pPr>
  </w:p>
  <w:p w:rsidR="000D0AB2" w:rsidRDefault="000D0AB2">
    <w:pPr>
      <w:pStyle w:val="Cabealho"/>
    </w:pPr>
  </w:p>
  <w:p w:rsidR="000D0AB2" w:rsidRPr="00F873CA" w:rsidRDefault="000D0AB2" w:rsidP="00A12996">
    <w:pPr>
      <w:tabs>
        <w:tab w:val="left" w:pos="900"/>
        <w:tab w:val="center" w:pos="4252"/>
        <w:tab w:val="right" w:pos="8504"/>
      </w:tabs>
      <w:spacing w:after="0"/>
      <w:jc w:val="center"/>
      <w:rPr>
        <w:rFonts w:eastAsia="Calibri"/>
        <w:b/>
        <w:caps/>
        <w:lang w:eastAsia="en-US"/>
      </w:rPr>
    </w:pPr>
    <w:r w:rsidRPr="00F873CA">
      <w:rPr>
        <w:rFonts w:ascii="Calibri" w:eastAsia="Calibri" w:hAnsi="Calibri"/>
        <w:sz w:val="22"/>
        <w:szCs w:val="22"/>
        <w:lang w:eastAsia="en-US"/>
      </w:rPr>
      <w:object w:dxaOrig="3521" w:dyaOrig="24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.55pt;height:58.55pt" o:ole="" fillcolor="window">
          <v:imagedata r:id="rId1" o:title="" cropbottom="15491f" cropleft="9679f" cropright="9679f"/>
        </v:shape>
        <o:OLEObject Type="Embed" ProgID="Word.Picture.8" ShapeID="_x0000_i1026" DrawAspect="Content" ObjectID="_1682259362" r:id="rId2"/>
      </w:object>
    </w:r>
  </w:p>
  <w:p w:rsidR="000D0AB2" w:rsidRPr="00F873CA" w:rsidRDefault="000D0AB2" w:rsidP="00A12996">
    <w:pPr>
      <w:tabs>
        <w:tab w:val="left" w:pos="0"/>
        <w:tab w:val="center" w:pos="4252"/>
        <w:tab w:val="right" w:pos="8504"/>
      </w:tabs>
      <w:spacing w:after="0"/>
      <w:jc w:val="center"/>
      <w:rPr>
        <w:rFonts w:eastAsia="Calibri"/>
        <w:b/>
        <w:caps/>
        <w:lang w:eastAsia="en-US"/>
      </w:rPr>
    </w:pPr>
    <w:r w:rsidRPr="00F873CA">
      <w:rPr>
        <w:rFonts w:eastAsia="Calibri"/>
        <w:b/>
        <w:caps/>
        <w:lang w:eastAsia="en-US"/>
      </w:rPr>
      <w:t>Tribunal Regional Eleitoral DA BAHIA</w:t>
    </w:r>
  </w:p>
  <w:p w:rsidR="000D0AB2" w:rsidRPr="00F873CA" w:rsidRDefault="000D0AB2" w:rsidP="00A12996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  <w:r w:rsidRPr="00F873CA">
      <w:rPr>
        <w:rFonts w:eastAsia="Calibri"/>
        <w:lang w:eastAsia="en-US"/>
      </w:rPr>
      <w:t>Secretaria de Controle Interno e Auditoria</w:t>
    </w:r>
  </w:p>
  <w:p w:rsidR="000D0AB2" w:rsidRPr="00F873CA" w:rsidRDefault="000D0AB2" w:rsidP="00A12996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  <w:r w:rsidRPr="00F873CA">
      <w:rPr>
        <w:rFonts w:eastAsia="Calibri"/>
        <w:lang w:eastAsia="en-US"/>
      </w:rPr>
      <w:t>Coordenadoria de Auditoria, Acompanhamento e Orientação da Gestão</w:t>
    </w:r>
  </w:p>
  <w:p w:rsidR="000D0AB2" w:rsidRPr="00A12996" w:rsidRDefault="000D0AB2" w:rsidP="00A12996">
    <w:pPr>
      <w:widowControl w:val="0"/>
      <w:tabs>
        <w:tab w:val="left" w:pos="0"/>
        <w:tab w:val="left" w:pos="214"/>
      </w:tabs>
      <w:spacing w:after="0"/>
      <w:jc w:val="center"/>
      <w:rPr>
        <w:rFonts w:eastAsia="Calibri"/>
        <w:lang w:eastAsia="en-US"/>
      </w:rPr>
    </w:pPr>
    <w:r>
      <w:rPr>
        <w:rFonts w:eastAsia="Calibri"/>
        <w:lang w:eastAsia="en-US"/>
      </w:rPr>
      <w:t>Seção de Acompanhamento e Orientação à Gestão Administrativa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0D8C"/>
    <w:multiLevelType w:val="hybridMultilevel"/>
    <w:tmpl w:val="DC2C311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26428"/>
    <w:multiLevelType w:val="hybridMultilevel"/>
    <w:tmpl w:val="44B647F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84138"/>
    <w:multiLevelType w:val="hybridMultilevel"/>
    <w:tmpl w:val="78747A8E"/>
    <w:lvl w:ilvl="0" w:tplc="3E9C7A76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70A218A"/>
    <w:multiLevelType w:val="multilevel"/>
    <w:tmpl w:val="CB32B0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26A6E56"/>
    <w:multiLevelType w:val="hybridMultilevel"/>
    <w:tmpl w:val="4C780DE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46430"/>
    <w:multiLevelType w:val="multilevel"/>
    <w:tmpl w:val="C568CFC4"/>
    <w:lvl w:ilvl="0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E26A6F"/>
    <w:multiLevelType w:val="hybridMultilevel"/>
    <w:tmpl w:val="DDBCF26C"/>
    <w:lvl w:ilvl="0" w:tplc="C128A9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9324CF"/>
    <w:multiLevelType w:val="hybridMultilevel"/>
    <w:tmpl w:val="032CF9D6"/>
    <w:lvl w:ilvl="0" w:tplc="7D76BFC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3F5530"/>
    <w:multiLevelType w:val="hybridMultilevel"/>
    <w:tmpl w:val="4A6807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3595B"/>
    <w:multiLevelType w:val="multilevel"/>
    <w:tmpl w:val="3BEA1132"/>
    <w:lvl w:ilvl="0">
      <w:start w:val="1"/>
      <w:numFmt w:val="decimal"/>
      <w:pStyle w:val="PargrafodaLista1"/>
      <w:lvlText w:val="%1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29B3EAF"/>
    <w:multiLevelType w:val="hybridMultilevel"/>
    <w:tmpl w:val="EDBAB1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554BBD"/>
    <w:multiLevelType w:val="hybridMultilevel"/>
    <w:tmpl w:val="BE926BCA"/>
    <w:lvl w:ilvl="0" w:tplc="0416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813EB8"/>
    <w:multiLevelType w:val="multilevel"/>
    <w:tmpl w:val="C568CFC4"/>
    <w:lvl w:ilvl="0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34728F"/>
    <w:multiLevelType w:val="multilevel"/>
    <w:tmpl w:val="61682AB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9"/>
    <w:lvlOverride w:ilvl="0">
      <w:startOverride w:val="1"/>
    </w:lvlOverride>
  </w:num>
  <w:num w:numId="4">
    <w:abstractNumId w:val="7"/>
  </w:num>
  <w:num w:numId="5">
    <w:abstractNumId w:val="11"/>
  </w:num>
  <w:num w:numId="6">
    <w:abstractNumId w:val="12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3"/>
  </w:num>
  <w:num w:numId="12">
    <w:abstractNumId w:val="0"/>
  </w:num>
  <w:num w:numId="13">
    <w:abstractNumId w:val="3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pt-BR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A3"/>
    <w:rsid w:val="00000A29"/>
    <w:rsid w:val="00000BB7"/>
    <w:rsid w:val="00000F04"/>
    <w:rsid w:val="00001787"/>
    <w:rsid w:val="00002214"/>
    <w:rsid w:val="00002B47"/>
    <w:rsid w:val="00002CDA"/>
    <w:rsid w:val="0000434C"/>
    <w:rsid w:val="00006A7F"/>
    <w:rsid w:val="000075FC"/>
    <w:rsid w:val="00010982"/>
    <w:rsid w:val="00017B2E"/>
    <w:rsid w:val="000207E9"/>
    <w:rsid w:val="000249F3"/>
    <w:rsid w:val="000300E2"/>
    <w:rsid w:val="00030505"/>
    <w:rsid w:val="000309EB"/>
    <w:rsid w:val="000316EE"/>
    <w:rsid w:val="00042244"/>
    <w:rsid w:val="0004321A"/>
    <w:rsid w:val="00046672"/>
    <w:rsid w:val="00052BE1"/>
    <w:rsid w:val="00053439"/>
    <w:rsid w:val="0005500F"/>
    <w:rsid w:val="00056D5E"/>
    <w:rsid w:val="0006070A"/>
    <w:rsid w:val="00064B25"/>
    <w:rsid w:val="00067113"/>
    <w:rsid w:val="00067B0F"/>
    <w:rsid w:val="0007302E"/>
    <w:rsid w:val="00077D1B"/>
    <w:rsid w:val="0008331F"/>
    <w:rsid w:val="0008556F"/>
    <w:rsid w:val="000904CC"/>
    <w:rsid w:val="00090857"/>
    <w:rsid w:val="00090B5C"/>
    <w:rsid w:val="000913AB"/>
    <w:rsid w:val="0009668C"/>
    <w:rsid w:val="0009701B"/>
    <w:rsid w:val="000978B2"/>
    <w:rsid w:val="000A0B2B"/>
    <w:rsid w:val="000A6363"/>
    <w:rsid w:val="000A6410"/>
    <w:rsid w:val="000A6999"/>
    <w:rsid w:val="000A6A13"/>
    <w:rsid w:val="000A6AA6"/>
    <w:rsid w:val="000A78F6"/>
    <w:rsid w:val="000A7C3F"/>
    <w:rsid w:val="000B44B8"/>
    <w:rsid w:val="000B542F"/>
    <w:rsid w:val="000B789D"/>
    <w:rsid w:val="000C1063"/>
    <w:rsid w:val="000C2B79"/>
    <w:rsid w:val="000C4A4C"/>
    <w:rsid w:val="000C5265"/>
    <w:rsid w:val="000C5544"/>
    <w:rsid w:val="000D0AB2"/>
    <w:rsid w:val="000D4625"/>
    <w:rsid w:val="000D6AFA"/>
    <w:rsid w:val="000D728E"/>
    <w:rsid w:val="000E323D"/>
    <w:rsid w:val="000E41BC"/>
    <w:rsid w:val="000F1420"/>
    <w:rsid w:val="000F420D"/>
    <w:rsid w:val="000F4F02"/>
    <w:rsid w:val="000F50D7"/>
    <w:rsid w:val="000F5A9D"/>
    <w:rsid w:val="000F5C0C"/>
    <w:rsid w:val="00101BD6"/>
    <w:rsid w:val="001021F7"/>
    <w:rsid w:val="00102F09"/>
    <w:rsid w:val="0010609B"/>
    <w:rsid w:val="00106FFA"/>
    <w:rsid w:val="0011006E"/>
    <w:rsid w:val="00111B2A"/>
    <w:rsid w:val="0011245E"/>
    <w:rsid w:val="00112B76"/>
    <w:rsid w:val="00115EC0"/>
    <w:rsid w:val="00117957"/>
    <w:rsid w:val="001206BD"/>
    <w:rsid w:val="00122BEB"/>
    <w:rsid w:val="0013550A"/>
    <w:rsid w:val="0013574E"/>
    <w:rsid w:val="0014280C"/>
    <w:rsid w:val="00142E9D"/>
    <w:rsid w:val="00147A2E"/>
    <w:rsid w:val="00152D7F"/>
    <w:rsid w:val="00156F7D"/>
    <w:rsid w:val="00157D36"/>
    <w:rsid w:val="0016223A"/>
    <w:rsid w:val="00162804"/>
    <w:rsid w:val="001638B9"/>
    <w:rsid w:val="0016439F"/>
    <w:rsid w:val="0016531A"/>
    <w:rsid w:val="00167D1F"/>
    <w:rsid w:val="0017028A"/>
    <w:rsid w:val="0017051B"/>
    <w:rsid w:val="00170713"/>
    <w:rsid w:val="00180038"/>
    <w:rsid w:val="00180ED1"/>
    <w:rsid w:val="00184A92"/>
    <w:rsid w:val="00186087"/>
    <w:rsid w:val="001865CA"/>
    <w:rsid w:val="0018750B"/>
    <w:rsid w:val="0019285C"/>
    <w:rsid w:val="00193993"/>
    <w:rsid w:val="001957F4"/>
    <w:rsid w:val="00195E5D"/>
    <w:rsid w:val="00196029"/>
    <w:rsid w:val="001A0401"/>
    <w:rsid w:val="001A1867"/>
    <w:rsid w:val="001B49DE"/>
    <w:rsid w:val="001B54E1"/>
    <w:rsid w:val="001B5C04"/>
    <w:rsid w:val="001B6501"/>
    <w:rsid w:val="001B6545"/>
    <w:rsid w:val="001B7404"/>
    <w:rsid w:val="001C09C7"/>
    <w:rsid w:val="001C0AE2"/>
    <w:rsid w:val="001C2850"/>
    <w:rsid w:val="001C384E"/>
    <w:rsid w:val="001C414C"/>
    <w:rsid w:val="001C548E"/>
    <w:rsid w:val="001C611D"/>
    <w:rsid w:val="001C6DA3"/>
    <w:rsid w:val="001C7670"/>
    <w:rsid w:val="001D177D"/>
    <w:rsid w:val="001D1CB8"/>
    <w:rsid w:val="001D7198"/>
    <w:rsid w:val="001E637B"/>
    <w:rsid w:val="001E724C"/>
    <w:rsid w:val="001F0097"/>
    <w:rsid w:val="001F0D3A"/>
    <w:rsid w:val="001F317A"/>
    <w:rsid w:val="001F33D4"/>
    <w:rsid w:val="001F3457"/>
    <w:rsid w:val="002015A2"/>
    <w:rsid w:val="00202936"/>
    <w:rsid w:val="0020658F"/>
    <w:rsid w:val="00206AC1"/>
    <w:rsid w:val="00210356"/>
    <w:rsid w:val="00214EC7"/>
    <w:rsid w:val="00216758"/>
    <w:rsid w:val="00223DB0"/>
    <w:rsid w:val="00224B47"/>
    <w:rsid w:val="002302FD"/>
    <w:rsid w:val="002309FB"/>
    <w:rsid w:val="00232FA6"/>
    <w:rsid w:val="00233541"/>
    <w:rsid w:val="002337C1"/>
    <w:rsid w:val="002347C5"/>
    <w:rsid w:val="00234A8A"/>
    <w:rsid w:val="00240A0F"/>
    <w:rsid w:val="00241707"/>
    <w:rsid w:val="00245E93"/>
    <w:rsid w:val="002478EF"/>
    <w:rsid w:val="00247EB2"/>
    <w:rsid w:val="00252752"/>
    <w:rsid w:val="00256824"/>
    <w:rsid w:val="0025719D"/>
    <w:rsid w:val="00264B6D"/>
    <w:rsid w:val="00264EF3"/>
    <w:rsid w:val="00265B6C"/>
    <w:rsid w:val="00266A4D"/>
    <w:rsid w:val="00276893"/>
    <w:rsid w:val="00276DFF"/>
    <w:rsid w:val="00277155"/>
    <w:rsid w:val="00277464"/>
    <w:rsid w:val="002803BA"/>
    <w:rsid w:val="002807BD"/>
    <w:rsid w:val="0028273F"/>
    <w:rsid w:val="00282D36"/>
    <w:rsid w:val="002838EC"/>
    <w:rsid w:val="00287CD1"/>
    <w:rsid w:val="002908D7"/>
    <w:rsid w:val="0029099A"/>
    <w:rsid w:val="00290CC3"/>
    <w:rsid w:val="0029389C"/>
    <w:rsid w:val="00293ED2"/>
    <w:rsid w:val="00294C91"/>
    <w:rsid w:val="00295294"/>
    <w:rsid w:val="00296CCB"/>
    <w:rsid w:val="002A36FB"/>
    <w:rsid w:val="002A53A1"/>
    <w:rsid w:val="002B024F"/>
    <w:rsid w:val="002B06A3"/>
    <w:rsid w:val="002B0F9C"/>
    <w:rsid w:val="002B35DA"/>
    <w:rsid w:val="002C0EC7"/>
    <w:rsid w:val="002C13F8"/>
    <w:rsid w:val="002C3470"/>
    <w:rsid w:val="002C3FE6"/>
    <w:rsid w:val="002C4BC9"/>
    <w:rsid w:val="002C5A6B"/>
    <w:rsid w:val="002C6F9B"/>
    <w:rsid w:val="002D0922"/>
    <w:rsid w:val="002D5065"/>
    <w:rsid w:val="002E2AF3"/>
    <w:rsid w:val="002E6239"/>
    <w:rsid w:val="002E68C2"/>
    <w:rsid w:val="002E7C7F"/>
    <w:rsid w:val="002F0428"/>
    <w:rsid w:val="002F3A3C"/>
    <w:rsid w:val="002F49DE"/>
    <w:rsid w:val="002F5F77"/>
    <w:rsid w:val="002F668C"/>
    <w:rsid w:val="002F7C0C"/>
    <w:rsid w:val="00300E5C"/>
    <w:rsid w:val="0030170E"/>
    <w:rsid w:val="00302349"/>
    <w:rsid w:val="00303151"/>
    <w:rsid w:val="00304D3C"/>
    <w:rsid w:val="003067CE"/>
    <w:rsid w:val="003072AF"/>
    <w:rsid w:val="003111FB"/>
    <w:rsid w:val="0031232A"/>
    <w:rsid w:val="003210B8"/>
    <w:rsid w:val="00330B94"/>
    <w:rsid w:val="0033367C"/>
    <w:rsid w:val="00337AD3"/>
    <w:rsid w:val="00343948"/>
    <w:rsid w:val="00346429"/>
    <w:rsid w:val="003478A5"/>
    <w:rsid w:val="003506AB"/>
    <w:rsid w:val="0035164A"/>
    <w:rsid w:val="00351915"/>
    <w:rsid w:val="00353718"/>
    <w:rsid w:val="00354873"/>
    <w:rsid w:val="00355054"/>
    <w:rsid w:val="003557AD"/>
    <w:rsid w:val="003621EB"/>
    <w:rsid w:val="00370422"/>
    <w:rsid w:val="003751CF"/>
    <w:rsid w:val="003829EB"/>
    <w:rsid w:val="00383B19"/>
    <w:rsid w:val="003844A4"/>
    <w:rsid w:val="00384958"/>
    <w:rsid w:val="00384E93"/>
    <w:rsid w:val="00384F20"/>
    <w:rsid w:val="003915D0"/>
    <w:rsid w:val="00393263"/>
    <w:rsid w:val="00393958"/>
    <w:rsid w:val="00393C54"/>
    <w:rsid w:val="0039532F"/>
    <w:rsid w:val="00397F94"/>
    <w:rsid w:val="003A014D"/>
    <w:rsid w:val="003A0C4F"/>
    <w:rsid w:val="003A0DEA"/>
    <w:rsid w:val="003A1453"/>
    <w:rsid w:val="003A23A1"/>
    <w:rsid w:val="003B00FC"/>
    <w:rsid w:val="003B2FBB"/>
    <w:rsid w:val="003B37DC"/>
    <w:rsid w:val="003B3A56"/>
    <w:rsid w:val="003B4037"/>
    <w:rsid w:val="003B4DCB"/>
    <w:rsid w:val="003B4DF6"/>
    <w:rsid w:val="003B5D52"/>
    <w:rsid w:val="003C1A3A"/>
    <w:rsid w:val="003C2AA5"/>
    <w:rsid w:val="003C3CC8"/>
    <w:rsid w:val="003C5949"/>
    <w:rsid w:val="003C5B4F"/>
    <w:rsid w:val="003C74CE"/>
    <w:rsid w:val="003D0F49"/>
    <w:rsid w:val="003E2A18"/>
    <w:rsid w:val="003E5C0C"/>
    <w:rsid w:val="003F3C3E"/>
    <w:rsid w:val="003F47E8"/>
    <w:rsid w:val="004013CC"/>
    <w:rsid w:val="004018C0"/>
    <w:rsid w:val="004031CE"/>
    <w:rsid w:val="00403D7E"/>
    <w:rsid w:val="00404017"/>
    <w:rsid w:val="00406E9D"/>
    <w:rsid w:val="00417CBD"/>
    <w:rsid w:val="0042015A"/>
    <w:rsid w:val="004206C8"/>
    <w:rsid w:val="00425534"/>
    <w:rsid w:val="00426CE4"/>
    <w:rsid w:val="004303E5"/>
    <w:rsid w:val="00431822"/>
    <w:rsid w:val="0043419D"/>
    <w:rsid w:val="00436969"/>
    <w:rsid w:val="00437336"/>
    <w:rsid w:val="004374F3"/>
    <w:rsid w:val="00437931"/>
    <w:rsid w:val="00440081"/>
    <w:rsid w:val="004408FF"/>
    <w:rsid w:val="00442EE2"/>
    <w:rsid w:val="004434F0"/>
    <w:rsid w:val="00443BD6"/>
    <w:rsid w:val="0044446A"/>
    <w:rsid w:val="0044569E"/>
    <w:rsid w:val="00450BEB"/>
    <w:rsid w:val="00453C45"/>
    <w:rsid w:val="00456185"/>
    <w:rsid w:val="004604F5"/>
    <w:rsid w:val="00467581"/>
    <w:rsid w:val="00474861"/>
    <w:rsid w:val="004879D1"/>
    <w:rsid w:val="00491CBC"/>
    <w:rsid w:val="00491F3F"/>
    <w:rsid w:val="00494B5E"/>
    <w:rsid w:val="0049584E"/>
    <w:rsid w:val="00495A98"/>
    <w:rsid w:val="00495D3B"/>
    <w:rsid w:val="004A3F77"/>
    <w:rsid w:val="004A41E2"/>
    <w:rsid w:val="004A6412"/>
    <w:rsid w:val="004A74E8"/>
    <w:rsid w:val="004B00E2"/>
    <w:rsid w:val="004B1C53"/>
    <w:rsid w:val="004B3D1D"/>
    <w:rsid w:val="004B4626"/>
    <w:rsid w:val="004B62E4"/>
    <w:rsid w:val="004B6FD9"/>
    <w:rsid w:val="004B7298"/>
    <w:rsid w:val="004B76F8"/>
    <w:rsid w:val="004C2006"/>
    <w:rsid w:val="004C2638"/>
    <w:rsid w:val="004C36F0"/>
    <w:rsid w:val="004C3D8E"/>
    <w:rsid w:val="004C52E3"/>
    <w:rsid w:val="004C5F84"/>
    <w:rsid w:val="004D1B41"/>
    <w:rsid w:val="004D3133"/>
    <w:rsid w:val="004D4F83"/>
    <w:rsid w:val="004E0133"/>
    <w:rsid w:val="004E03A5"/>
    <w:rsid w:val="004E37BE"/>
    <w:rsid w:val="004E5131"/>
    <w:rsid w:val="004F01A5"/>
    <w:rsid w:val="004F18B3"/>
    <w:rsid w:val="004F1F47"/>
    <w:rsid w:val="004F3C91"/>
    <w:rsid w:val="004F5280"/>
    <w:rsid w:val="004F6563"/>
    <w:rsid w:val="004F760E"/>
    <w:rsid w:val="005012C9"/>
    <w:rsid w:val="00501359"/>
    <w:rsid w:val="0050295B"/>
    <w:rsid w:val="00502F4C"/>
    <w:rsid w:val="00503F4F"/>
    <w:rsid w:val="00504297"/>
    <w:rsid w:val="00504ED2"/>
    <w:rsid w:val="00507DE0"/>
    <w:rsid w:val="00512577"/>
    <w:rsid w:val="0051267C"/>
    <w:rsid w:val="00515FE2"/>
    <w:rsid w:val="00517D28"/>
    <w:rsid w:val="005218CE"/>
    <w:rsid w:val="0052362C"/>
    <w:rsid w:val="005244AA"/>
    <w:rsid w:val="0053169C"/>
    <w:rsid w:val="0053275C"/>
    <w:rsid w:val="00536DA1"/>
    <w:rsid w:val="00537956"/>
    <w:rsid w:val="005419F9"/>
    <w:rsid w:val="00545E16"/>
    <w:rsid w:val="0055065F"/>
    <w:rsid w:val="00552D12"/>
    <w:rsid w:val="00555465"/>
    <w:rsid w:val="005556AB"/>
    <w:rsid w:val="00555B2D"/>
    <w:rsid w:val="005746D3"/>
    <w:rsid w:val="00575FAB"/>
    <w:rsid w:val="0059141A"/>
    <w:rsid w:val="0059418D"/>
    <w:rsid w:val="00594355"/>
    <w:rsid w:val="00596298"/>
    <w:rsid w:val="00597523"/>
    <w:rsid w:val="005A7586"/>
    <w:rsid w:val="005B5D75"/>
    <w:rsid w:val="005B7394"/>
    <w:rsid w:val="005C0504"/>
    <w:rsid w:val="005C2EE3"/>
    <w:rsid w:val="005C3439"/>
    <w:rsid w:val="005C36DF"/>
    <w:rsid w:val="005C4D4C"/>
    <w:rsid w:val="005C686D"/>
    <w:rsid w:val="005C6F25"/>
    <w:rsid w:val="005D543C"/>
    <w:rsid w:val="005E140E"/>
    <w:rsid w:val="005E2368"/>
    <w:rsid w:val="005E4B6E"/>
    <w:rsid w:val="005E52DA"/>
    <w:rsid w:val="005E66E6"/>
    <w:rsid w:val="005F3DD3"/>
    <w:rsid w:val="005F630E"/>
    <w:rsid w:val="005F7620"/>
    <w:rsid w:val="00600E26"/>
    <w:rsid w:val="00604FE6"/>
    <w:rsid w:val="00606310"/>
    <w:rsid w:val="006105A6"/>
    <w:rsid w:val="0061067E"/>
    <w:rsid w:val="0061372C"/>
    <w:rsid w:val="006138F2"/>
    <w:rsid w:val="00615155"/>
    <w:rsid w:val="006239D1"/>
    <w:rsid w:val="0062431C"/>
    <w:rsid w:val="006351BE"/>
    <w:rsid w:val="0064007F"/>
    <w:rsid w:val="00642348"/>
    <w:rsid w:val="00643883"/>
    <w:rsid w:val="00652382"/>
    <w:rsid w:val="00656476"/>
    <w:rsid w:val="00657416"/>
    <w:rsid w:val="006601F2"/>
    <w:rsid w:val="006609F3"/>
    <w:rsid w:val="00660EAA"/>
    <w:rsid w:val="00660EBE"/>
    <w:rsid w:val="0066370F"/>
    <w:rsid w:val="006644A2"/>
    <w:rsid w:val="00667411"/>
    <w:rsid w:val="00673EC6"/>
    <w:rsid w:val="00674174"/>
    <w:rsid w:val="00675FB8"/>
    <w:rsid w:val="006768E1"/>
    <w:rsid w:val="006770D3"/>
    <w:rsid w:val="0068529E"/>
    <w:rsid w:val="0068663C"/>
    <w:rsid w:val="0068722D"/>
    <w:rsid w:val="0069002E"/>
    <w:rsid w:val="00690424"/>
    <w:rsid w:val="00690A9D"/>
    <w:rsid w:val="0069783B"/>
    <w:rsid w:val="006A0C86"/>
    <w:rsid w:val="006A599C"/>
    <w:rsid w:val="006A7108"/>
    <w:rsid w:val="006B2605"/>
    <w:rsid w:val="006B49D7"/>
    <w:rsid w:val="006B6B82"/>
    <w:rsid w:val="006C02CD"/>
    <w:rsid w:val="006C1BAE"/>
    <w:rsid w:val="006C43CC"/>
    <w:rsid w:val="006C6DE9"/>
    <w:rsid w:val="006C7DDA"/>
    <w:rsid w:val="006D1972"/>
    <w:rsid w:val="006D2B4C"/>
    <w:rsid w:val="006D36E2"/>
    <w:rsid w:val="006D382C"/>
    <w:rsid w:val="006D4E14"/>
    <w:rsid w:val="006D59F6"/>
    <w:rsid w:val="006D634D"/>
    <w:rsid w:val="006E1E4F"/>
    <w:rsid w:val="006E3BCE"/>
    <w:rsid w:val="006E5B5F"/>
    <w:rsid w:val="006E642F"/>
    <w:rsid w:val="006F2C16"/>
    <w:rsid w:val="006F48FF"/>
    <w:rsid w:val="006F5ED8"/>
    <w:rsid w:val="006F60BA"/>
    <w:rsid w:val="006F61C6"/>
    <w:rsid w:val="006F72EA"/>
    <w:rsid w:val="007064E3"/>
    <w:rsid w:val="00707789"/>
    <w:rsid w:val="007115D9"/>
    <w:rsid w:val="00715136"/>
    <w:rsid w:val="00722FBE"/>
    <w:rsid w:val="00726653"/>
    <w:rsid w:val="00726BE1"/>
    <w:rsid w:val="0072726E"/>
    <w:rsid w:val="007320F3"/>
    <w:rsid w:val="00735021"/>
    <w:rsid w:val="007358EE"/>
    <w:rsid w:val="0073668C"/>
    <w:rsid w:val="007403D6"/>
    <w:rsid w:val="00741DB5"/>
    <w:rsid w:val="00747F8F"/>
    <w:rsid w:val="0075298E"/>
    <w:rsid w:val="00752D31"/>
    <w:rsid w:val="0075495F"/>
    <w:rsid w:val="00755BEC"/>
    <w:rsid w:val="0076124D"/>
    <w:rsid w:val="00767FDF"/>
    <w:rsid w:val="00773203"/>
    <w:rsid w:val="00773294"/>
    <w:rsid w:val="0077351F"/>
    <w:rsid w:val="00775F52"/>
    <w:rsid w:val="00775FAC"/>
    <w:rsid w:val="00777170"/>
    <w:rsid w:val="00780E62"/>
    <w:rsid w:val="00782950"/>
    <w:rsid w:val="0078376F"/>
    <w:rsid w:val="00783C52"/>
    <w:rsid w:val="007853A9"/>
    <w:rsid w:val="007863D3"/>
    <w:rsid w:val="00786DE6"/>
    <w:rsid w:val="0079587B"/>
    <w:rsid w:val="007A07F6"/>
    <w:rsid w:val="007A24A8"/>
    <w:rsid w:val="007A2D71"/>
    <w:rsid w:val="007A2DF5"/>
    <w:rsid w:val="007A3C46"/>
    <w:rsid w:val="007A5371"/>
    <w:rsid w:val="007B03C1"/>
    <w:rsid w:val="007B03F1"/>
    <w:rsid w:val="007B157D"/>
    <w:rsid w:val="007B2816"/>
    <w:rsid w:val="007B71B0"/>
    <w:rsid w:val="007C05FB"/>
    <w:rsid w:val="007C33FC"/>
    <w:rsid w:val="007C5136"/>
    <w:rsid w:val="007C515F"/>
    <w:rsid w:val="007C695D"/>
    <w:rsid w:val="007C7000"/>
    <w:rsid w:val="007C7AEC"/>
    <w:rsid w:val="007C7B17"/>
    <w:rsid w:val="007C7D07"/>
    <w:rsid w:val="007D0812"/>
    <w:rsid w:val="007D608F"/>
    <w:rsid w:val="007D6F32"/>
    <w:rsid w:val="007D72C9"/>
    <w:rsid w:val="007E0A0D"/>
    <w:rsid w:val="007E1177"/>
    <w:rsid w:val="007E54F5"/>
    <w:rsid w:val="007E5585"/>
    <w:rsid w:val="007E6097"/>
    <w:rsid w:val="007F080F"/>
    <w:rsid w:val="007F153C"/>
    <w:rsid w:val="007F6444"/>
    <w:rsid w:val="007F71BB"/>
    <w:rsid w:val="007F74A9"/>
    <w:rsid w:val="00801D58"/>
    <w:rsid w:val="00804439"/>
    <w:rsid w:val="008045D8"/>
    <w:rsid w:val="008065CF"/>
    <w:rsid w:val="008179C5"/>
    <w:rsid w:val="00823C1A"/>
    <w:rsid w:val="00825C3E"/>
    <w:rsid w:val="00826CAE"/>
    <w:rsid w:val="008314D9"/>
    <w:rsid w:val="0083485A"/>
    <w:rsid w:val="00836D21"/>
    <w:rsid w:val="00840D3B"/>
    <w:rsid w:val="0084152E"/>
    <w:rsid w:val="008419F8"/>
    <w:rsid w:val="00843329"/>
    <w:rsid w:val="008467A9"/>
    <w:rsid w:val="0084791D"/>
    <w:rsid w:val="008504E1"/>
    <w:rsid w:val="00850644"/>
    <w:rsid w:val="00851715"/>
    <w:rsid w:val="00852241"/>
    <w:rsid w:val="00853312"/>
    <w:rsid w:val="00856506"/>
    <w:rsid w:val="00862499"/>
    <w:rsid w:val="008639C2"/>
    <w:rsid w:val="00866996"/>
    <w:rsid w:val="00870E6D"/>
    <w:rsid w:val="00874769"/>
    <w:rsid w:val="00877F87"/>
    <w:rsid w:val="00882270"/>
    <w:rsid w:val="00886051"/>
    <w:rsid w:val="00890ED6"/>
    <w:rsid w:val="008A0CEE"/>
    <w:rsid w:val="008A2692"/>
    <w:rsid w:val="008A2B94"/>
    <w:rsid w:val="008A3239"/>
    <w:rsid w:val="008A40FB"/>
    <w:rsid w:val="008A4417"/>
    <w:rsid w:val="008A5B0F"/>
    <w:rsid w:val="008A5C2F"/>
    <w:rsid w:val="008B0486"/>
    <w:rsid w:val="008B17F8"/>
    <w:rsid w:val="008B1CB9"/>
    <w:rsid w:val="008B3285"/>
    <w:rsid w:val="008B3F3F"/>
    <w:rsid w:val="008B4F22"/>
    <w:rsid w:val="008B5D6D"/>
    <w:rsid w:val="008C4BE5"/>
    <w:rsid w:val="008C5607"/>
    <w:rsid w:val="008C6A0A"/>
    <w:rsid w:val="008C7522"/>
    <w:rsid w:val="008D1E45"/>
    <w:rsid w:val="008D416D"/>
    <w:rsid w:val="008D6EE4"/>
    <w:rsid w:val="008D7B53"/>
    <w:rsid w:val="008E0B01"/>
    <w:rsid w:val="008E1172"/>
    <w:rsid w:val="008E1566"/>
    <w:rsid w:val="008E53AE"/>
    <w:rsid w:val="008E7AC6"/>
    <w:rsid w:val="008F1D43"/>
    <w:rsid w:val="00901B64"/>
    <w:rsid w:val="00906415"/>
    <w:rsid w:val="009070CA"/>
    <w:rsid w:val="009105EC"/>
    <w:rsid w:val="00913082"/>
    <w:rsid w:val="00914D3A"/>
    <w:rsid w:val="00914EA3"/>
    <w:rsid w:val="00916522"/>
    <w:rsid w:val="0091712B"/>
    <w:rsid w:val="009207A2"/>
    <w:rsid w:val="0092430D"/>
    <w:rsid w:val="0092450D"/>
    <w:rsid w:val="0092632D"/>
    <w:rsid w:val="00930ABB"/>
    <w:rsid w:val="009362D5"/>
    <w:rsid w:val="0093776D"/>
    <w:rsid w:val="00937BFA"/>
    <w:rsid w:val="00942E95"/>
    <w:rsid w:val="00943FD0"/>
    <w:rsid w:val="00944AFA"/>
    <w:rsid w:val="0094695E"/>
    <w:rsid w:val="009469C4"/>
    <w:rsid w:val="00946D52"/>
    <w:rsid w:val="00955FDF"/>
    <w:rsid w:val="0095608C"/>
    <w:rsid w:val="00956B47"/>
    <w:rsid w:val="00962579"/>
    <w:rsid w:val="00962648"/>
    <w:rsid w:val="009709B9"/>
    <w:rsid w:val="0097212E"/>
    <w:rsid w:val="00972EB9"/>
    <w:rsid w:val="00977AF8"/>
    <w:rsid w:val="0098122F"/>
    <w:rsid w:val="00981D08"/>
    <w:rsid w:val="00983D76"/>
    <w:rsid w:val="00984D51"/>
    <w:rsid w:val="00985DF2"/>
    <w:rsid w:val="009877C0"/>
    <w:rsid w:val="00991397"/>
    <w:rsid w:val="00992515"/>
    <w:rsid w:val="009945D7"/>
    <w:rsid w:val="00995538"/>
    <w:rsid w:val="009962C7"/>
    <w:rsid w:val="009A69E3"/>
    <w:rsid w:val="009A74FA"/>
    <w:rsid w:val="009B0DE9"/>
    <w:rsid w:val="009B11BC"/>
    <w:rsid w:val="009B2183"/>
    <w:rsid w:val="009B340D"/>
    <w:rsid w:val="009B3B27"/>
    <w:rsid w:val="009B4103"/>
    <w:rsid w:val="009B4CAD"/>
    <w:rsid w:val="009C0FD1"/>
    <w:rsid w:val="009C1E05"/>
    <w:rsid w:val="009C2B6F"/>
    <w:rsid w:val="009C341E"/>
    <w:rsid w:val="009C36CB"/>
    <w:rsid w:val="009C5BE8"/>
    <w:rsid w:val="009D073A"/>
    <w:rsid w:val="009D34B5"/>
    <w:rsid w:val="009D3DB5"/>
    <w:rsid w:val="009D3ED0"/>
    <w:rsid w:val="009D3F09"/>
    <w:rsid w:val="009D4952"/>
    <w:rsid w:val="009D532F"/>
    <w:rsid w:val="009D6F01"/>
    <w:rsid w:val="009E2151"/>
    <w:rsid w:val="009E2972"/>
    <w:rsid w:val="009E4E03"/>
    <w:rsid w:val="009E54B8"/>
    <w:rsid w:val="009E5DF0"/>
    <w:rsid w:val="009E7B95"/>
    <w:rsid w:val="009F0682"/>
    <w:rsid w:val="009F5F20"/>
    <w:rsid w:val="009F7A8F"/>
    <w:rsid w:val="00A07BD0"/>
    <w:rsid w:val="00A07EDB"/>
    <w:rsid w:val="00A12996"/>
    <w:rsid w:val="00A13416"/>
    <w:rsid w:val="00A1504D"/>
    <w:rsid w:val="00A251B1"/>
    <w:rsid w:val="00A26A9D"/>
    <w:rsid w:val="00A3085A"/>
    <w:rsid w:val="00A33219"/>
    <w:rsid w:val="00A35705"/>
    <w:rsid w:val="00A36D45"/>
    <w:rsid w:val="00A407FF"/>
    <w:rsid w:val="00A40DC3"/>
    <w:rsid w:val="00A4238C"/>
    <w:rsid w:val="00A43D55"/>
    <w:rsid w:val="00A4477D"/>
    <w:rsid w:val="00A44A43"/>
    <w:rsid w:val="00A45B08"/>
    <w:rsid w:val="00A472F7"/>
    <w:rsid w:val="00A51008"/>
    <w:rsid w:val="00A52DE8"/>
    <w:rsid w:val="00A544A1"/>
    <w:rsid w:val="00A56586"/>
    <w:rsid w:val="00A56828"/>
    <w:rsid w:val="00A623F5"/>
    <w:rsid w:val="00A66DAC"/>
    <w:rsid w:val="00A7760C"/>
    <w:rsid w:val="00A81146"/>
    <w:rsid w:val="00A81160"/>
    <w:rsid w:val="00A82CC6"/>
    <w:rsid w:val="00A851C9"/>
    <w:rsid w:val="00A85554"/>
    <w:rsid w:val="00A90BC6"/>
    <w:rsid w:val="00A9155C"/>
    <w:rsid w:val="00A948B7"/>
    <w:rsid w:val="00A952BB"/>
    <w:rsid w:val="00AA27B6"/>
    <w:rsid w:val="00AA4E51"/>
    <w:rsid w:val="00AA6107"/>
    <w:rsid w:val="00AA7149"/>
    <w:rsid w:val="00AA7A79"/>
    <w:rsid w:val="00AB011D"/>
    <w:rsid w:val="00AB3F1B"/>
    <w:rsid w:val="00AB43BF"/>
    <w:rsid w:val="00AB5937"/>
    <w:rsid w:val="00AB5F75"/>
    <w:rsid w:val="00AB6882"/>
    <w:rsid w:val="00AB72DC"/>
    <w:rsid w:val="00AC0A49"/>
    <w:rsid w:val="00AC24D2"/>
    <w:rsid w:val="00AC2FD1"/>
    <w:rsid w:val="00AC473E"/>
    <w:rsid w:val="00AC4A9E"/>
    <w:rsid w:val="00AD03B2"/>
    <w:rsid w:val="00AD1624"/>
    <w:rsid w:val="00AD3916"/>
    <w:rsid w:val="00AD7CFD"/>
    <w:rsid w:val="00AE371B"/>
    <w:rsid w:val="00AE5F84"/>
    <w:rsid w:val="00AF2001"/>
    <w:rsid w:val="00AF208A"/>
    <w:rsid w:val="00AF2C1F"/>
    <w:rsid w:val="00AF3517"/>
    <w:rsid w:val="00B008DA"/>
    <w:rsid w:val="00B02402"/>
    <w:rsid w:val="00B02E68"/>
    <w:rsid w:val="00B02FEB"/>
    <w:rsid w:val="00B050EF"/>
    <w:rsid w:val="00B05631"/>
    <w:rsid w:val="00B07351"/>
    <w:rsid w:val="00B0767B"/>
    <w:rsid w:val="00B10762"/>
    <w:rsid w:val="00B22FEE"/>
    <w:rsid w:val="00B245AB"/>
    <w:rsid w:val="00B25F62"/>
    <w:rsid w:val="00B31AD3"/>
    <w:rsid w:val="00B3583B"/>
    <w:rsid w:val="00B402A8"/>
    <w:rsid w:val="00B40743"/>
    <w:rsid w:val="00B420A0"/>
    <w:rsid w:val="00B47086"/>
    <w:rsid w:val="00B51926"/>
    <w:rsid w:val="00B549BA"/>
    <w:rsid w:val="00B57687"/>
    <w:rsid w:val="00B645D6"/>
    <w:rsid w:val="00B64EC4"/>
    <w:rsid w:val="00B66AB4"/>
    <w:rsid w:val="00B678CA"/>
    <w:rsid w:val="00B70323"/>
    <w:rsid w:val="00B71170"/>
    <w:rsid w:val="00B726BC"/>
    <w:rsid w:val="00B7409F"/>
    <w:rsid w:val="00B74734"/>
    <w:rsid w:val="00B75104"/>
    <w:rsid w:val="00B75363"/>
    <w:rsid w:val="00B758D5"/>
    <w:rsid w:val="00B75C0E"/>
    <w:rsid w:val="00B75F49"/>
    <w:rsid w:val="00B77CAE"/>
    <w:rsid w:val="00B81979"/>
    <w:rsid w:val="00B87381"/>
    <w:rsid w:val="00B909C2"/>
    <w:rsid w:val="00B92D48"/>
    <w:rsid w:val="00B94063"/>
    <w:rsid w:val="00B95D7B"/>
    <w:rsid w:val="00BA12C1"/>
    <w:rsid w:val="00BA2BE4"/>
    <w:rsid w:val="00BA3684"/>
    <w:rsid w:val="00BA43AD"/>
    <w:rsid w:val="00BA4FB3"/>
    <w:rsid w:val="00BA75A3"/>
    <w:rsid w:val="00BB0E3D"/>
    <w:rsid w:val="00BB390B"/>
    <w:rsid w:val="00BB4D17"/>
    <w:rsid w:val="00BC5A1B"/>
    <w:rsid w:val="00BD577D"/>
    <w:rsid w:val="00BE0713"/>
    <w:rsid w:val="00BE32D4"/>
    <w:rsid w:val="00BE6F15"/>
    <w:rsid w:val="00BF057C"/>
    <w:rsid w:val="00BF0875"/>
    <w:rsid w:val="00BF0A7A"/>
    <w:rsid w:val="00BF2DC4"/>
    <w:rsid w:val="00BF44D9"/>
    <w:rsid w:val="00BF4653"/>
    <w:rsid w:val="00BF6DCF"/>
    <w:rsid w:val="00BF6E47"/>
    <w:rsid w:val="00BF7B8D"/>
    <w:rsid w:val="00C02B02"/>
    <w:rsid w:val="00C0387B"/>
    <w:rsid w:val="00C1118D"/>
    <w:rsid w:val="00C14E7E"/>
    <w:rsid w:val="00C15601"/>
    <w:rsid w:val="00C16A02"/>
    <w:rsid w:val="00C20E3B"/>
    <w:rsid w:val="00C223CA"/>
    <w:rsid w:val="00C30A7F"/>
    <w:rsid w:val="00C41675"/>
    <w:rsid w:val="00C45948"/>
    <w:rsid w:val="00C46767"/>
    <w:rsid w:val="00C47BCA"/>
    <w:rsid w:val="00C47DC1"/>
    <w:rsid w:val="00C55731"/>
    <w:rsid w:val="00C56B05"/>
    <w:rsid w:val="00C57017"/>
    <w:rsid w:val="00C5739C"/>
    <w:rsid w:val="00C602C8"/>
    <w:rsid w:val="00C61449"/>
    <w:rsid w:val="00C61AE5"/>
    <w:rsid w:val="00C61ED1"/>
    <w:rsid w:val="00C660E4"/>
    <w:rsid w:val="00C67C2C"/>
    <w:rsid w:val="00C701F2"/>
    <w:rsid w:val="00C71518"/>
    <w:rsid w:val="00C753A8"/>
    <w:rsid w:val="00C76E8D"/>
    <w:rsid w:val="00C812B4"/>
    <w:rsid w:val="00C86B41"/>
    <w:rsid w:val="00C8705A"/>
    <w:rsid w:val="00C91D17"/>
    <w:rsid w:val="00C9586C"/>
    <w:rsid w:val="00CA067D"/>
    <w:rsid w:val="00CA0AA9"/>
    <w:rsid w:val="00CA11AE"/>
    <w:rsid w:val="00CA1F2D"/>
    <w:rsid w:val="00CA2088"/>
    <w:rsid w:val="00CA23C2"/>
    <w:rsid w:val="00CA420B"/>
    <w:rsid w:val="00CB13FF"/>
    <w:rsid w:val="00CB2F09"/>
    <w:rsid w:val="00CC217A"/>
    <w:rsid w:val="00CC277A"/>
    <w:rsid w:val="00CD45B3"/>
    <w:rsid w:val="00CE03B8"/>
    <w:rsid w:val="00CE2945"/>
    <w:rsid w:val="00CE2DA3"/>
    <w:rsid w:val="00CE65BB"/>
    <w:rsid w:val="00CF13E9"/>
    <w:rsid w:val="00CF5A8A"/>
    <w:rsid w:val="00CF5CDB"/>
    <w:rsid w:val="00CF5E18"/>
    <w:rsid w:val="00CF72D6"/>
    <w:rsid w:val="00D02524"/>
    <w:rsid w:val="00D03950"/>
    <w:rsid w:val="00D03A2A"/>
    <w:rsid w:val="00D05BB2"/>
    <w:rsid w:val="00D060B9"/>
    <w:rsid w:val="00D115EF"/>
    <w:rsid w:val="00D14B53"/>
    <w:rsid w:val="00D164C7"/>
    <w:rsid w:val="00D20669"/>
    <w:rsid w:val="00D22077"/>
    <w:rsid w:val="00D2468F"/>
    <w:rsid w:val="00D247AD"/>
    <w:rsid w:val="00D258B5"/>
    <w:rsid w:val="00D274F6"/>
    <w:rsid w:val="00D27D95"/>
    <w:rsid w:val="00D30C21"/>
    <w:rsid w:val="00D32C5E"/>
    <w:rsid w:val="00D34400"/>
    <w:rsid w:val="00D34421"/>
    <w:rsid w:val="00D35BB9"/>
    <w:rsid w:val="00D371A5"/>
    <w:rsid w:val="00D40465"/>
    <w:rsid w:val="00D41950"/>
    <w:rsid w:val="00D44308"/>
    <w:rsid w:val="00D500CD"/>
    <w:rsid w:val="00D5256A"/>
    <w:rsid w:val="00D52727"/>
    <w:rsid w:val="00D54A42"/>
    <w:rsid w:val="00D612A1"/>
    <w:rsid w:val="00D633D7"/>
    <w:rsid w:val="00D63FA8"/>
    <w:rsid w:val="00D65709"/>
    <w:rsid w:val="00D66587"/>
    <w:rsid w:val="00D72228"/>
    <w:rsid w:val="00D74BBF"/>
    <w:rsid w:val="00D74CB3"/>
    <w:rsid w:val="00D801B3"/>
    <w:rsid w:val="00D81420"/>
    <w:rsid w:val="00D836F3"/>
    <w:rsid w:val="00D844E5"/>
    <w:rsid w:val="00D86D75"/>
    <w:rsid w:val="00D901D9"/>
    <w:rsid w:val="00D90E05"/>
    <w:rsid w:val="00D9130E"/>
    <w:rsid w:val="00D91A32"/>
    <w:rsid w:val="00D936A6"/>
    <w:rsid w:val="00D95E62"/>
    <w:rsid w:val="00D97CCC"/>
    <w:rsid w:val="00DA29BD"/>
    <w:rsid w:val="00DA31FD"/>
    <w:rsid w:val="00DA3393"/>
    <w:rsid w:val="00DA37DE"/>
    <w:rsid w:val="00DA380B"/>
    <w:rsid w:val="00DB2B69"/>
    <w:rsid w:val="00DB2F37"/>
    <w:rsid w:val="00DB4756"/>
    <w:rsid w:val="00DB4ACA"/>
    <w:rsid w:val="00DB5A1A"/>
    <w:rsid w:val="00DC2A51"/>
    <w:rsid w:val="00DC4132"/>
    <w:rsid w:val="00DC5388"/>
    <w:rsid w:val="00DD422B"/>
    <w:rsid w:val="00DD6A1B"/>
    <w:rsid w:val="00DD7D90"/>
    <w:rsid w:val="00DE10CD"/>
    <w:rsid w:val="00DE4CAD"/>
    <w:rsid w:val="00DE60BE"/>
    <w:rsid w:val="00DF48C5"/>
    <w:rsid w:val="00E00012"/>
    <w:rsid w:val="00E013DD"/>
    <w:rsid w:val="00E01925"/>
    <w:rsid w:val="00E024BE"/>
    <w:rsid w:val="00E06A25"/>
    <w:rsid w:val="00E1177D"/>
    <w:rsid w:val="00E133E2"/>
    <w:rsid w:val="00E15FA6"/>
    <w:rsid w:val="00E163C9"/>
    <w:rsid w:val="00E2249F"/>
    <w:rsid w:val="00E23395"/>
    <w:rsid w:val="00E2501B"/>
    <w:rsid w:val="00E27A23"/>
    <w:rsid w:val="00E27C27"/>
    <w:rsid w:val="00E305D8"/>
    <w:rsid w:val="00E34A59"/>
    <w:rsid w:val="00E36F5F"/>
    <w:rsid w:val="00E40BF5"/>
    <w:rsid w:val="00E40CEA"/>
    <w:rsid w:val="00E421CF"/>
    <w:rsid w:val="00E42830"/>
    <w:rsid w:val="00E43331"/>
    <w:rsid w:val="00E433BE"/>
    <w:rsid w:val="00E46003"/>
    <w:rsid w:val="00E46633"/>
    <w:rsid w:val="00E53C5B"/>
    <w:rsid w:val="00E54836"/>
    <w:rsid w:val="00E5737B"/>
    <w:rsid w:val="00E62548"/>
    <w:rsid w:val="00E625CE"/>
    <w:rsid w:val="00E62695"/>
    <w:rsid w:val="00E62D71"/>
    <w:rsid w:val="00E63EAE"/>
    <w:rsid w:val="00E6515E"/>
    <w:rsid w:val="00E75A0C"/>
    <w:rsid w:val="00E8579C"/>
    <w:rsid w:val="00E90DDE"/>
    <w:rsid w:val="00E92BD3"/>
    <w:rsid w:val="00E93134"/>
    <w:rsid w:val="00E9537A"/>
    <w:rsid w:val="00E96351"/>
    <w:rsid w:val="00EA0F5F"/>
    <w:rsid w:val="00EA1A9F"/>
    <w:rsid w:val="00EA1E21"/>
    <w:rsid w:val="00EA2917"/>
    <w:rsid w:val="00EA40B8"/>
    <w:rsid w:val="00EA4A74"/>
    <w:rsid w:val="00EA5D1F"/>
    <w:rsid w:val="00EB0121"/>
    <w:rsid w:val="00EB01A8"/>
    <w:rsid w:val="00EB1282"/>
    <w:rsid w:val="00EB21F0"/>
    <w:rsid w:val="00EC0BFC"/>
    <w:rsid w:val="00EC12A3"/>
    <w:rsid w:val="00EC276D"/>
    <w:rsid w:val="00EC3727"/>
    <w:rsid w:val="00EC3F11"/>
    <w:rsid w:val="00EC78A4"/>
    <w:rsid w:val="00ED04AE"/>
    <w:rsid w:val="00ED29CC"/>
    <w:rsid w:val="00ED33BF"/>
    <w:rsid w:val="00ED47EC"/>
    <w:rsid w:val="00ED61D1"/>
    <w:rsid w:val="00EE0360"/>
    <w:rsid w:val="00EE0ACA"/>
    <w:rsid w:val="00EE3850"/>
    <w:rsid w:val="00EF083F"/>
    <w:rsid w:val="00EF12D6"/>
    <w:rsid w:val="00EF47C9"/>
    <w:rsid w:val="00EF50F1"/>
    <w:rsid w:val="00EF6819"/>
    <w:rsid w:val="00F048F5"/>
    <w:rsid w:val="00F076A8"/>
    <w:rsid w:val="00F07A8D"/>
    <w:rsid w:val="00F13352"/>
    <w:rsid w:val="00F23B97"/>
    <w:rsid w:val="00F23E84"/>
    <w:rsid w:val="00F24394"/>
    <w:rsid w:val="00F259C3"/>
    <w:rsid w:val="00F301B6"/>
    <w:rsid w:val="00F363D9"/>
    <w:rsid w:val="00F41AD6"/>
    <w:rsid w:val="00F43736"/>
    <w:rsid w:val="00F469F5"/>
    <w:rsid w:val="00F52FDD"/>
    <w:rsid w:val="00F53861"/>
    <w:rsid w:val="00F53A5A"/>
    <w:rsid w:val="00F547E5"/>
    <w:rsid w:val="00F57012"/>
    <w:rsid w:val="00F5717C"/>
    <w:rsid w:val="00F6051D"/>
    <w:rsid w:val="00F61052"/>
    <w:rsid w:val="00F619BF"/>
    <w:rsid w:val="00F73BFF"/>
    <w:rsid w:val="00F7448D"/>
    <w:rsid w:val="00F74D23"/>
    <w:rsid w:val="00F77FE9"/>
    <w:rsid w:val="00F810F3"/>
    <w:rsid w:val="00F81963"/>
    <w:rsid w:val="00F83BC7"/>
    <w:rsid w:val="00F853B1"/>
    <w:rsid w:val="00F86EC5"/>
    <w:rsid w:val="00F916B2"/>
    <w:rsid w:val="00F9335C"/>
    <w:rsid w:val="00F96822"/>
    <w:rsid w:val="00F978EF"/>
    <w:rsid w:val="00FA0F6D"/>
    <w:rsid w:val="00FA2FCA"/>
    <w:rsid w:val="00FA654A"/>
    <w:rsid w:val="00FB0C1F"/>
    <w:rsid w:val="00FB1AE2"/>
    <w:rsid w:val="00FB6804"/>
    <w:rsid w:val="00FB7328"/>
    <w:rsid w:val="00FB7755"/>
    <w:rsid w:val="00FB7DF4"/>
    <w:rsid w:val="00FC4EDC"/>
    <w:rsid w:val="00FC6E8D"/>
    <w:rsid w:val="00FC72AF"/>
    <w:rsid w:val="00FC7A09"/>
    <w:rsid w:val="00FD13EC"/>
    <w:rsid w:val="00FE0864"/>
    <w:rsid w:val="00FE1971"/>
    <w:rsid w:val="00FE3337"/>
    <w:rsid w:val="00FE4683"/>
    <w:rsid w:val="00FE6871"/>
    <w:rsid w:val="00FE6B21"/>
    <w:rsid w:val="00FE7580"/>
    <w:rsid w:val="00FF3913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72C"/>
    <w:pPr>
      <w:spacing w:after="120"/>
    </w:pPr>
    <w:rPr>
      <w:rFonts w:eastAsia="Times New Roman"/>
    </w:rPr>
  </w:style>
  <w:style w:type="paragraph" w:styleId="Ttulo1">
    <w:name w:val="heading 1"/>
    <w:basedOn w:val="Normal"/>
    <w:next w:val="Normal"/>
    <w:qFormat/>
    <w:rsid w:val="00B74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8">
    <w:name w:val="heading 8"/>
    <w:basedOn w:val="Normal"/>
    <w:next w:val="Normal"/>
    <w:link w:val="Ttulo8Char"/>
    <w:qFormat/>
    <w:rsid w:val="007C515F"/>
    <w:pPr>
      <w:keepNext/>
      <w:outlineLvl w:val="7"/>
    </w:pPr>
    <w:rPr>
      <w:b/>
      <w:i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D344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D344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locked/>
    <w:rsid w:val="00D34400"/>
    <w:rPr>
      <w:lang w:val="pt-BR" w:eastAsia="pt-BR" w:bidi="ar-SA"/>
    </w:rPr>
  </w:style>
  <w:style w:type="character" w:styleId="Hyperlink">
    <w:name w:val="Hyperlink"/>
    <w:uiPriority w:val="99"/>
    <w:rsid w:val="002838EC"/>
    <w:rPr>
      <w:color w:val="0000FF"/>
      <w:u w:val="single"/>
    </w:rPr>
  </w:style>
  <w:style w:type="character" w:styleId="HiperlinkVisitado">
    <w:name w:val="FollowedHyperlink"/>
    <w:rsid w:val="00A40DC3"/>
    <w:rPr>
      <w:color w:val="800080"/>
      <w:u w:val="single"/>
    </w:rPr>
  </w:style>
  <w:style w:type="paragraph" w:customStyle="1" w:styleId="PargrafodaLista1">
    <w:name w:val="Parágrafo da Lista1"/>
    <w:aliases w:val="Estilo 1"/>
    <w:basedOn w:val="Ttulo1"/>
    <w:next w:val="TextosemFormatao"/>
    <w:link w:val="ListParagraphChar"/>
    <w:rsid w:val="00B7409F"/>
    <w:pPr>
      <w:numPr>
        <w:numId w:val="2"/>
      </w:numPr>
      <w:spacing w:after="120"/>
      <w:contextualSpacing/>
    </w:pPr>
    <w:rPr>
      <w:rFonts w:ascii="Times New Roman" w:hAnsi="Times New Roman" w:cs="Times New Roman"/>
      <w:bCs w:val="0"/>
      <w:noProof/>
      <w:kern w:val="0"/>
      <w:sz w:val="20"/>
      <w:szCs w:val="20"/>
    </w:rPr>
  </w:style>
  <w:style w:type="character" w:customStyle="1" w:styleId="ListParagraphChar">
    <w:name w:val="List Paragraph Char"/>
    <w:aliases w:val="Estilo 1 Char"/>
    <w:link w:val="PargrafodaLista1"/>
    <w:locked/>
    <w:rsid w:val="00B7409F"/>
    <w:rPr>
      <w:b/>
      <w:noProof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B7409F"/>
    <w:rPr>
      <w:rFonts w:ascii="Courier New" w:hAnsi="Courier New" w:cs="Courier New"/>
    </w:rPr>
  </w:style>
  <w:style w:type="character" w:customStyle="1" w:styleId="TextosemFormataoChar">
    <w:name w:val="Texto sem Formatação Char"/>
    <w:link w:val="TextosemFormatao"/>
    <w:locked/>
    <w:rsid w:val="001C414C"/>
    <w:rPr>
      <w:rFonts w:ascii="Courier New" w:hAnsi="Courier New" w:cs="Courier New"/>
      <w:lang w:val="pt-BR" w:eastAsia="pt-BR" w:bidi="ar-SA"/>
    </w:rPr>
  </w:style>
  <w:style w:type="paragraph" w:styleId="Corpodetexto3">
    <w:name w:val="Body Text 3"/>
    <w:basedOn w:val="Normal"/>
    <w:link w:val="Corpodetexto3Char"/>
    <w:rsid w:val="00B726BC"/>
    <w:pPr>
      <w:spacing w:after="0"/>
      <w:jc w:val="both"/>
    </w:pPr>
    <w:rPr>
      <w:sz w:val="24"/>
    </w:rPr>
  </w:style>
  <w:style w:type="character" w:customStyle="1" w:styleId="Corpodetexto3Char">
    <w:name w:val="Corpo de texto 3 Char"/>
    <w:link w:val="Corpodetexto3"/>
    <w:semiHidden/>
    <w:locked/>
    <w:rsid w:val="00B726BC"/>
    <w:rPr>
      <w:sz w:val="24"/>
      <w:lang w:val="pt-BR" w:eastAsia="pt-BR" w:bidi="ar-SA"/>
    </w:rPr>
  </w:style>
  <w:style w:type="character" w:styleId="Nmerodepgina">
    <w:name w:val="page number"/>
    <w:basedOn w:val="Fontepargpadro"/>
    <w:rsid w:val="00B40743"/>
  </w:style>
  <w:style w:type="table" w:styleId="Tabelacomgrade">
    <w:name w:val="Table Grid"/>
    <w:basedOn w:val="Tabelanormal"/>
    <w:rsid w:val="00AE371B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mrio1Char">
    <w:name w:val="Sumário 1 Char"/>
    <w:link w:val="Sumrio1"/>
    <w:locked/>
    <w:rsid w:val="000913AB"/>
    <w:rPr>
      <w:rFonts w:eastAsia="Times New Roman"/>
      <w:noProof/>
      <w:sz w:val="24"/>
      <w:szCs w:val="24"/>
    </w:rPr>
  </w:style>
  <w:style w:type="paragraph" w:styleId="Sumrio1">
    <w:name w:val="toc 1"/>
    <w:basedOn w:val="Normal"/>
    <w:next w:val="Normal"/>
    <w:link w:val="Sumrio1Char"/>
    <w:autoRedefine/>
    <w:rsid w:val="000913AB"/>
    <w:pPr>
      <w:tabs>
        <w:tab w:val="left" w:pos="440"/>
        <w:tab w:val="right" w:leader="dot" w:pos="8494"/>
      </w:tabs>
      <w:spacing w:line="276" w:lineRule="auto"/>
    </w:pPr>
    <w:rPr>
      <w:noProof/>
      <w:sz w:val="24"/>
      <w:szCs w:val="24"/>
    </w:rPr>
  </w:style>
  <w:style w:type="paragraph" w:customStyle="1" w:styleId="CabealhodoSumrio1">
    <w:name w:val="Cabeçalho do Sumário1"/>
    <w:basedOn w:val="Ttulo1"/>
    <w:next w:val="Normal"/>
    <w:rsid w:val="00AE371B"/>
    <w:pPr>
      <w:keepLines/>
      <w:spacing w:before="480" w:after="0" w:line="276" w:lineRule="auto"/>
      <w:outlineLvl w:val="9"/>
    </w:pPr>
    <w:rPr>
      <w:rFonts w:ascii="Cambria" w:eastAsia="Calibri" w:hAnsi="Cambria" w:cs="Times New Roman"/>
      <w:color w:val="365F91"/>
      <w:kern w:val="0"/>
      <w:sz w:val="28"/>
      <w:szCs w:val="28"/>
    </w:rPr>
  </w:style>
  <w:style w:type="paragraph" w:styleId="NormalWeb">
    <w:name w:val="Normal (Web)"/>
    <w:basedOn w:val="Normal"/>
    <w:rsid w:val="005244AA"/>
    <w:pPr>
      <w:spacing w:before="100" w:beforeAutospacing="1" w:after="100" w:afterAutospacing="1"/>
    </w:pPr>
    <w:rPr>
      <w:sz w:val="24"/>
      <w:szCs w:val="24"/>
    </w:rPr>
  </w:style>
  <w:style w:type="character" w:customStyle="1" w:styleId="Ttulo8Char">
    <w:name w:val="Título 8 Char"/>
    <w:link w:val="Ttulo8"/>
    <w:semiHidden/>
    <w:locked/>
    <w:rsid w:val="007C515F"/>
    <w:rPr>
      <w:b/>
      <w:i/>
      <w:sz w:val="24"/>
      <w:lang w:val="pt-BR" w:eastAsia="pt-BR" w:bidi="ar-SA"/>
    </w:rPr>
  </w:style>
  <w:style w:type="character" w:customStyle="1" w:styleId="CharChar2">
    <w:name w:val="Char Char2"/>
    <w:locked/>
    <w:rsid w:val="005E140E"/>
    <w:rPr>
      <w:rFonts w:ascii="Courier New" w:hAnsi="Courier New" w:cs="Courier New"/>
      <w:lang w:val="pt-BR" w:eastAsia="pt-BR" w:bidi="ar-SA"/>
    </w:rPr>
  </w:style>
  <w:style w:type="paragraph" w:styleId="PargrafodaLista">
    <w:name w:val="List Paragraph"/>
    <w:basedOn w:val="Normal"/>
    <w:uiPriority w:val="99"/>
    <w:qFormat/>
    <w:rsid w:val="00BE0713"/>
    <w:pPr>
      <w:ind w:left="720"/>
      <w:contextualSpacing/>
    </w:pPr>
  </w:style>
  <w:style w:type="paragraph" w:customStyle="1" w:styleId="Default">
    <w:name w:val="Default"/>
    <w:uiPriority w:val="99"/>
    <w:rsid w:val="001638B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uiPriority w:val="99"/>
    <w:rsid w:val="000316EE"/>
    <w:pPr>
      <w:spacing w:after="324"/>
    </w:pPr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393C54"/>
    <w:rPr>
      <w:rFonts w:eastAsia="Times New Roman"/>
    </w:rPr>
  </w:style>
  <w:style w:type="paragraph" w:styleId="Textodebalo">
    <w:name w:val="Balloon Text"/>
    <w:basedOn w:val="Normal"/>
    <w:link w:val="TextodebaloChar"/>
    <w:rsid w:val="00393C5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393C54"/>
    <w:rPr>
      <w:rFonts w:ascii="Tahoma" w:eastAsia="Times New Roman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rsid w:val="00FB7328"/>
    <w:pPr>
      <w:spacing w:after="0"/>
    </w:pPr>
  </w:style>
  <w:style w:type="character" w:customStyle="1" w:styleId="TextodenotaderodapChar">
    <w:name w:val="Texto de nota de rodapé Char"/>
    <w:basedOn w:val="Fontepargpadro"/>
    <w:link w:val="Textodenotaderodap"/>
    <w:rsid w:val="00FB7328"/>
    <w:rPr>
      <w:rFonts w:eastAsia="Times New Roman"/>
    </w:rPr>
  </w:style>
  <w:style w:type="character" w:styleId="Refdenotaderodap">
    <w:name w:val="footnote reference"/>
    <w:basedOn w:val="Fontepargpadro"/>
    <w:rsid w:val="00FB73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72C"/>
    <w:pPr>
      <w:spacing w:after="120"/>
    </w:pPr>
    <w:rPr>
      <w:rFonts w:eastAsia="Times New Roman"/>
    </w:rPr>
  </w:style>
  <w:style w:type="paragraph" w:styleId="Ttulo1">
    <w:name w:val="heading 1"/>
    <w:basedOn w:val="Normal"/>
    <w:next w:val="Normal"/>
    <w:qFormat/>
    <w:rsid w:val="00B74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8">
    <w:name w:val="heading 8"/>
    <w:basedOn w:val="Normal"/>
    <w:next w:val="Normal"/>
    <w:link w:val="Ttulo8Char"/>
    <w:qFormat/>
    <w:rsid w:val="007C515F"/>
    <w:pPr>
      <w:keepNext/>
      <w:outlineLvl w:val="7"/>
    </w:pPr>
    <w:rPr>
      <w:b/>
      <w:i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D344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D344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locked/>
    <w:rsid w:val="00D34400"/>
    <w:rPr>
      <w:lang w:val="pt-BR" w:eastAsia="pt-BR" w:bidi="ar-SA"/>
    </w:rPr>
  </w:style>
  <w:style w:type="character" w:styleId="Hyperlink">
    <w:name w:val="Hyperlink"/>
    <w:uiPriority w:val="99"/>
    <w:rsid w:val="002838EC"/>
    <w:rPr>
      <w:color w:val="0000FF"/>
      <w:u w:val="single"/>
    </w:rPr>
  </w:style>
  <w:style w:type="character" w:styleId="HiperlinkVisitado">
    <w:name w:val="FollowedHyperlink"/>
    <w:rsid w:val="00A40DC3"/>
    <w:rPr>
      <w:color w:val="800080"/>
      <w:u w:val="single"/>
    </w:rPr>
  </w:style>
  <w:style w:type="paragraph" w:customStyle="1" w:styleId="PargrafodaLista1">
    <w:name w:val="Parágrafo da Lista1"/>
    <w:aliases w:val="Estilo 1"/>
    <w:basedOn w:val="Ttulo1"/>
    <w:next w:val="TextosemFormatao"/>
    <w:link w:val="ListParagraphChar"/>
    <w:rsid w:val="00B7409F"/>
    <w:pPr>
      <w:numPr>
        <w:numId w:val="2"/>
      </w:numPr>
      <w:spacing w:after="120"/>
      <w:contextualSpacing/>
    </w:pPr>
    <w:rPr>
      <w:rFonts w:ascii="Times New Roman" w:hAnsi="Times New Roman" w:cs="Times New Roman"/>
      <w:bCs w:val="0"/>
      <w:noProof/>
      <w:kern w:val="0"/>
      <w:sz w:val="20"/>
      <w:szCs w:val="20"/>
    </w:rPr>
  </w:style>
  <w:style w:type="character" w:customStyle="1" w:styleId="ListParagraphChar">
    <w:name w:val="List Paragraph Char"/>
    <w:aliases w:val="Estilo 1 Char"/>
    <w:link w:val="PargrafodaLista1"/>
    <w:locked/>
    <w:rsid w:val="00B7409F"/>
    <w:rPr>
      <w:b/>
      <w:noProof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B7409F"/>
    <w:rPr>
      <w:rFonts w:ascii="Courier New" w:hAnsi="Courier New" w:cs="Courier New"/>
    </w:rPr>
  </w:style>
  <w:style w:type="character" w:customStyle="1" w:styleId="TextosemFormataoChar">
    <w:name w:val="Texto sem Formatação Char"/>
    <w:link w:val="TextosemFormatao"/>
    <w:locked/>
    <w:rsid w:val="001C414C"/>
    <w:rPr>
      <w:rFonts w:ascii="Courier New" w:hAnsi="Courier New" w:cs="Courier New"/>
      <w:lang w:val="pt-BR" w:eastAsia="pt-BR" w:bidi="ar-SA"/>
    </w:rPr>
  </w:style>
  <w:style w:type="paragraph" w:styleId="Corpodetexto3">
    <w:name w:val="Body Text 3"/>
    <w:basedOn w:val="Normal"/>
    <w:link w:val="Corpodetexto3Char"/>
    <w:rsid w:val="00B726BC"/>
    <w:pPr>
      <w:spacing w:after="0"/>
      <w:jc w:val="both"/>
    </w:pPr>
    <w:rPr>
      <w:sz w:val="24"/>
    </w:rPr>
  </w:style>
  <w:style w:type="character" w:customStyle="1" w:styleId="Corpodetexto3Char">
    <w:name w:val="Corpo de texto 3 Char"/>
    <w:link w:val="Corpodetexto3"/>
    <w:semiHidden/>
    <w:locked/>
    <w:rsid w:val="00B726BC"/>
    <w:rPr>
      <w:sz w:val="24"/>
      <w:lang w:val="pt-BR" w:eastAsia="pt-BR" w:bidi="ar-SA"/>
    </w:rPr>
  </w:style>
  <w:style w:type="character" w:styleId="Nmerodepgina">
    <w:name w:val="page number"/>
    <w:basedOn w:val="Fontepargpadro"/>
    <w:rsid w:val="00B40743"/>
  </w:style>
  <w:style w:type="table" w:styleId="Tabelacomgrade">
    <w:name w:val="Table Grid"/>
    <w:basedOn w:val="Tabelanormal"/>
    <w:rsid w:val="00AE371B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mrio1Char">
    <w:name w:val="Sumário 1 Char"/>
    <w:link w:val="Sumrio1"/>
    <w:locked/>
    <w:rsid w:val="000913AB"/>
    <w:rPr>
      <w:rFonts w:eastAsia="Times New Roman"/>
      <w:noProof/>
      <w:sz w:val="24"/>
      <w:szCs w:val="24"/>
    </w:rPr>
  </w:style>
  <w:style w:type="paragraph" w:styleId="Sumrio1">
    <w:name w:val="toc 1"/>
    <w:basedOn w:val="Normal"/>
    <w:next w:val="Normal"/>
    <w:link w:val="Sumrio1Char"/>
    <w:autoRedefine/>
    <w:rsid w:val="000913AB"/>
    <w:pPr>
      <w:tabs>
        <w:tab w:val="left" w:pos="440"/>
        <w:tab w:val="right" w:leader="dot" w:pos="8494"/>
      </w:tabs>
      <w:spacing w:line="276" w:lineRule="auto"/>
    </w:pPr>
    <w:rPr>
      <w:noProof/>
      <w:sz w:val="24"/>
      <w:szCs w:val="24"/>
    </w:rPr>
  </w:style>
  <w:style w:type="paragraph" w:customStyle="1" w:styleId="CabealhodoSumrio1">
    <w:name w:val="Cabeçalho do Sumário1"/>
    <w:basedOn w:val="Ttulo1"/>
    <w:next w:val="Normal"/>
    <w:rsid w:val="00AE371B"/>
    <w:pPr>
      <w:keepLines/>
      <w:spacing w:before="480" w:after="0" w:line="276" w:lineRule="auto"/>
      <w:outlineLvl w:val="9"/>
    </w:pPr>
    <w:rPr>
      <w:rFonts w:ascii="Cambria" w:eastAsia="Calibri" w:hAnsi="Cambria" w:cs="Times New Roman"/>
      <w:color w:val="365F91"/>
      <w:kern w:val="0"/>
      <w:sz w:val="28"/>
      <w:szCs w:val="28"/>
    </w:rPr>
  </w:style>
  <w:style w:type="paragraph" w:styleId="NormalWeb">
    <w:name w:val="Normal (Web)"/>
    <w:basedOn w:val="Normal"/>
    <w:rsid w:val="005244AA"/>
    <w:pPr>
      <w:spacing w:before="100" w:beforeAutospacing="1" w:after="100" w:afterAutospacing="1"/>
    </w:pPr>
    <w:rPr>
      <w:sz w:val="24"/>
      <w:szCs w:val="24"/>
    </w:rPr>
  </w:style>
  <w:style w:type="character" w:customStyle="1" w:styleId="Ttulo8Char">
    <w:name w:val="Título 8 Char"/>
    <w:link w:val="Ttulo8"/>
    <w:semiHidden/>
    <w:locked/>
    <w:rsid w:val="007C515F"/>
    <w:rPr>
      <w:b/>
      <w:i/>
      <w:sz w:val="24"/>
      <w:lang w:val="pt-BR" w:eastAsia="pt-BR" w:bidi="ar-SA"/>
    </w:rPr>
  </w:style>
  <w:style w:type="character" w:customStyle="1" w:styleId="CharChar2">
    <w:name w:val="Char Char2"/>
    <w:locked/>
    <w:rsid w:val="005E140E"/>
    <w:rPr>
      <w:rFonts w:ascii="Courier New" w:hAnsi="Courier New" w:cs="Courier New"/>
      <w:lang w:val="pt-BR" w:eastAsia="pt-BR" w:bidi="ar-SA"/>
    </w:rPr>
  </w:style>
  <w:style w:type="paragraph" w:styleId="PargrafodaLista">
    <w:name w:val="List Paragraph"/>
    <w:basedOn w:val="Normal"/>
    <w:uiPriority w:val="99"/>
    <w:qFormat/>
    <w:rsid w:val="00BE0713"/>
    <w:pPr>
      <w:ind w:left="720"/>
      <w:contextualSpacing/>
    </w:pPr>
  </w:style>
  <w:style w:type="paragraph" w:customStyle="1" w:styleId="Default">
    <w:name w:val="Default"/>
    <w:uiPriority w:val="99"/>
    <w:rsid w:val="001638B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ecxmsonormal">
    <w:name w:val="ecxmsonormal"/>
    <w:basedOn w:val="Normal"/>
    <w:uiPriority w:val="99"/>
    <w:rsid w:val="000316EE"/>
    <w:pPr>
      <w:spacing w:after="324"/>
    </w:pPr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393C54"/>
    <w:rPr>
      <w:rFonts w:eastAsia="Times New Roman"/>
    </w:rPr>
  </w:style>
  <w:style w:type="paragraph" w:styleId="Textodebalo">
    <w:name w:val="Balloon Text"/>
    <w:basedOn w:val="Normal"/>
    <w:link w:val="TextodebaloChar"/>
    <w:rsid w:val="00393C5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393C54"/>
    <w:rPr>
      <w:rFonts w:ascii="Tahoma" w:eastAsia="Times New Roman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rsid w:val="00FB7328"/>
    <w:pPr>
      <w:spacing w:after="0"/>
    </w:pPr>
  </w:style>
  <w:style w:type="character" w:customStyle="1" w:styleId="TextodenotaderodapChar">
    <w:name w:val="Texto de nota de rodapé Char"/>
    <w:basedOn w:val="Fontepargpadro"/>
    <w:link w:val="Textodenotaderodap"/>
    <w:rsid w:val="00FB7328"/>
    <w:rPr>
      <w:rFonts w:eastAsia="Times New Roman"/>
    </w:rPr>
  </w:style>
  <w:style w:type="character" w:styleId="Refdenotaderodap">
    <w:name w:val="footnote reference"/>
    <w:basedOn w:val="Fontepargpadro"/>
    <w:rsid w:val="00FB73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1F396-26F5-48CD-8244-99821ABC7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5111</Words>
  <Characters>30356</Characters>
  <Application>Microsoft Office Word</Application>
  <DocSecurity>0</DocSecurity>
  <Lines>252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PRELIMINAR DE AUDITORIA DE FISCALIZAÇÃO PROCESSO DE CONCESSÃO, APLICAÇÃO E COMPROVAÇÃO DE SUPRIMENTO DE FUNDOS NO 1º SEMESTRE DE 2014</vt:lpstr>
    </vt:vector>
  </TitlesOfParts>
  <Company>Justiça Eleitoral</Company>
  <LinksUpToDate>false</LinksUpToDate>
  <CharactersWithSpaces>35397</CharactersWithSpaces>
  <SharedDoc>false</SharedDoc>
  <HLinks>
    <vt:vector size="24" baseType="variant">
      <vt:variant>
        <vt:i4>1048638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_Toc396482383</vt:lpwstr>
      </vt:variant>
      <vt:variant>
        <vt:i4>1048638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_Toc396482382</vt:lpwstr>
      </vt:variant>
      <vt:variant>
        <vt:i4>1048638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_Toc396482381</vt:lpwstr>
      </vt:variant>
      <vt:variant>
        <vt:i4>2031678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_Toc396482379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PRELIMINAR DE AUDITORIA DE FISCALIZAÇÃO PROCESSO DE CONCESSÃO, APLICAÇÃO E COMPROVAÇÃO DE SUPRIMENTO DE FUNDOS NO 1º SEMESTRE DE 2014</dc:title>
  <dc:creator>009821230566</dc:creator>
  <cp:lastModifiedBy>Geraldo Majella Nunes de Moura</cp:lastModifiedBy>
  <cp:revision>2</cp:revision>
  <cp:lastPrinted>2017-02-08T18:13:00Z</cp:lastPrinted>
  <dcterms:created xsi:type="dcterms:W3CDTF">2021-05-11T20:28:00Z</dcterms:created>
  <dcterms:modified xsi:type="dcterms:W3CDTF">2021-05-11T20:28:00Z</dcterms:modified>
</cp:coreProperties>
</file>