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A2C" w:rsidRPr="0069002E" w:rsidRDefault="001D6A2C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69002E" w:rsidRDefault="00355054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69002E" w:rsidRDefault="00355054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69002E" w:rsidRDefault="00355054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69002E" w:rsidRDefault="00355054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69002E" w:rsidRDefault="00355054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A1504D" w:rsidRPr="0069002E" w:rsidRDefault="00A1504D" w:rsidP="00EE4440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355054" w:rsidRPr="0069002E" w:rsidRDefault="00355054" w:rsidP="00EE4440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355054" w:rsidRPr="0069002E" w:rsidRDefault="00355054" w:rsidP="00EE4440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A1504D" w:rsidRPr="0069002E" w:rsidRDefault="00495A98" w:rsidP="00451876">
      <w:pPr>
        <w:spacing w:line="360" w:lineRule="auto"/>
        <w:jc w:val="center"/>
        <w:rPr>
          <w:b/>
          <w:sz w:val="24"/>
          <w:szCs w:val="24"/>
        </w:rPr>
      </w:pPr>
      <w:r w:rsidRPr="00690A9D">
        <w:rPr>
          <w:b/>
          <w:sz w:val="24"/>
          <w:szCs w:val="24"/>
        </w:rPr>
        <w:t>RELATÓRIO</w:t>
      </w:r>
      <w:r w:rsidR="00914D3A">
        <w:rPr>
          <w:b/>
          <w:sz w:val="24"/>
          <w:szCs w:val="24"/>
        </w:rPr>
        <w:t xml:space="preserve"> DE FISCALIZAÇÃO </w:t>
      </w:r>
      <w:r w:rsidR="001C548E">
        <w:rPr>
          <w:b/>
          <w:sz w:val="24"/>
          <w:szCs w:val="24"/>
        </w:rPr>
        <w:t xml:space="preserve">DOS PROCEDIMENTOS LICITATÓRIOS RELATIVOS AO BIMESTRE </w:t>
      </w:r>
      <w:r w:rsidR="002E1967">
        <w:rPr>
          <w:b/>
          <w:sz w:val="24"/>
          <w:szCs w:val="24"/>
        </w:rPr>
        <w:t>MAIO</w:t>
      </w:r>
      <w:r w:rsidR="001C548E">
        <w:rPr>
          <w:b/>
          <w:sz w:val="24"/>
          <w:szCs w:val="24"/>
        </w:rPr>
        <w:t>/</w:t>
      </w:r>
      <w:r w:rsidR="002E1967">
        <w:rPr>
          <w:b/>
          <w:sz w:val="24"/>
          <w:szCs w:val="24"/>
        </w:rPr>
        <w:t>JUNHO</w:t>
      </w:r>
      <w:r w:rsidR="001C548E">
        <w:rPr>
          <w:b/>
          <w:sz w:val="24"/>
          <w:szCs w:val="24"/>
        </w:rPr>
        <w:t xml:space="preserve"> DE 2015</w:t>
      </w:r>
    </w:p>
    <w:p w:rsidR="00355054" w:rsidRPr="0069002E" w:rsidRDefault="00355054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06AB" w:rsidRPr="0069002E" w:rsidRDefault="003506AB" w:rsidP="00EE4440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A1504D" w:rsidRPr="0069002E" w:rsidRDefault="00A1504D" w:rsidP="00EE4440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355054" w:rsidRPr="0069002E" w:rsidRDefault="00355054" w:rsidP="00EE4440">
      <w:pPr>
        <w:spacing w:after="0"/>
        <w:jc w:val="both"/>
        <w:rPr>
          <w:b/>
          <w:sz w:val="24"/>
          <w:szCs w:val="24"/>
        </w:rPr>
      </w:pPr>
    </w:p>
    <w:p w:rsidR="00355054" w:rsidRPr="0069002E" w:rsidRDefault="00355054" w:rsidP="00EE4440">
      <w:pPr>
        <w:spacing w:after="0"/>
        <w:jc w:val="both"/>
        <w:rPr>
          <w:b/>
          <w:sz w:val="24"/>
          <w:szCs w:val="24"/>
        </w:rPr>
      </w:pPr>
    </w:p>
    <w:p w:rsidR="00355054" w:rsidRDefault="00355054" w:rsidP="00EE4440">
      <w:pPr>
        <w:spacing w:after="0"/>
        <w:jc w:val="both"/>
        <w:rPr>
          <w:b/>
          <w:sz w:val="24"/>
          <w:szCs w:val="24"/>
        </w:rPr>
      </w:pPr>
    </w:p>
    <w:p w:rsidR="009E5DF0" w:rsidRDefault="009E5DF0" w:rsidP="00EE4440">
      <w:pPr>
        <w:spacing w:after="0"/>
        <w:jc w:val="both"/>
        <w:rPr>
          <w:b/>
          <w:sz w:val="24"/>
          <w:szCs w:val="24"/>
        </w:rPr>
      </w:pPr>
    </w:p>
    <w:p w:rsidR="009E5DF0" w:rsidRDefault="009E5DF0" w:rsidP="00EE4440">
      <w:pPr>
        <w:spacing w:after="0"/>
        <w:jc w:val="both"/>
        <w:rPr>
          <w:b/>
          <w:sz w:val="24"/>
          <w:szCs w:val="24"/>
        </w:rPr>
      </w:pPr>
    </w:p>
    <w:p w:rsidR="009E5DF0" w:rsidRPr="0069002E" w:rsidRDefault="009E5DF0" w:rsidP="00EE4440">
      <w:pPr>
        <w:spacing w:after="0"/>
        <w:jc w:val="both"/>
        <w:rPr>
          <w:b/>
          <w:sz w:val="24"/>
          <w:szCs w:val="24"/>
        </w:rPr>
      </w:pPr>
    </w:p>
    <w:p w:rsidR="00355054" w:rsidRPr="0069002E" w:rsidRDefault="00355054" w:rsidP="00EE4440">
      <w:pPr>
        <w:spacing w:after="0"/>
        <w:jc w:val="both"/>
        <w:rPr>
          <w:b/>
          <w:sz w:val="24"/>
          <w:szCs w:val="24"/>
        </w:rPr>
      </w:pPr>
    </w:p>
    <w:p w:rsidR="00355054" w:rsidRPr="0069002E" w:rsidRDefault="00355054" w:rsidP="00EE4440">
      <w:pPr>
        <w:spacing w:after="0"/>
        <w:jc w:val="both"/>
        <w:rPr>
          <w:b/>
          <w:sz w:val="24"/>
          <w:szCs w:val="24"/>
        </w:rPr>
      </w:pPr>
    </w:p>
    <w:p w:rsidR="00A1504D" w:rsidRPr="00A9155C" w:rsidRDefault="00A1504D" w:rsidP="00EE4440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494B5E" w:rsidRPr="0069002E" w:rsidRDefault="00494B5E" w:rsidP="00EE4440">
      <w:pPr>
        <w:spacing w:line="360" w:lineRule="auto"/>
        <w:jc w:val="both"/>
        <w:rPr>
          <w:sz w:val="24"/>
          <w:szCs w:val="24"/>
        </w:rPr>
      </w:pPr>
    </w:p>
    <w:p w:rsidR="00EF50F1" w:rsidRPr="0069002E" w:rsidRDefault="00EF50F1" w:rsidP="00EE4440">
      <w:pPr>
        <w:spacing w:line="360" w:lineRule="auto"/>
        <w:jc w:val="both"/>
        <w:rPr>
          <w:sz w:val="24"/>
          <w:szCs w:val="24"/>
        </w:rPr>
      </w:pPr>
    </w:p>
    <w:p w:rsidR="00EF50F1" w:rsidRDefault="00EF50F1" w:rsidP="00EE4440">
      <w:pPr>
        <w:spacing w:line="360" w:lineRule="auto"/>
        <w:jc w:val="both"/>
        <w:rPr>
          <w:sz w:val="24"/>
          <w:szCs w:val="24"/>
        </w:rPr>
      </w:pPr>
    </w:p>
    <w:p w:rsidR="00A851C9" w:rsidRDefault="00A851C9" w:rsidP="00EE4440">
      <w:pPr>
        <w:spacing w:line="360" w:lineRule="auto"/>
        <w:jc w:val="both"/>
        <w:rPr>
          <w:sz w:val="24"/>
          <w:szCs w:val="24"/>
        </w:rPr>
      </w:pPr>
    </w:p>
    <w:p w:rsidR="00EF50F1" w:rsidRDefault="00EF50F1" w:rsidP="00EE4440">
      <w:pPr>
        <w:spacing w:line="360" w:lineRule="auto"/>
        <w:jc w:val="both"/>
        <w:rPr>
          <w:sz w:val="24"/>
          <w:szCs w:val="24"/>
        </w:rPr>
      </w:pPr>
    </w:p>
    <w:p w:rsidR="00850644" w:rsidRPr="0069002E" w:rsidRDefault="00850644" w:rsidP="00EE4440">
      <w:pPr>
        <w:spacing w:line="360" w:lineRule="auto"/>
        <w:jc w:val="both"/>
        <w:rPr>
          <w:sz w:val="24"/>
          <w:szCs w:val="24"/>
        </w:rPr>
      </w:pPr>
    </w:p>
    <w:p w:rsidR="00A9155C" w:rsidRPr="00A9155C" w:rsidRDefault="00A9155C" w:rsidP="00451876">
      <w:pPr>
        <w:spacing w:after="0"/>
        <w:jc w:val="center"/>
        <w:rPr>
          <w:b/>
          <w:sz w:val="24"/>
          <w:szCs w:val="24"/>
        </w:rPr>
      </w:pPr>
      <w:r w:rsidRPr="00A9155C">
        <w:rPr>
          <w:b/>
          <w:sz w:val="24"/>
          <w:szCs w:val="24"/>
        </w:rPr>
        <w:t>Salvador - BA</w:t>
      </w:r>
    </w:p>
    <w:p w:rsidR="00A9155C" w:rsidRPr="00A9155C" w:rsidRDefault="002E1967" w:rsidP="0045187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Setembro</w:t>
      </w:r>
      <w:r w:rsidR="00A9155C" w:rsidRPr="00A9155C">
        <w:rPr>
          <w:b/>
          <w:sz w:val="24"/>
          <w:szCs w:val="24"/>
        </w:rPr>
        <w:t>/</w:t>
      </w:r>
      <w:r w:rsidR="00914D3A">
        <w:rPr>
          <w:b/>
          <w:sz w:val="24"/>
          <w:szCs w:val="24"/>
        </w:rPr>
        <w:t>2015</w:t>
      </w:r>
    </w:p>
    <w:p w:rsidR="0091712B" w:rsidRPr="0069002E" w:rsidRDefault="0091712B" w:rsidP="00EE4440">
      <w:pPr>
        <w:spacing w:line="360" w:lineRule="auto"/>
        <w:jc w:val="both"/>
        <w:rPr>
          <w:b/>
          <w:sz w:val="24"/>
          <w:szCs w:val="24"/>
        </w:rPr>
      </w:pPr>
    </w:p>
    <w:p w:rsidR="00451876" w:rsidRDefault="00451876" w:rsidP="00451876">
      <w:pPr>
        <w:spacing w:line="360" w:lineRule="auto"/>
        <w:jc w:val="center"/>
        <w:rPr>
          <w:b/>
          <w:sz w:val="24"/>
          <w:szCs w:val="24"/>
        </w:rPr>
      </w:pPr>
    </w:p>
    <w:p w:rsidR="00451876" w:rsidRDefault="00451876" w:rsidP="00451876">
      <w:pPr>
        <w:spacing w:line="360" w:lineRule="auto"/>
        <w:jc w:val="center"/>
        <w:rPr>
          <w:b/>
          <w:sz w:val="24"/>
          <w:szCs w:val="24"/>
        </w:rPr>
      </w:pPr>
    </w:p>
    <w:p w:rsidR="00451876" w:rsidRDefault="00451876" w:rsidP="00451876">
      <w:pPr>
        <w:spacing w:line="360" w:lineRule="auto"/>
        <w:jc w:val="center"/>
        <w:rPr>
          <w:b/>
          <w:sz w:val="24"/>
          <w:szCs w:val="24"/>
        </w:rPr>
      </w:pPr>
    </w:p>
    <w:p w:rsidR="00451876" w:rsidRDefault="00451876" w:rsidP="00451876">
      <w:pPr>
        <w:spacing w:line="360" w:lineRule="auto"/>
        <w:jc w:val="center"/>
        <w:rPr>
          <w:b/>
          <w:sz w:val="24"/>
          <w:szCs w:val="24"/>
        </w:rPr>
      </w:pPr>
    </w:p>
    <w:p w:rsidR="00451876" w:rsidRDefault="00451876" w:rsidP="00451876">
      <w:pPr>
        <w:spacing w:line="360" w:lineRule="auto"/>
        <w:jc w:val="center"/>
        <w:rPr>
          <w:b/>
          <w:sz w:val="24"/>
          <w:szCs w:val="24"/>
        </w:rPr>
      </w:pPr>
    </w:p>
    <w:p w:rsidR="00451876" w:rsidRDefault="00451876" w:rsidP="00451876">
      <w:pPr>
        <w:spacing w:line="360" w:lineRule="auto"/>
        <w:jc w:val="center"/>
        <w:rPr>
          <w:b/>
          <w:sz w:val="24"/>
          <w:szCs w:val="24"/>
        </w:rPr>
      </w:pPr>
    </w:p>
    <w:p w:rsidR="00451876" w:rsidRDefault="00451876" w:rsidP="00451876">
      <w:pPr>
        <w:spacing w:line="360" w:lineRule="auto"/>
        <w:jc w:val="center"/>
        <w:rPr>
          <w:b/>
          <w:sz w:val="24"/>
          <w:szCs w:val="24"/>
        </w:rPr>
      </w:pPr>
    </w:p>
    <w:p w:rsidR="00451876" w:rsidRDefault="00451876" w:rsidP="00451876">
      <w:pPr>
        <w:spacing w:line="360" w:lineRule="auto"/>
        <w:jc w:val="center"/>
        <w:rPr>
          <w:b/>
          <w:sz w:val="24"/>
          <w:szCs w:val="24"/>
        </w:rPr>
      </w:pPr>
    </w:p>
    <w:p w:rsidR="00451876" w:rsidRDefault="00451876" w:rsidP="00451876">
      <w:pPr>
        <w:spacing w:line="360" w:lineRule="auto"/>
        <w:jc w:val="center"/>
        <w:rPr>
          <w:b/>
          <w:sz w:val="24"/>
          <w:szCs w:val="24"/>
        </w:rPr>
      </w:pPr>
    </w:p>
    <w:p w:rsidR="00355054" w:rsidRDefault="001C548E" w:rsidP="00451876">
      <w:pPr>
        <w:spacing w:line="360" w:lineRule="auto"/>
        <w:jc w:val="center"/>
        <w:rPr>
          <w:b/>
          <w:sz w:val="24"/>
          <w:szCs w:val="24"/>
        </w:rPr>
      </w:pPr>
      <w:r w:rsidRPr="00690A9D">
        <w:rPr>
          <w:b/>
          <w:sz w:val="24"/>
          <w:szCs w:val="24"/>
        </w:rPr>
        <w:t>RELATÓRIO</w:t>
      </w:r>
      <w:r>
        <w:rPr>
          <w:b/>
          <w:sz w:val="24"/>
          <w:szCs w:val="24"/>
        </w:rPr>
        <w:t xml:space="preserve"> DE FISCALIZAÇÃO DOS PROCEDIMENTOS LICITATÓRIOS RELATIVOS AO BIMESTRE </w:t>
      </w:r>
      <w:r w:rsidR="00FB0F1F">
        <w:rPr>
          <w:b/>
          <w:sz w:val="24"/>
          <w:szCs w:val="24"/>
        </w:rPr>
        <w:t>MA</w:t>
      </w:r>
      <w:r w:rsidR="002E1967">
        <w:rPr>
          <w:b/>
          <w:sz w:val="24"/>
          <w:szCs w:val="24"/>
        </w:rPr>
        <w:t>IO/JUNHO</w:t>
      </w:r>
      <w:r>
        <w:rPr>
          <w:b/>
          <w:sz w:val="24"/>
          <w:szCs w:val="24"/>
        </w:rPr>
        <w:t xml:space="preserve"> DE 2015</w:t>
      </w:r>
    </w:p>
    <w:p w:rsidR="001C548E" w:rsidRPr="001C548E" w:rsidRDefault="001C548E" w:rsidP="00EE4440">
      <w:pPr>
        <w:spacing w:line="360" w:lineRule="auto"/>
        <w:jc w:val="both"/>
        <w:rPr>
          <w:b/>
          <w:sz w:val="24"/>
          <w:szCs w:val="24"/>
        </w:rPr>
      </w:pPr>
    </w:p>
    <w:p w:rsidR="00783C52" w:rsidRPr="0069002E" w:rsidRDefault="00783C52" w:rsidP="00EE4440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AB6882" w:rsidRPr="00AB6882" w:rsidRDefault="00355054" w:rsidP="00EE4440">
      <w:pPr>
        <w:spacing w:after="0"/>
        <w:ind w:left="3200"/>
        <w:jc w:val="both"/>
        <w:rPr>
          <w:sz w:val="24"/>
          <w:szCs w:val="24"/>
        </w:rPr>
      </w:pPr>
      <w:r w:rsidRPr="000C1063">
        <w:rPr>
          <w:sz w:val="24"/>
          <w:szCs w:val="24"/>
        </w:rPr>
        <w:t xml:space="preserve">A presente fiscalização encontra-se amparada pelo Plano Anual de </w:t>
      </w:r>
      <w:r w:rsidR="00AB6882" w:rsidRPr="00AB6882">
        <w:rPr>
          <w:sz w:val="24"/>
          <w:szCs w:val="24"/>
        </w:rPr>
        <w:t>Atividades 2015 (PAA 2015), aprovado por meio da Portaria da Presidência do TRE-BA nº 482, de 26 de novembro de 2014.</w:t>
      </w:r>
    </w:p>
    <w:p w:rsidR="00355054" w:rsidRPr="000C1063" w:rsidRDefault="00355054" w:rsidP="00EE4440">
      <w:pPr>
        <w:spacing w:after="0"/>
        <w:ind w:left="3200"/>
        <w:jc w:val="both"/>
        <w:rPr>
          <w:sz w:val="24"/>
          <w:szCs w:val="24"/>
        </w:rPr>
      </w:pPr>
      <w:r w:rsidRPr="000C1063">
        <w:rPr>
          <w:sz w:val="24"/>
          <w:szCs w:val="24"/>
        </w:rPr>
        <w:t xml:space="preserve"> </w:t>
      </w:r>
    </w:p>
    <w:p w:rsidR="00B7409F" w:rsidRPr="0069002E" w:rsidRDefault="00B7409F" w:rsidP="00EE4440">
      <w:pPr>
        <w:spacing w:after="0"/>
        <w:ind w:left="3200"/>
        <w:jc w:val="both"/>
        <w:rPr>
          <w:sz w:val="24"/>
          <w:szCs w:val="24"/>
        </w:rPr>
      </w:pPr>
    </w:p>
    <w:p w:rsidR="00EF50F1" w:rsidRPr="0069002E" w:rsidRDefault="00EF50F1" w:rsidP="00EE4440">
      <w:pPr>
        <w:spacing w:after="0"/>
        <w:ind w:left="3200"/>
        <w:jc w:val="both"/>
        <w:rPr>
          <w:sz w:val="24"/>
          <w:szCs w:val="24"/>
        </w:rPr>
      </w:pPr>
    </w:p>
    <w:p w:rsidR="0077351F" w:rsidRPr="0069002E" w:rsidRDefault="007320F3" w:rsidP="00EE4440">
      <w:pPr>
        <w:spacing w:after="0"/>
        <w:ind w:left="3200"/>
        <w:jc w:val="both"/>
        <w:rPr>
          <w:sz w:val="24"/>
          <w:szCs w:val="24"/>
        </w:rPr>
      </w:pPr>
      <w:r w:rsidRPr="0069002E">
        <w:rPr>
          <w:sz w:val="24"/>
          <w:szCs w:val="24"/>
        </w:rPr>
        <w:t xml:space="preserve">Elaboração: Seção de Acompanhamento e Orientação </w:t>
      </w:r>
      <w:r w:rsidR="00303151" w:rsidRPr="0069002E">
        <w:rPr>
          <w:sz w:val="24"/>
          <w:szCs w:val="24"/>
        </w:rPr>
        <w:t>à</w:t>
      </w:r>
      <w:r w:rsidRPr="0069002E">
        <w:rPr>
          <w:sz w:val="24"/>
          <w:szCs w:val="24"/>
        </w:rPr>
        <w:t xml:space="preserve"> Gestão</w:t>
      </w:r>
      <w:r w:rsidR="00303151" w:rsidRPr="0069002E">
        <w:rPr>
          <w:sz w:val="24"/>
          <w:szCs w:val="24"/>
        </w:rPr>
        <w:t xml:space="preserve"> Administrativa</w:t>
      </w:r>
      <w:r w:rsidRPr="0069002E">
        <w:rPr>
          <w:sz w:val="24"/>
          <w:szCs w:val="24"/>
        </w:rPr>
        <w:t xml:space="preserve"> (SEAGES)</w:t>
      </w:r>
    </w:p>
    <w:p w:rsidR="007320F3" w:rsidRPr="0069002E" w:rsidRDefault="007320F3" w:rsidP="00EE4440">
      <w:pPr>
        <w:spacing w:after="0"/>
        <w:ind w:left="3200"/>
        <w:jc w:val="both"/>
        <w:rPr>
          <w:sz w:val="24"/>
          <w:szCs w:val="24"/>
        </w:rPr>
      </w:pPr>
      <w:r w:rsidRPr="0069002E">
        <w:rPr>
          <w:sz w:val="24"/>
          <w:szCs w:val="24"/>
        </w:rPr>
        <w:t>Auditor</w:t>
      </w:r>
      <w:r w:rsidR="00B7409F" w:rsidRPr="0069002E">
        <w:rPr>
          <w:sz w:val="24"/>
          <w:szCs w:val="24"/>
        </w:rPr>
        <w:t xml:space="preserve"> Interno</w:t>
      </w:r>
      <w:r w:rsidRPr="0069002E">
        <w:rPr>
          <w:sz w:val="24"/>
          <w:szCs w:val="24"/>
        </w:rPr>
        <w:t>:</w:t>
      </w:r>
      <w:r w:rsidR="004F01A5">
        <w:rPr>
          <w:sz w:val="24"/>
          <w:szCs w:val="24"/>
        </w:rPr>
        <w:t xml:space="preserve"> </w:t>
      </w:r>
      <w:r w:rsidR="00BF44D9">
        <w:rPr>
          <w:sz w:val="24"/>
          <w:szCs w:val="24"/>
        </w:rPr>
        <w:t xml:space="preserve">Patrícia </w:t>
      </w:r>
      <w:proofErr w:type="spellStart"/>
      <w:r w:rsidR="00BF44D9">
        <w:rPr>
          <w:sz w:val="24"/>
          <w:szCs w:val="24"/>
        </w:rPr>
        <w:t>Caleffi</w:t>
      </w:r>
      <w:proofErr w:type="spellEnd"/>
      <w:r w:rsidRPr="0069002E">
        <w:rPr>
          <w:sz w:val="24"/>
          <w:szCs w:val="24"/>
        </w:rPr>
        <w:t xml:space="preserve"> </w:t>
      </w:r>
    </w:p>
    <w:p w:rsidR="0077351F" w:rsidRPr="0069002E" w:rsidRDefault="0077351F" w:rsidP="00EE4440">
      <w:pPr>
        <w:jc w:val="both"/>
        <w:rPr>
          <w:sz w:val="24"/>
          <w:szCs w:val="24"/>
        </w:rPr>
      </w:pPr>
    </w:p>
    <w:p w:rsidR="00A851C9" w:rsidRDefault="00A851C9" w:rsidP="00EE4440">
      <w:pPr>
        <w:jc w:val="both"/>
        <w:rPr>
          <w:sz w:val="24"/>
          <w:szCs w:val="24"/>
        </w:rPr>
      </w:pPr>
    </w:p>
    <w:p w:rsidR="00451876" w:rsidRDefault="00451876" w:rsidP="00EE4440">
      <w:pPr>
        <w:jc w:val="both"/>
        <w:rPr>
          <w:sz w:val="24"/>
          <w:szCs w:val="24"/>
        </w:rPr>
      </w:pPr>
    </w:p>
    <w:p w:rsidR="0077351F" w:rsidRDefault="0077351F" w:rsidP="00EE4440">
      <w:pPr>
        <w:jc w:val="both"/>
        <w:rPr>
          <w:sz w:val="24"/>
          <w:szCs w:val="24"/>
        </w:rPr>
      </w:pPr>
    </w:p>
    <w:p w:rsidR="00337717" w:rsidRDefault="00337717" w:rsidP="00EE4440">
      <w:pPr>
        <w:spacing w:after="0"/>
        <w:jc w:val="both"/>
        <w:rPr>
          <w:b/>
          <w:sz w:val="24"/>
          <w:szCs w:val="24"/>
        </w:rPr>
      </w:pPr>
    </w:p>
    <w:p w:rsidR="00337717" w:rsidRDefault="00337717" w:rsidP="00EE4440">
      <w:pPr>
        <w:spacing w:after="0"/>
        <w:jc w:val="both"/>
        <w:rPr>
          <w:b/>
          <w:sz w:val="24"/>
          <w:szCs w:val="24"/>
        </w:rPr>
      </w:pPr>
    </w:p>
    <w:p w:rsidR="00337717" w:rsidRDefault="00337717" w:rsidP="00EE4440">
      <w:pPr>
        <w:spacing w:after="0"/>
        <w:jc w:val="both"/>
        <w:rPr>
          <w:b/>
          <w:sz w:val="24"/>
          <w:szCs w:val="24"/>
        </w:rPr>
      </w:pPr>
    </w:p>
    <w:p w:rsidR="002E1967" w:rsidRDefault="002E1967" w:rsidP="00EE4440">
      <w:pPr>
        <w:spacing w:after="0"/>
        <w:jc w:val="both"/>
        <w:rPr>
          <w:b/>
          <w:sz w:val="24"/>
          <w:szCs w:val="24"/>
        </w:rPr>
      </w:pPr>
    </w:p>
    <w:p w:rsidR="0077351F" w:rsidRPr="00451876" w:rsidRDefault="00DD7D90" w:rsidP="00451876">
      <w:pPr>
        <w:spacing w:after="0"/>
        <w:jc w:val="center"/>
        <w:rPr>
          <w:sz w:val="24"/>
          <w:szCs w:val="24"/>
        </w:rPr>
      </w:pPr>
      <w:r w:rsidRPr="00451876">
        <w:rPr>
          <w:sz w:val="24"/>
          <w:szCs w:val="24"/>
        </w:rPr>
        <w:t>Salvador</w:t>
      </w:r>
      <w:r w:rsidR="0077351F" w:rsidRPr="00451876">
        <w:rPr>
          <w:sz w:val="24"/>
          <w:szCs w:val="24"/>
        </w:rPr>
        <w:t xml:space="preserve"> - </w:t>
      </w:r>
      <w:r w:rsidR="001B54E1" w:rsidRPr="00451876">
        <w:rPr>
          <w:sz w:val="24"/>
          <w:szCs w:val="24"/>
        </w:rPr>
        <w:t>BA</w:t>
      </w:r>
    </w:p>
    <w:p w:rsidR="00B95D7B" w:rsidRPr="00451876" w:rsidRDefault="002E1967" w:rsidP="0045187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Setembro</w:t>
      </w:r>
      <w:r w:rsidR="00914D3A" w:rsidRPr="00451876">
        <w:rPr>
          <w:sz w:val="24"/>
          <w:szCs w:val="24"/>
        </w:rPr>
        <w:t>/2015</w:t>
      </w:r>
    </w:p>
    <w:p w:rsidR="00AE371B" w:rsidRDefault="00AE371B" w:rsidP="00C16169">
      <w:pPr>
        <w:pStyle w:val="CabealhodoSumrio1"/>
        <w:jc w:val="center"/>
        <w:rPr>
          <w:rFonts w:ascii="Times New Roman" w:hAnsi="Times New Roman"/>
          <w:caps/>
          <w:color w:val="auto"/>
          <w:sz w:val="24"/>
          <w:szCs w:val="24"/>
        </w:rPr>
      </w:pPr>
      <w:r w:rsidRPr="00103D34">
        <w:rPr>
          <w:rFonts w:ascii="Times New Roman" w:hAnsi="Times New Roman"/>
          <w:caps/>
          <w:color w:val="auto"/>
          <w:sz w:val="24"/>
          <w:szCs w:val="24"/>
        </w:rPr>
        <w:lastRenderedPageBreak/>
        <w:t>Sumário</w:t>
      </w:r>
    </w:p>
    <w:p w:rsidR="00AE371B" w:rsidRDefault="00AE371B" w:rsidP="00EE4440">
      <w:pPr>
        <w:jc w:val="both"/>
      </w:pPr>
    </w:p>
    <w:p w:rsidR="00AE371B" w:rsidRDefault="00AE371B" w:rsidP="00EE4440">
      <w:pPr>
        <w:jc w:val="both"/>
      </w:pPr>
    </w:p>
    <w:p w:rsidR="00AE371B" w:rsidRPr="00AE371B" w:rsidRDefault="00AE371B" w:rsidP="00EE4440">
      <w:pPr>
        <w:jc w:val="both"/>
      </w:pPr>
    </w:p>
    <w:p w:rsidR="00AE371B" w:rsidRPr="006C216E" w:rsidRDefault="00AE371B" w:rsidP="00EE4440">
      <w:pPr>
        <w:jc w:val="both"/>
      </w:pPr>
    </w:p>
    <w:p w:rsidR="00AE371B" w:rsidRPr="00712967" w:rsidRDefault="00AE371B" w:rsidP="00EE4440">
      <w:pPr>
        <w:pStyle w:val="Sumrio1"/>
        <w:jc w:val="both"/>
        <w:rPr>
          <w:rFonts w:ascii="Calibri" w:hAnsi="Calibri"/>
          <w:sz w:val="22"/>
          <w:szCs w:val="22"/>
        </w:rPr>
      </w:pPr>
      <w:r w:rsidRPr="00712967">
        <w:fldChar w:fldCharType="begin"/>
      </w:r>
      <w:r w:rsidRPr="00712967">
        <w:instrText xml:space="preserve"> TOC \o "1-3" \h \z \u </w:instrText>
      </w:r>
      <w:r w:rsidRPr="00712967">
        <w:fldChar w:fldCharType="separate"/>
      </w:r>
      <w:hyperlink w:anchor="_Toc396482379" w:history="1">
        <w:r w:rsidRPr="00712967">
          <w:rPr>
            <w:rFonts w:ascii="Calibri" w:hAnsi="Calibri"/>
            <w:sz w:val="22"/>
            <w:szCs w:val="22"/>
          </w:rPr>
          <w:tab/>
        </w:r>
        <w:r w:rsidRPr="00712967">
          <w:rPr>
            <w:rStyle w:val="Hyperlink"/>
          </w:rPr>
          <w:t>APRESENTAÇÃO</w:t>
        </w:r>
        <w:r w:rsidRPr="00712967">
          <w:rPr>
            <w:webHidden/>
          </w:rPr>
          <w:tab/>
          <w:t>4</w:t>
        </w:r>
      </w:hyperlink>
    </w:p>
    <w:p w:rsidR="00AE371B" w:rsidRPr="00712967" w:rsidRDefault="00477433" w:rsidP="00EE4440">
      <w:pPr>
        <w:pStyle w:val="Sumrio1"/>
        <w:jc w:val="both"/>
        <w:rPr>
          <w:rFonts w:ascii="Calibri" w:hAnsi="Calibri"/>
          <w:sz w:val="22"/>
          <w:szCs w:val="22"/>
        </w:rPr>
      </w:pPr>
      <w:hyperlink w:anchor="_Toc396482381" w:history="1">
        <w:r w:rsidR="00D86D75" w:rsidRPr="00712967">
          <w:rPr>
            <w:rStyle w:val="Hyperlink"/>
          </w:rPr>
          <w:t>I.</w:t>
        </w:r>
        <w:r w:rsidR="00AE371B" w:rsidRPr="00712967">
          <w:rPr>
            <w:rFonts w:ascii="Calibri" w:hAnsi="Calibri"/>
            <w:sz w:val="22"/>
            <w:szCs w:val="22"/>
          </w:rPr>
          <w:tab/>
        </w:r>
        <w:r w:rsidR="00AE371B" w:rsidRPr="00712967">
          <w:rPr>
            <w:rStyle w:val="Hyperlink"/>
          </w:rPr>
          <w:t>INTRODUÇÃO.........................................................................................................</w:t>
        </w:r>
      </w:hyperlink>
      <w:r w:rsidR="00AE371B" w:rsidRPr="00712967">
        <w:t>5</w:t>
      </w:r>
      <w:r w:rsidR="00AE371B" w:rsidRPr="00712967">
        <w:rPr>
          <w:rFonts w:ascii="Calibri" w:hAnsi="Calibri"/>
          <w:sz w:val="22"/>
          <w:szCs w:val="22"/>
        </w:rPr>
        <w:t xml:space="preserve"> </w:t>
      </w:r>
    </w:p>
    <w:p w:rsidR="00AE371B" w:rsidRPr="00712967" w:rsidRDefault="00477433" w:rsidP="00EE4440">
      <w:pPr>
        <w:pStyle w:val="Sumrio1"/>
        <w:jc w:val="both"/>
        <w:rPr>
          <w:rFonts w:ascii="Calibri" w:hAnsi="Calibri"/>
          <w:sz w:val="22"/>
          <w:szCs w:val="22"/>
        </w:rPr>
      </w:pPr>
      <w:hyperlink w:anchor="_Toc396482382" w:history="1">
        <w:r w:rsidR="00AE371B" w:rsidRPr="00712967">
          <w:rPr>
            <w:rStyle w:val="Hyperlink"/>
          </w:rPr>
          <w:t>II</w:t>
        </w:r>
        <w:r w:rsidR="008D7B53" w:rsidRPr="00712967">
          <w:rPr>
            <w:rStyle w:val="Hyperlink"/>
          </w:rPr>
          <w:t>.</w:t>
        </w:r>
        <w:r w:rsidR="00AE371B" w:rsidRPr="00712967">
          <w:rPr>
            <w:rFonts w:ascii="Calibri" w:hAnsi="Calibri"/>
            <w:sz w:val="22"/>
            <w:szCs w:val="22"/>
          </w:rPr>
          <w:tab/>
        </w:r>
        <w:r w:rsidR="00AE371B" w:rsidRPr="00712967">
          <w:rPr>
            <w:rStyle w:val="Hyperlink"/>
          </w:rPr>
          <w:t>ACHADOS DE AUDITORIA</w:t>
        </w:r>
        <w:r w:rsidR="00AE371B" w:rsidRPr="00712967">
          <w:rPr>
            <w:webHidden/>
          </w:rPr>
          <w:tab/>
          <w:t>..</w:t>
        </w:r>
        <w:r w:rsidR="0076124D" w:rsidRPr="00712967">
          <w:rPr>
            <w:webHidden/>
          </w:rPr>
          <w:t>....</w:t>
        </w:r>
        <w:r w:rsidR="00AE371B" w:rsidRPr="00712967">
          <w:rPr>
            <w:webHidden/>
          </w:rPr>
          <w:t>..........................</w:t>
        </w:r>
        <w:r w:rsidR="0076124D" w:rsidRPr="00712967">
          <w:rPr>
            <w:webHidden/>
          </w:rPr>
          <w:t>.</w:t>
        </w:r>
        <w:r w:rsidR="00AE371B" w:rsidRPr="00712967">
          <w:rPr>
            <w:webHidden/>
          </w:rPr>
          <w:t>..</w:t>
        </w:r>
        <w:r w:rsidR="00BD0DAC" w:rsidRPr="00712967">
          <w:rPr>
            <w:webHidden/>
          </w:rPr>
          <w:t>6</w:t>
        </w:r>
      </w:hyperlink>
    </w:p>
    <w:p w:rsidR="00AE371B" w:rsidRPr="00712967" w:rsidRDefault="00477433" w:rsidP="00EE4440">
      <w:pPr>
        <w:pStyle w:val="Sumrio1"/>
        <w:jc w:val="both"/>
      </w:pPr>
      <w:hyperlink w:anchor="_Toc396482383" w:history="1">
        <w:r w:rsidR="00D86D75" w:rsidRPr="00712967">
          <w:rPr>
            <w:rStyle w:val="Hyperlink"/>
          </w:rPr>
          <w:t>III</w:t>
        </w:r>
        <w:r w:rsidR="008D7B53" w:rsidRPr="00712967">
          <w:rPr>
            <w:rStyle w:val="Hyperlink"/>
          </w:rPr>
          <w:t>.</w:t>
        </w:r>
        <w:r w:rsidR="00AE371B" w:rsidRPr="00712967">
          <w:rPr>
            <w:rFonts w:ascii="Calibri" w:hAnsi="Calibri"/>
            <w:sz w:val="22"/>
            <w:szCs w:val="22"/>
          </w:rPr>
          <w:tab/>
        </w:r>
        <w:r w:rsidR="00AE371B" w:rsidRPr="00712967">
          <w:rPr>
            <w:rStyle w:val="Hyperlink"/>
          </w:rPr>
          <w:t>CONCLUSÃO</w:t>
        </w:r>
        <w:r w:rsidR="00AE371B" w:rsidRPr="00712967">
          <w:rPr>
            <w:webHidden/>
          </w:rPr>
          <w:tab/>
        </w:r>
        <w:r w:rsidR="0076124D" w:rsidRPr="00712967">
          <w:rPr>
            <w:webHidden/>
          </w:rPr>
          <w:t>....</w:t>
        </w:r>
        <w:r w:rsidR="00AE371B" w:rsidRPr="00712967">
          <w:t>.</w:t>
        </w:r>
      </w:hyperlink>
      <w:r w:rsidR="00BD0DAC" w:rsidRPr="00712967">
        <w:t xml:space="preserve"> 6</w:t>
      </w:r>
    </w:p>
    <w:p w:rsidR="00AE371B" w:rsidRDefault="00AE371B" w:rsidP="00EE4440">
      <w:pPr>
        <w:spacing w:line="360" w:lineRule="auto"/>
        <w:jc w:val="both"/>
        <w:rPr>
          <w:rFonts w:cs="Arial"/>
          <w:b/>
          <w:sz w:val="24"/>
          <w:szCs w:val="24"/>
        </w:rPr>
      </w:pPr>
      <w:r w:rsidRPr="00712967">
        <w:fldChar w:fldCharType="end"/>
      </w:r>
    </w:p>
    <w:p w:rsidR="006F72EA" w:rsidRPr="0069002E" w:rsidRDefault="006F72EA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6F72EA" w:rsidRPr="0069002E" w:rsidRDefault="006F72EA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6F72EA" w:rsidRPr="0069002E" w:rsidRDefault="006F72EA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6F72EA" w:rsidRDefault="006F72EA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052BE1" w:rsidRDefault="00052BE1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052BE1" w:rsidRPr="0069002E" w:rsidRDefault="00052BE1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0075FC" w:rsidRPr="0069002E" w:rsidRDefault="000075FC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0075FC" w:rsidRPr="0069002E" w:rsidRDefault="000075FC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1B54E1" w:rsidRPr="0069002E" w:rsidRDefault="001B54E1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1B54E1" w:rsidRPr="0069002E" w:rsidRDefault="001B54E1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1B54E1" w:rsidRPr="0069002E" w:rsidRDefault="001B54E1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B7409F" w:rsidRDefault="00B7409F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377570" w:rsidRDefault="00377570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377570" w:rsidRDefault="00377570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CA23C2" w:rsidRDefault="00CA23C2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BD0DAC" w:rsidRDefault="00BD0DAC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D03144" w:rsidRDefault="00D03144" w:rsidP="00EE4440">
      <w:pPr>
        <w:jc w:val="both"/>
        <w:rPr>
          <w:rFonts w:cs="Arial"/>
          <w:sz w:val="24"/>
          <w:szCs w:val="24"/>
        </w:rPr>
      </w:pPr>
    </w:p>
    <w:p w:rsidR="00786DE6" w:rsidRPr="0069002E" w:rsidRDefault="00786DE6" w:rsidP="00EE4440">
      <w:pPr>
        <w:jc w:val="both"/>
        <w:rPr>
          <w:b/>
          <w:sz w:val="24"/>
          <w:szCs w:val="24"/>
        </w:rPr>
      </w:pPr>
      <w:r w:rsidRPr="0069002E">
        <w:rPr>
          <w:b/>
          <w:sz w:val="24"/>
          <w:szCs w:val="24"/>
        </w:rPr>
        <w:lastRenderedPageBreak/>
        <w:t>APRESENTAÇÃO</w:t>
      </w:r>
    </w:p>
    <w:p w:rsidR="00C660E4" w:rsidRPr="00C660E4" w:rsidRDefault="00C660E4" w:rsidP="00EE4440">
      <w:pPr>
        <w:ind w:firstLine="900"/>
        <w:jc w:val="both"/>
        <w:rPr>
          <w:sz w:val="12"/>
          <w:szCs w:val="12"/>
        </w:rPr>
      </w:pPr>
    </w:p>
    <w:p w:rsidR="00786DE6" w:rsidRPr="0069002E" w:rsidRDefault="00786DE6" w:rsidP="00E33C1E">
      <w:pPr>
        <w:ind w:firstLine="851"/>
        <w:jc w:val="both"/>
        <w:rPr>
          <w:rFonts w:cs="Arial"/>
          <w:sz w:val="24"/>
          <w:szCs w:val="24"/>
        </w:rPr>
      </w:pPr>
      <w:r w:rsidRPr="0069002E">
        <w:rPr>
          <w:sz w:val="24"/>
          <w:szCs w:val="24"/>
        </w:rPr>
        <w:t xml:space="preserve">É atribuição constitucional do sistema de controle interno de cada Poder a </w:t>
      </w:r>
      <w:r w:rsidRPr="0069002E">
        <w:rPr>
          <w:rFonts w:cs="Arial"/>
          <w:sz w:val="24"/>
          <w:szCs w:val="24"/>
        </w:rPr>
        <w:t>fiscalização contábil, financeira, orçamentária, operacional e patrimonial da União</w:t>
      </w:r>
      <w:r w:rsidRPr="0069002E">
        <w:rPr>
          <w:sz w:val="24"/>
          <w:szCs w:val="24"/>
        </w:rPr>
        <w:t xml:space="preserve">, </w:t>
      </w:r>
      <w:r w:rsidRPr="0069002E">
        <w:rPr>
          <w:rFonts w:cs="Arial"/>
          <w:sz w:val="24"/>
          <w:szCs w:val="24"/>
        </w:rPr>
        <w:t xml:space="preserve">bem como a sua manutenção de forma integrada pelos Poderes Legislativo, Executivo e Judiciário, conforme previsto </w:t>
      </w:r>
      <w:r w:rsidRPr="0069002E">
        <w:rPr>
          <w:sz w:val="24"/>
          <w:szCs w:val="24"/>
        </w:rPr>
        <w:t>nos artigos 70 e 74 da Constituição Federal de 1988 (CF/88).</w:t>
      </w:r>
    </w:p>
    <w:p w:rsidR="00786DE6" w:rsidRPr="0069002E" w:rsidRDefault="00786DE6" w:rsidP="00E33C1E">
      <w:pPr>
        <w:ind w:firstLine="851"/>
        <w:jc w:val="both"/>
        <w:rPr>
          <w:rFonts w:cs="Arial"/>
          <w:sz w:val="24"/>
          <w:szCs w:val="24"/>
        </w:rPr>
      </w:pPr>
      <w:r w:rsidRPr="0069002E">
        <w:rPr>
          <w:rFonts w:cs="Arial"/>
          <w:sz w:val="24"/>
          <w:szCs w:val="24"/>
        </w:rPr>
        <w:t xml:space="preserve">A fim de atender ao quanto disposto na CF/88, o Conselho Nacional de Justiça (CNJ) editou a Resolução nº 86/2009 e a Resolução nº 171/2013, que </w:t>
      </w:r>
      <w:r w:rsidR="00F53A5A">
        <w:rPr>
          <w:rFonts w:cs="Arial"/>
          <w:sz w:val="24"/>
          <w:szCs w:val="24"/>
        </w:rPr>
        <w:t>tratam</w:t>
      </w:r>
      <w:r w:rsidRPr="0069002E">
        <w:rPr>
          <w:rFonts w:cs="Arial"/>
          <w:sz w:val="24"/>
          <w:szCs w:val="24"/>
        </w:rPr>
        <w:t xml:space="preserve"> sobre a organização e funcionamento das unidades de controle interno do Poder Judiciário e as normas de auditoria, inspeção e fiscalização, nas unidades jurisdicionadas vinculadas ao CNJ.</w:t>
      </w:r>
    </w:p>
    <w:p w:rsidR="00010982" w:rsidRDefault="00786DE6" w:rsidP="00E33C1E">
      <w:pPr>
        <w:ind w:firstLine="851"/>
        <w:jc w:val="both"/>
        <w:rPr>
          <w:rFonts w:cs="Arial"/>
          <w:sz w:val="24"/>
          <w:szCs w:val="24"/>
        </w:rPr>
      </w:pPr>
      <w:r w:rsidRPr="0069002E">
        <w:rPr>
          <w:rFonts w:cs="Arial"/>
          <w:sz w:val="24"/>
          <w:szCs w:val="24"/>
        </w:rPr>
        <w:t xml:space="preserve">Com o fito de normatizar e regulamentar os dispositivos constitucionais e infraconstitucionais, além de dar-lhes efetividade, o TRE-BA editou a Resolução nº 05/2013 onde constam as atribuições regulamentares da Seção de Acompanhamento e Orientação à Gestão Administrativa (SEAGES), entre as quais está o acompanhamento da gestão </w:t>
      </w:r>
      <w:r w:rsidR="00615155" w:rsidRPr="00202936">
        <w:rPr>
          <w:rFonts w:cs="Arial"/>
          <w:sz w:val="24"/>
          <w:szCs w:val="24"/>
        </w:rPr>
        <w:t>operacional</w:t>
      </w:r>
      <w:r w:rsidRPr="0069002E">
        <w:rPr>
          <w:rFonts w:cs="Arial"/>
          <w:sz w:val="24"/>
          <w:szCs w:val="24"/>
        </w:rPr>
        <w:t xml:space="preserve"> no tocante aos princípios da legalidade, impessoalidade, moralidade, eficiência e eficácia. Reza também o artigo 18 da referida Resolução, nos seus incisos I e </w:t>
      </w:r>
      <w:r w:rsidR="00010982">
        <w:rPr>
          <w:rFonts w:cs="Arial"/>
          <w:sz w:val="24"/>
          <w:szCs w:val="24"/>
        </w:rPr>
        <w:t>IX</w:t>
      </w:r>
      <w:r w:rsidRPr="0069002E">
        <w:rPr>
          <w:rFonts w:cs="Arial"/>
          <w:sz w:val="24"/>
          <w:szCs w:val="24"/>
        </w:rPr>
        <w:t>, que compete à SEAGES</w:t>
      </w:r>
      <w:r w:rsidR="000A6410">
        <w:rPr>
          <w:rFonts w:cs="Arial"/>
          <w:sz w:val="24"/>
          <w:szCs w:val="24"/>
        </w:rPr>
        <w:t>, dentre outras atribuições,</w:t>
      </w:r>
      <w:r w:rsidRPr="0069002E">
        <w:rPr>
          <w:rFonts w:cs="Arial"/>
          <w:sz w:val="24"/>
          <w:szCs w:val="24"/>
        </w:rPr>
        <w:t xml:space="preserve"> a elaboração do Plano Anual de Fiscalização e </w:t>
      </w:r>
      <w:r w:rsidR="000A6410">
        <w:rPr>
          <w:rFonts w:cs="Arial"/>
          <w:sz w:val="24"/>
          <w:szCs w:val="24"/>
        </w:rPr>
        <w:t xml:space="preserve">a </w:t>
      </w:r>
      <w:r w:rsidR="00010982">
        <w:rPr>
          <w:rFonts w:cs="Arial"/>
          <w:sz w:val="24"/>
          <w:szCs w:val="24"/>
        </w:rPr>
        <w:t>prestação de orientação de caráter preventivo</w:t>
      </w:r>
      <w:r w:rsidR="003B2FBB">
        <w:rPr>
          <w:rFonts w:cs="Arial"/>
          <w:sz w:val="24"/>
          <w:szCs w:val="24"/>
        </w:rPr>
        <w:t xml:space="preserve"> aos gestores.</w:t>
      </w:r>
      <w:r w:rsidR="00485096">
        <w:rPr>
          <w:rFonts w:cs="Arial"/>
          <w:sz w:val="24"/>
          <w:szCs w:val="24"/>
        </w:rPr>
        <w:t xml:space="preserve"> Mais recentemente, foi aprovada a Resolução Administrativa nº. 06/2015, de 04 de maio de 2015, que estabelece as diretrizes para o exercício das atividades da Secretaria de Controle Interno e Auditoria no âmbito deste Regional.  </w:t>
      </w:r>
    </w:p>
    <w:p w:rsidR="00AB6882" w:rsidRDefault="00AB6882" w:rsidP="00E33C1E">
      <w:pPr>
        <w:ind w:firstLine="851"/>
        <w:jc w:val="both"/>
        <w:rPr>
          <w:rFonts w:cs="Arial"/>
          <w:sz w:val="24"/>
          <w:szCs w:val="24"/>
        </w:rPr>
      </w:pPr>
      <w:r w:rsidRPr="00AB6882">
        <w:rPr>
          <w:rFonts w:cs="Arial"/>
          <w:sz w:val="24"/>
          <w:szCs w:val="24"/>
        </w:rPr>
        <w:t>Fundada nesses dispositivos legais e com base no Plano Anual de Fiscalização, que é parte integrante do Plano Anual de Atividades 2015 (PAA2015), a SEAGES elaborou o presente relatório de fiscalização, que teve como objetivo avaliar</w:t>
      </w:r>
      <w:r w:rsidR="003A0C4F">
        <w:rPr>
          <w:rFonts w:cs="Arial"/>
          <w:sz w:val="24"/>
          <w:szCs w:val="24"/>
        </w:rPr>
        <w:t xml:space="preserve"> a conformidade dos</w:t>
      </w:r>
      <w:r w:rsidRPr="00AB6882">
        <w:rPr>
          <w:rFonts w:cs="Arial"/>
          <w:sz w:val="24"/>
          <w:szCs w:val="24"/>
        </w:rPr>
        <w:t xml:space="preserve"> procedimentos licitatórios concluídos no </w:t>
      </w:r>
      <w:r w:rsidR="00281F43">
        <w:rPr>
          <w:rFonts w:cs="Arial"/>
          <w:sz w:val="24"/>
          <w:szCs w:val="24"/>
        </w:rPr>
        <w:t>terceiro</w:t>
      </w:r>
      <w:r w:rsidRPr="00AB6882">
        <w:rPr>
          <w:rFonts w:cs="Arial"/>
          <w:sz w:val="24"/>
          <w:szCs w:val="24"/>
        </w:rPr>
        <w:t xml:space="preserve"> bimestre de 2015.</w:t>
      </w:r>
    </w:p>
    <w:p w:rsidR="00AB6882" w:rsidRPr="00675FB8" w:rsidRDefault="003A0C4F" w:rsidP="00E33C1E">
      <w:pPr>
        <w:ind w:firstLine="851"/>
        <w:jc w:val="both"/>
        <w:rPr>
          <w:rFonts w:cs="Arial"/>
          <w:sz w:val="24"/>
          <w:szCs w:val="24"/>
        </w:rPr>
      </w:pPr>
      <w:r w:rsidRPr="00675FB8">
        <w:rPr>
          <w:sz w:val="24"/>
          <w:szCs w:val="24"/>
        </w:rPr>
        <w:t xml:space="preserve">Considerando </w:t>
      </w:r>
      <w:r w:rsidR="00FC4EDC" w:rsidRPr="00675FB8">
        <w:rPr>
          <w:sz w:val="24"/>
          <w:szCs w:val="24"/>
        </w:rPr>
        <w:t xml:space="preserve">a </w:t>
      </w:r>
      <w:r w:rsidR="00536DA1" w:rsidRPr="00675FB8">
        <w:rPr>
          <w:sz w:val="24"/>
          <w:szCs w:val="24"/>
        </w:rPr>
        <w:t>continuidade</w:t>
      </w:r>
      <w:r w:rsidR="00FC4EDC" w:rsidRPr="00675FB8">
        <w:rPr>
          <w:sz w:val="24"/>
          <w:szCs w:val="24"/>
        </w:rPr>
        <w:t xml:space="preserve"> deste trabalho</w:t>
      </w:r>
      <w:r w:rsidR="00536DA1" w:rsidRPr="00675FB8">
        <w:rPr>
          <w:sz w:val="24"/>
          <w:szCs w:val="24"/>
        </w:rPr>
        <w:t xml:space="preserve"> </w:t>
      </w:r>
      <w:r w:rsidRPr="00675FB8">
        <w:rPr>
          <w:sz w:val="24"/>
          <w:szCs w:val="24"/>
        </w:rPr>
        <w:t xml:space="preserve">ao longo do exercício, encaminhou-se à Diretoria Geral desta Casa </w:t>
      </w:r>
      <w:r w:rsidR="00AB6882" w:rsidRPr="00675FB8">
        <w:rPr>
          <w:rFonts w:cs="Arial"/>
          <w:sz w:val="24"/>
          <w:szCs w:val="24"/>
        </w:rPr>
        <w:t>o Memorando nº 0</w:t>
      </w:r>
      <w:r w:rsidR="00FB0F1F">
        <w:rPr>
          <w:rFonts w:cs="Arial"/>
          <w:sz w:val="24"/>
          <w:szCs w:val="24"/>
        </w:rPr>
        <w:t>1</w:t>
      </w:r>
      <w:r w:rsidR="00AB6882" w:rsidRPr="00675FB8">
        <w:rPr>
          <w:rFonts w:cs="Arial"/>
          <w:sz w:val="24"/>
          <w:szCs w:val="24"/>
        </w:rPr>
        <w:t>/2015/SCI/COGES/SEAGES, solicitando</w:t>
      </w:r>
      <w:r w:rsidR="00B07351" w:rsidRPr="00675FB8">
        <w:rPr>
          <w:rFonts w:cs="Arial"/>
          <w:sz w:val="24"/>
          <w:szCs w:val="24"/>
        </w:rPr>
        <w:t xml:space="preserve"> que, ao final de cada bimestre, fosse </w:t>
      </w:r>
      <w:r w:rsidR="00AB6882" w:rsidRPr="00675FB8">
        <w:rPr>
          <w:rFonts w:cs="Arial"/>
          <w:sz w:val="24"/>
          <w:szCs w:val="24"/>
        </w:rPr>
        <w:t>en</w:t>
      </w:r>
      <w:r w:rsidR="00451876">
        <w:rPr>
          <w:rFonts w:cs="Arial"/>
          <w:sz w:val="24"/>
          <w:szCs w:val="24"/>
        </w:rPr>
        <w:t>viada</w:t>
      </w:r>
      <w:r w:rsidR="00B07351" w:rsidRPr="00675FB8">
        <w:rPr>
          <w:rFonts w:cs="Arial"/>
          <w:sz w:val="24"/>
          <w:szCs w:val="24"/>
        </w:rPr>
        <w:t xml:space="preserve"> a </w:t>
      </w:r>
      <w:r w:rsidR="00AB6882" w:rsidRPr="00675FB8">
        <w:rPr>
          <w:rFonts w:cs="Arial"/>
          <w:sz w:val="24"/>
          <w:szCs w:val="24"/>
        </w:rPr>
        <w:t xml:space="preserve">esta </w:t>
      </w:r>
      <w:r w:rsidR="00B07351" w:rsidRPr="00675FB8">
        <w:rPr>
          <w:rFonts w:cs="Arial"/>
          <w:sz w:val="24"/>
          <w:szCs w:val="24"/>
        </w:rPr>
        <w:t xml:space="preserve">Unidade </w:t>
      </w:r>
      <w:r w:rsidR="00AB6882" w:rsidRPr="00675FB8">
        <w:rPr>
          <w:rFonts w:cs="Arial"/>
          <w:sz w:val="24"/>
          <w:szCs w:val="24"/>
        </w:rPr>
        <w:t>a relação dos pro</w:t>
      </w:r>
      <w:r w:rsidR="00536DA1" w:rsidRPr="00675FB8">
        <w:rPr>
          <w:rFonts w:cs="Arial"/>
          <w:sz w:val="24"/>
          <w:szCs w:val="24"/>
        </w:rPr>
        <w:t xml:space="preserve">cedimentos concluídos </w:t>
      </w:r>
      <w:r w:rsidR="00B07351" w:rsidRPr="00675FB8">
        <w:rPr>
          <w:rFonts w:cs="Arial"/>
          <w:sz w:val="24"/>
          <w:szCs w:val="24"/>
        </w:rPr>
        <w:t>no período de referência</w:t>
      </w:r>
      <w:r w:rsidR="00AB6882" w:rsidRPr="00675FB8">
        <w:rPr>
          <w:rFonts w:cs="Arial"/>
          <w:sz w:val="24"/>
          <w:szCs w:val="24"/>
        </w:rPr>
        <w:t xml:space="preserve">. </w:t>
      </w:r>
      <w:r w:rsidR="00675FB8" w:rsidRPr="00675FB8">
        <w:rPr>
          <w:rFonts w:cs="Arial"/>
          <w:sz w:val="24"/>
          <w:szCs w:val="24"/>
        </w:rPr>
        <w:t>Informou</w:t>
      </w:r>
      <w:r w:rsidR="00536DA1" w:rsidRPr="00675FB8">
        <w:rPr>
          <w:rFonts w:cs="Arial"/>
          <w:sz w:val="24"/>
          <w:szCs w:val="24"/>
        </w:rPr>
        <w:t>-se, por meio do mesmo documento,</w:t>
      </w:r>
      <w:r w:rsidR="00AB6882" w:rsidRPr="00675FB8">
        <w:rPr>
          <w:rFonts w:cs="Arial"/>
          <w:sz w:val="24"/>
          <w:szCs w:val="24"/>
        </w:rPr>
        <w:t xml:space="preserve"> </w:t>
      </w:r>
      <w:r w:rsidR="00675FB8" w:rsidRPr="00675FB8">
        <w:rPr>
          <w:rFonts w:cs="Arial"/>
          <w:sz w:val="24"/>
          <w:szCs w:val="24"/>
        </w:rPr>
        <w:t>que seriam auditados:</w:t>
      </w:r>
    </w:p>
    <w:p w:rsidR="00AB6882" w:rsidRPr="00675FB8" w:rsidRDefault="00AB6882" w:rsidP="00EE4440">
      <w:pPr>
        <w:numPr>
          <w:ilvl w:val="0"/>
          <w:numId w:val="8"/>
        </w:numPr>
        <w:jc w:val="both"/>
        <w:rPr>
          <w:rFonts w:cs="Arial"/>
          <w:sz w:val="24"/>
          <w:szCs w:val="24"/>
        </w:rPr>
      </w:pPr>
      <w:r w:rsidRPr="00675FB8">
        <w:rPr>
          <w:rFonts w:cs="Arial"/>
          <w:sz w:val="24"/>
          <w:szCs w:val="24"/>
        </w:rPr>
        <w:t>100% (cem por cento) dos proce</w:t>
      </w:r>
      <w:r w:rsidR="00675FB8" w:rsidRPr="00675FB8">
        <w:rPr>
          <w:rFonts w:cs="Arial"/>
          <w:sz w:val="24"/>
          <w:szCs w:val="24"/>
        </w:rPr>
        <w:t>dimentos licitatórios que tenham</w:t>
      </w:r>
      <w:r w:rsidRPr="00675FB8">
        <w:rPr>
          <w:rFonts w:cs="Arial"/>
          <w:sz w:val="24"/>
          <w:szCs w:val="24"/>
        </w:rPr>
        <w:t xml:space="preserve"> por objeto obras e serviços de engenharia;</w:t>
      </w:r>
    </w:p>
    <w:p w:rsidR="00AB6882" w:rsidRPr="00675FB8" w:rsidRDefault="00AB6882" w:rsidP="00EE4440">
      <w:pPr>
        <w:numPr>
          <w:ilvl w:val="0"/>
          <w:numId w:val="8"/>
        </w:numPr>
        <w:jc w:val="both"/>
        <w:rPr>
          <w:rFonts w:cs="Arial"/>
          <w:sz w:val="24"/>
          <w:szCs w:val="24"/>
        </w:rPr>
      </w:pPr>
      <w:r w:rsidRPr="00675FB8">
        <w:rPr>
          <w:rFonts w:cs="Arial"/>
          <w:sz w:val="24"/>
          <w:szCs w:val="24"/>
        </w:rPr>
        <w:t>100% (cem por cento) dos procedimentos licitatórios para contratação de serviços contínuos com alocação exclusiva de mão de obra;</w:t>
      </w:r>
    </w:p>
    <w:p w:rsidR="00AB6882" w:rsidRDefault="00AB6882" w:rsidP="00EE4440">
      <w:pPr>
        <w:numPr>
          <w:ilvl w:val="0"/>
          <w:numId w:val="8"/>
        </w:numPr>
        <w:jc w:val="both"/>
        <w:rPr>
          <w:rFonts w:cs="Arial"/>
          <w:sz w:val="24"/>
          <w:szCs w:val="24"/>
        </w:rPr>
      </w:pPr>
      <w:r w:rsidRPr="00675FB8">
        <w:rPr>
          <w:rFonts w:cs="Arial"/>
          <w:sz w:val="24"/>
          <w:szCs w:val="24"/>
        </w:rPr>
        <w:t>50% (cinquenta por cento) dos p</w:t>
      </w:r>
      <w:bookmarkStart w:id="0" w:name="_GoBack"/>
      <w:bookmarkEnd w:id="0"/>
      <w:r w:rsidRPr="00675FB8">
        <w:rPr>
          <w:rFonts w:cs="Arial"/>
          <w:sz w:val="24"/>
          <w:szCs w:val="24"/>
        </w:rPr>
        <w:t>rocedimentos licitatórios não enquadrados nas alíneas anteriores, escolhidos em função de sua relevância e materialidade.</w:t>
      </w:r>
    </w:p>
    <w:p w:rsidR="00786DE6" w:rsidRPr="0069002E" w:rsidRDefault="001B6545" w:rsidP="00EE4440">
      <w:pPr>
        <w:ind w:firstLine="90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</w:t>
      </w:r>
      <w:r w:rsidR="00786DE6" w:rsidRPr="0069002E">
        <w:rPr>
          <w:rFonts w:cs="Arial"/>
          <w:sz w:val="24"/>
          <w:szCs w:val="24"/>
        </w:rPr>
        <w:t xml:space="preserve"> present</w:t>
      </w:r>
      <w:r w:rsidR="00CA2088" w:rsidRPr="0069002E">
        <w:rPr>
          <w:rFonts w:cs="Arial"/>
          <w:sz w:val="24"/>
          <w:szCs w:val="24"/>
        </w:rPr>
        <w:t>e relatório está estruturado em quatro</w:t>
      </w:r>
      <w:r w:rsidR="00786DE6" w:rsidRPr="0069002E">
        <w:rPr>
          <w:rFonts w:cs="Arial"/>
          <w:sz w:val="24"/>
          <w:szCs w:val="24"/>
        </w:rPr>
        <w:t xml:space="preserve"> partes, a saber: Introdução, Achados de Auditoria, Conclusão</w:t>
      </w:r>
      <w:r w:rsidR="00CA2088" w:rsidRPr="0069002E">
        <w:rPr>
          <w:rFonts w:cs="Arial"/>
          <w:sz w:val="24"/>
          <w:szCs w:val="24"/>
        </w:rPr>
        <w:t xml:space="preserve"> e</w:t>
      </w:r>
      <w:r w:rsidR="0015103D">
        <w:rPr>
          <w:rFonts w:cs="Arial"/>
          <w:sz w:val="24"/>
          <w:szCs w:val="24"/>
        </w:rPr>
        <w:t xml:space="preserve"> Propostas de Encaminhamento, se for o caso.</w:t>
      </w:r>
    </w:p>
    <w:p w:rsidR="00CA2088" w:rsidRPr="0069002E" w:rsidRDefault="00CA2088" w:rsidP="00EE4440">
      <w:pPr>
        <w:jc w:val="both"/>
        <w:rPr>
          <w:rFonts w:cs="Arial"/>
          <w:sz w:val="24"/>
          <w:szCs w:val="24"/>
        </w:rPr>
      </w:pPr>
    </w:p>
    <w:p w:rsidR="00786DE6" w:rsidRDefault="00786DE6" w:rsidP="00EE4440">
      <w:pPr>
        <w:jc w:val="both"/>
        <w:rPr>
          <w:rFonts w:cs="Arial"/>
          <w:sz w:val="24"/>
          <w:szCs w:val="24"/>
        </w:rPr>
      </w:pPr>
    </w:p>
    <w:p w:rsidR="00C16169" w:rsidRPr="0069002E" w:rsidRDefault="00C16169" w:rsidP="00EE4440">
      <w:pPr>
        <w:jc w:val="both"/>
        <w:rPr>
          <w:rFonts w:cs="Arial"/>
          <w:sz w:val="24"/>
          <w:szCs w:val="24"/>
        </w:rPr>
      </w:pPr>
    </w:p>
    <w:p w:rsidR="004B7298" w:rsidRDefault="004B7298" w:rsidP="00EE4440">
      <w:pPr>
        <w:spacing w:line="360" w:lineRule="auto"/>
        <w:jc w:val="both"/>
        <w:rPr>
          <w:rFonts w:cs="Arial"/>
          <w:b/>
          <w:sz w:val="24"/>
          <w:szCs w:val="24"/>
        </w:rPr>
      </w:pPr>
    </w:p>
    <w:p w:rsidR="00AE5F84" w:rsidRDefault="005C686D" w:rsidP="00EE4440">
      <w:pPr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</w:t>
      </w:r>
      <w:r w:rsidR="009C1E05" w:rsidRPr="0069002E">
        <w:rPr>
          <w:rFonts w:cs="Arial"/>
          <w:b/>
          <w:sz w:val="24"/>
          <w:szCs w:val="24"/>
        </w:rPr>
        <w:t>.</w:t>
      </w:r>
      <w:r w:rsidR="00B7409F" w:rsidRPr="0069002E">
        <w:rPr>
          <w:rFonts w:cs="Arial"/>
          <w:b/>
          <w:sz w:val="24"/>
          <w:szCs w:val="24"/>
        </w:rPr>
        <w:t xml:space="preserve"> </w:t>
      </w:r>
      <w:r w:rsidR="003506AB" w:rsidRPr="0069002E">
        <w:rPr>
          <w:rFonts w:cs="Arial"/>
          <w:b/>
          <w:sz w:val="24"/>
          <w:szCs w:val="24"/>
        </w:rPr>
        <w:t>I</w:t>
      </w:r>
      <w:r w:rsidR="006F72EA" w:rsidRPr="0069002E">
        <w:rPr>
          <w:rFonts w:cs="Arial"/>
          <w:b/>
          <w:sz w:val="24"/>
          <w:szCs w:val="24"/>
        </w:rPr>
        <w:t>NTRODUÇÃO</w:t>
      </w:r>
    </w:p>
    <w:p w:rsidR="00BD0DAC" w:rsidRPr="0069002E" w:rsidRDefault="00BD0DAC" w:rsidP="00EE4440">
      <w:pPr>
        <w:jc w:val="both"/>
        <w:rPr>
          <w:rFonts w:cs="Arial"/>
          <w:b/>
          <w:sz w:val="24"/>
          <w:szCs w:val="24"/>
        </w:rPr>
      </w:pPr>
    </w:p>
    <w:p w:rsidR="006F72EA" w:rsidRDefault="002A36FB" w:rsidP="00E33C1E">
      <w:pPr>
        <w:ind w:firstLine="851"/>
        <w:jc w:val="both"/>
        <w:rPr>
          <w:rFonts w:cs="Arial"/>
          <w:sz w:val="24"/>
          <w:szCs w:val="24"/>
        </w:rPr>
      </w:pPr>
      <w:r w:rsidRPr="007C7000">
        <w:rPr>
          <w:rFonts w:cs="Arial"/>
          <w:sz w:val="24"/>
          <w:szCs w:val="24"/>
        </w:rPr>
        <w:t xml:space="preserve">A Secretaria de Controle Interno e Auditoria (SCI), por intermédio da Seção de Acompanhamento e Orientação à Gestão Administrativa </w:t>
      </w:r>
      <w:r w:rsidR="00FD13EC" w:rsidRPr="007C7000">
        <w:rPr>
          <w:rFonts w:cs="Arial"/>
          <w:sz w:val="24"/>
          <w:szCs w:val="24"/>
        </w:rPr>
        <w:t xml:space="preserve">(SEAGES) </w:t>
      </w:r>
      <w:r w:rsidR="00D247AD" w:rsidRPr="007C7000">
        <w:rPr>
          <w:rFonts w:cs="Arial"/>
          <w:sz w:val="24"/>
          <w:szCs w:val="24"/>
        </w:rPr>
        <w:t xml:space="preserve">realizou fiscalização dos procedimentos </w:t>
      </w:r>
      <w:r w:rsidR="001B6545" w:rsidRPr="007C7000">
        <w:rPr>
          <w:rFonts w:cs="Arial"/>
          <w:sz w:val="24"/>
          <w:szCs w:val="24"/>
        </w:rPr>
        <w:t xml:space="preserve">licitatórios </w:t>
      </w:r>
      <w:r w:rsidR="000A504F">
        <w:rPr>
          <w:rFonts w:cs="Arial"/>
          <w:sz w:val="24"/>
          <w:szCs w:val="24"/>
        </w:rPr>
        <w:t>finalizados</w:t>
      </w:r>
      <w:r w:rsidR="00FB0F1F">
        <w:rPr>
          <w:rFonts w:cs="Arial"/>
          <w:sz w:val="24"/>
          <w:szCs w:val="24"/>
        </w:rPr>
        <w:t xml:space="preserve"> no </w:t>
      </w:r>
      <w:r w:rsidR="00485096">
        <w:rPr>
          <w:rFonts w:cs="Arial"/>
          <w:sz w:val="24"/>
          <w:szCs w:val="24"/>
        </w:rPr>
        <w:t>terceiro</w:t>
      </w:r>
      <w:r w:rsidR="00FB0F1F">
        <w:rPr>
          <w:rFonts w:cs="Arial"/>
          <w:sz w:val="24"/>
          <w:szCs w:val="24"/>
        </w:rPr>
        <w:t xml:space="preserve"> bimestre</w:t>
      </w:r>
      <w:r w:rsidR="00B678CA">
        <w:rPr>
          <w:rFonts w:cs="Arial"/>
          <w:sz w:val="24"/>
          <w:szCs w:val="24"/>
        </w:rPr>
        <w:t xml:space="preserve"> de 2015. </w:t>
      </w:r>
      <w:r w:rsidR="0084791D" w:rsidRPr="007C7000">
        <w:rPr>
          <w:rFonts w:cs="Arial"/>
          <w:sz w:val="24"/>
          <w:szCs w:val="24"/>
        </w:rPr>
        <w:t xml:space="preserve">A atividade teve início em </w:t>
      </w:r>
      <w:r w:rsidR="003E5331">
        <w:rPr>
          <w:rFonts w:cs="Arial"/>
          <w:sz w:val="24"/>
          <w:szCs w:val="24"/>
        </w:rPr>
        <w:t>julho</w:t>
      </w:r>
      <w:r w:rsidR="00EC01B4">
        <w:rPr>
          <w:rFonts w:cs="Arial"/>
          <w:sz w:val="24"/>
          <w:szCs w:val="24"/>
        </w:rPr>
        <w:t xml:space="preserve"> do corrente, </w:t>
      </w:r>
      <w:r w:rsidR="00D03144">
        <w:rPr>
          <w:rFonts w:cs="Arial"/>
          <w:sz w:val="24"/>
          <w:szCs w:val="24"/>
        </w:rPr>
        <w:t xml:space="preserve">após o recebimento do Doc. </w:t>
      </w:r>
      <w:proofErr w:type="gramStart"/>
      <w:r w:rsidR="00D03144">
        <w:rPr>
          <w:rFonts w:cs="Arial"/>
          <w:sz w:val="24"/>
          <w:szCs w:val="24"/>
        </w:rPr>
        <w:t>nº</w:t>
      </w:r>
      <w:proofErr w:type="gramEnd"/>
      <w:r w:rsidR="00D03144">
        <w:rPr>
          <w:rFonts w:cs="Arial"/>
          <w:sz w:val="24"/>
          <w:szCs w:val="24"/>
        </w:rPr>
        <w:t>. 59779/2015, encaminhado pela</w:t>
      </w:r>
      <w:r w:rsidR="00D03144" w:rsidRPr="00D03144">
        <w:rPr>
          <w:rFonts w:cs="Arial"/>
          <w:sz w:val="24"/>
          <w:szCs w:val="24"/>
        </w:rPr>
        <w:t xml:space="preserve"> </w:t>
      </w:r>
      <w:r w:rsidR="00D03144">
        <w:rPr>
          <w:rFonts w:cs="Arial"/>
          <w:sz w:val="24"/>
          <w:szCs w:val="24"/>
        </w:rPr>
        <w:t xml:space="preserve">Assessoria Especial do Diretor-Geral (ASSESD), contendo a relação dos certames concluídos no período. </w:t>
      </w:r>
    </w:p>
    <w:p w:rsidR="0037705A" w:rsidRDefault="00D03144" w:rsidP="0037705A">
      <w:pPr>
        <w:ind w:firstLine="85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No tocante às informações enviadas pela ASSESD, c</w:t>
      </w:r>
      <w:r w:rsidR="00C84F1C">
        <w:rPr>
          <w:rFonts w:cs="Arial"/>
          <w:sz w:val="24"/>
          <w:szCs w:val="24"/>
        </w:rPr>
        <w:t>onvém esclarecer que o Pregão nº. 10/2015, cujo objeto é a manutenção preventiva e corretiva de equipamentos de microfilm</w:t>
      </w:r>
      <w:r>
        <w:rPr>
          <w:rFonts w:cs="Arial"/>
          <w:sz w:val="24"/>
          <w:szCs w:val="24"/>
        </w:rPr>
        <w:t>agem, foi enquadrado por aquela assessoria</w:t>
      </w:r>
      <w:r w:rsidR="00C84F1C">
        <w:rPr>
          <w:rFonts w:cs="Arial"/>
          <w:sz w:val="24"/>
          <w:szCs w:val="24"/>
        </w:rPr>
        <w:t xml:space="preserve"> como “serviço contínuo com alocação exclusiva de mão-de-obra”</w:t>
      </w:r>
      <w:r w:rsidR="000A504F">
        <w:rPr>
          <w:rFonts w:cs="Arial"/>
          <w:sz w:val="24"/>
          <w:szCs w:val="24"/>
        </w:rPr>
        <w:t xml:space="preserve">, que, de acordo com os parâmetros fixados no </w:t>
      </w:r>
      <w:r>
        <w:rPr>
          <w:rFonts w:cs="Arial"/>
          <w:sz w:val="24"/>
          <w:szCs w:val="24"/>
        </w:rPr>
        <w:t xml:space="preserve">Memorando </w:t>
      </w:r>
      <w:r w:rsidRPr="00EC01B4">
        <w:rPr>
          <w:sz w:val="24"/>
          <w:szCs w:val="24"/>
        </w:rPr>
        <w:t>nº. 01/2015/SCI</w:t>
      </w:r>
      <w:r w:rsidR="000A504F">
        <w:rPr>
          <w:rFonts w:cs="Arial"/>
          <w:sz w:val="24"/>
          <w:szCs w:val="24"/>
        </w:rPr>
        <w:t xml:space="preserve">, seria obrigatoriamente fiscalizado pela SEAGES. Ocorre, entretanto, que a descrição da forma de execução do serviço em comento (itens </w:t>
      </w:r>
      <w:proofErr w:type="gramStart"/>
      <w:r w:rsidR="000A504F">
        <w:rPr>
          <w:rFonts w:cs="Arial"/>
          <w:sz w:val="24"/>
          <w:szCs w:val="24"/>
        </w:rPr>
        <w:t>5</w:t>
      </w:r>
      <w:proofErr w:type="gramEnd"/>
      <w:r w:rsidR="000A504F">
        <w:rPr>
          <w:rFonts w:cs="Arial"/>
          <w:sz w:val="24"/>
          <w:szCs w:val="24"/>
        </w:rPr>
        <w:t xml:space="preserve"> e 6 do termo de referência) demonstra a ausência de postos de trabalho</w:t>
      </w:r>
      <w:r w:rsidR="0037705A">
        <w:rPr>
          <w:rFonts w:cs="Arial"/>
          <w:sz w:val="24"/>
          <w:szCs w:val="24"/>
        </w:rPr>
        <w:t xml:space="preserve"> alocados</w:t>
      </w:r>
      <w:r w:rsidR="000A504F">
        <w:rPr>
          <w:rFonts w:cs="Arial"/>
          <w:sz w:val="24"/>
          <w:szCs w:val="24"/>
        </w:rPr>
        <w:t xml:space="preserve"> nas dependências des</w:t>
      </w:r>
      <w:r w:rsidR="0037705A">
        <w:rPr>
          <w:rFonts w:cs="Arial"/>
          <w:sz w:val="24"/>
          <w:szCs w:val="24"/>
        </w:rPr>
        <w:t xml:space="preserve">te Tribunal. Portanto, os oito processos concernentes ao bimestre </w:t>
      </w:r>
      <w:r>
        <w:rPr>
          <w:rFonts w:cs="Arial"/>
          <w:sz w:val="24"/>
          <w:szCs w:val="24"/>
        </w:rPr>
        <w:t xml:space="preserve">de referência </w:t>
      </w:r>
      <w:r w:rsidR="0037705A">
        <w:rPr>
          <w:rFonts w:cs="Arial"/>
          <w:sz w:val="24"/>
          <w:szCs w:val="24"/>
        </w:rPr>
        <w:t xml:space="preserve">possuem idêntico status, incluindo-se na hipótese delimitada na alínea “c” do sobredito memorando.  </w:t>
      </w:r>
    </w:p>
    <w:p w:rsidR="00EC01B4" w:rsidRPr="00EC01B4" w:rsidRDefault="00EC01B4" w:rsidP="0037705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Pr="00EC01B4">
        <w:rPr>
          <w:sz w:val="24"/>
          <w:szCs w:val="24"/>
        </w:rPr>
        <w:t xml:space="preserve">m face do movimento paredista e visando reduzir seu impacto na consecução das demais fiscalizações programadas para este exercício, selecionou-se amostra em percentual inferior ao estabelecido no Memorando nº. 01/2015/SCI, </w:t>
      </w:r>
      <w:r w:rsidR="0037705A">
        <w:rPr>
          <w:sz w:val="24"/>
          <w:szCs w:val="24"/>
        </w:rPr>
        <w:t xml:space="preserve">utilizando-se o critério da materialidade, </w:t>
      </w:r>
      <w:r w:rsidRPr="00EC01B4">
        <w:rPr>
          <w:sz w:val="24"/>
          <w:szCs w:val="24"/>
        </w:rPr>
        <w:t>conforme relação abaixo:</w:t>
      </w:r>
    </w:p>
    <w:p w:rsidR="00EC01B4" w:rsidRPr="00EC01B4" w:rsidRDefault="00EC01B4" w:rsidP="00EC01B4">
      <w:pPr>
        <w:tabs>
          <w:tab w:val="num" w:pos="0"/>
        </w:tabs>
        <w:spacing w:after="0"/>
        <w:jc w:val="both"/>
        <w:rPr>
          <w:sz w:val="24"/>
          <w:szCs w:val="24"/>
        </w:rPr>
      </w:pPr>
      <w:r w:rsidRPr="00EC01B4">
        <w:rPr>
          <w:sz w:val="24"/>
          <w:szCs w:val="24"/>
        </w:rPr>
        <w:t xml:space="preserve"> </w:t>
      </w:r>
      <w:r w:rsidRPr="00EC01B4">
        <w:rPr>
          <w:sz w:val="24"/>
          <w:szCs w:val="24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2349"/>
        <w:gridCol w:w="1985"/>
        <w:gridCol w:w="1559"/>
        <w:gridCol w:w="1843"/>
      </w:tblGrid>
      <w:tr w:rsidR="00EC01B4" w:rsidRPr="00EC01B4" w:rsidTr="00356F2B">
        <w:tc>
          <w:tcPr>
            <w:tcW w:w="1620" w:type="dxa"/>
            <w:shd w:val="clear" w:color="auto" w:fill="auto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Protocolo</w:t>
            </w:r>
          </w:p>
        </w:tc>
        <w:tc>
          <w:tcPr>
            <w:tcW w:w="2349" w:type="dxa"/>
            <w:shd w:val="clear" w:color="auto" w:fill="auto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Objeto</w:t>
            </w:r>
          </w:p>
        </w:tc>
        <w:tc>
          <w:tcPr>
            <w:tcW w:w="1985" w:type="dxa"/>
            <w:shd w:val="clear" w:color="auto" w:fill="auto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Tipo</w:t>
            </w:r>
          </w:p>
        </w:tc>
        <w:tc>
          <w:tcPr>
            <w:tcW w:w="1559" w:type="dxa"/>
            <w:shd w:val="clear" w:color="auto" w:fill="auto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Localização</w:t>
            </w:r>
          </w:p>
        </w:tc>
        <w:tc>
          <w:tcPr>
            <w:tcW w:w="1843" w:type="dxa"/>
            <w:shd w:val="clear" w:color="auto" w:fill="auto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Valor</w:t>
            </w:r>
          </w:p>
        </w:tc>
      </w:tr>
      <w:tr w:rsidR="00EC01B4" w:rsidRPr="00EC01B4" w:rsidTr="00356F2B">
        <w:tc>
          <w:tcPr>
            <w:tcW w:w="1620" w:type="dxa"/>
            <w:shd w:val="clear" w:color="auto" w:fill="auto"/>
            <w:vAlign w:val="center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EC01B4">
              <w:rPr>
                <w:rFonts w:eastAsia="Calibri"/>
                <w:color w:val="000000"/>
                <w:sz w:val="24"/>
                <w:szCs w:val="24"/>
              </w:rPr>
              <w:t>PAD 342/2015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EC01B4" w:rsidRPr="00EC01B4" w:rsidRDefault="00EC01B4" w:rsidP="00356F2B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Serviços de Telefonia Móvel Pessoal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 xml:space="preserve">Pregão eletrônico nº. 13/2015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SEAAC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Deserto</w:t>
            </w:r>
          </w:p>
          <w:p w:rsidR="0037705A" w:rsidRPr="00EC01B4" w:rsidRDefault="0037705A" w:rsidP="0037705A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(média anual estimada: R$ 334.404,60)</w:t>
            </w:r>
          </w:p>
        </w:tc>
      </w:tr>
      <w:tr w:rsidR="00EC01B4" w:rsidRPr="00EC01B4" w:rsidTr="00356F2B">
        <w:tc>
          <w:tcPr>
            <w:tcW w:w="1620" w:type="dxa"/>
            <w:shd w:val="clear" w:color="auto" w:fill="auto"/>
            <w:vAlign w:val="center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EC01B4">
              <w:rPr>
                <w:rFonts w:eastAsia="Calibri"/>
                <w:color w:val="000000"/>
                <w:sz w:val="24"/>
                <w:szCs w:val="24"/>
              </w:rPr>
              <w:t>PAD 423/2015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EC01B4" w:rsidRPr="00EC01B4" w:rsidRDefault="00EC01B4" w:rsidP="00356F2B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Aquisição de materiais elétricos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Pregão eletrônico nº. 11/2015 (SRP)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SECONT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683.941,90</w:t>
            </w:r>
          </w:p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(global da ata)</w:t>
            </w:r>
          </w:p>
        </w:tc>
      </w:tr>
      <w:tr w:rsidR="00EC01B4" w:rsidRPr="00EC01B4" w:rsidTr="00356F2B">
        <w:tc>
          <w:tcPr>
            <w:tcW w:w="1620" w:type="dxa"/>
            <w:shd w:val="clear" w:color="auto" w:fill="auto"/>
            <w:vAlign w:val="center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EC01B4">
              <w:rPr>
                <w:rFonts w:eastAsia="Calibri"/>
                <w:color w:val="000000"/>
                <w:sz w:val="24"/>
                <w:szCs w:val="24"/>
              </w:rPr>
              <w:t>PAD 697/2015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EC01B4" w:rsidRPr="00EC01B4" w:rsidRDefault="00EC01B4" w:rsidP="00356F2B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Aquisição de mobiliário geral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Pregão eletrônico nº. 14/2015 (SRP)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SECONT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202.042,95</w:t>
            </w:r>
          </w:p>
          <w:p w:rsidR="00EC01B4" w:rsidRPr="00EC01B4" w:rsidRDefault="00EC01B4" w:rsidP="00EC01B4">
            <w:pPr>
              <w:tabs>
                <w:tab w:val="num" w:pos="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EC01B4">
              <w:rPr>
                <w:rFonts w:eastAsia="Calibri"/>
                <w:sz w:val="24"/>
                <w:szCs w:val="24"/>
              </w:rPr>
              <w:t>(global da ata)</w:t>
            </w:r>
          </w:p>
        </w:tc>
      </w:tr>
    </w:tbl>
    <w:p w:rsidR="0037705A" w:rsidRDefault="0037705A" w:rsidP="00E33C1E">
      <w:pPr>
        <w:ind w:firstLine="851"/>
        <w:jc w:val="both"/>
        <w:rPr>
          <w:rFonts w:cs="Arial"/>
          <w:sz w:val="24"/>
          <w:szCs w:val="24"/>
        </w:rPr>
      </w:pPr>
    </w:p>
    <w:p w:rsidR="00B678CA" w:rsidRPr="00B678CA" w:rsidRDefault="00B678CA" w:rsidP="00E33C1E">
      <w:pPr>
        <w:ind w:firstLine="851"/>
        <w:jc w:val="both"/>
        <w:rPr>
          <w:bCs/>
          <w:sz w:val="24"/>
          <w:szCs w:val="24"/>
        </w:rPr>
      </w:pPr>
      <w:r w:rsidRPr="00B678CA">
        <w:rPr>
          <w:rFonts w:cs="Arial"/>
          <w:sz w:val="24"/>
          <w:szCs w:val="24"/>
        </w:rPr>
        <w:t xml:space="preserve">Entre as questões de auditoria levantadas durante a fase de planejamento, buscou-se verificar se os procedimentos licitatórios </w:t>
      </w:r>
      <w:r w:rsidRPr="00B678CA">
        <w:rPr>
          <w:bCs/>
          <w:sz w:val="24"/>
          <w:szCs w:val="24"/>
        </w:rPr>
        <w:t xml:space="preserve">foram efetuados conforme permissivos da Lei nº 8.666/1993, especialmente no que </w:t>
      </w:r>
      <w:proofErr w:type="spellStart"/>
      <w:r w:rsidRPr="00B678CA">
        <w:rPr>
          <w:bCs/>
          <w:sz w:val="24"/>
          <w:szCs w:val="24"/>
        </w:rPr>
        <w:t>pertine</w:t>
      </w:r>
      <w:proofErr w:type="spellEnd"/>
      <w:r w:rsidRPr="00B678CA">
        <w:rPr>
          <w:bCs/>
          <w:sz w:val="24"/>
          <w:szCs w:val="24"/>
        </w:rPr>
        <w:t xml:space="preserve"> à correta e suficiente especificação do objeto/serviço no termo de referência, justificativa para a contratação, avaliação da pesquisa de preços efetuada, prévio exame e aprovação das minutas de edital de licitação e dos contratos, pela Assessoria Jurídica, verificação da existência de prévia disponibilidade orçamentária pelo Tribunal, além da autorização para a instauração do processo pela autoridade competente.</w:t>
      </w:r>
    </w:p>
    <w:p w:rsidR="00B678CA" w:rsidRPr="00B678CA" w:rsidRDefault="00B678CA" w:rsidP="00E33C1E">
      <w:pPr>
        <w:ind w:firstLine="851"/>
        <w:jc w:val="both"/>
        <w:rPr>
          <w:sz w:val="24"/>
          <w:szCs w:val="24"/>
        </w:rPr>
      </w:pPr>
      <w:r w:rsidRPr="00B678CA">
        <w:rPr>
          <w:bCs/>
          <w:sz w:val="24"/>
          <w:szCs w:val="24"/>
        </w:rPr>
        <w:t>Durante os trabalhos de fiscalização foram aplicados o</w:t>
      </w:r>
      <w:r>
        <w:rPr>
          <w:bCs/>
          <w:sz w:val="24"/>
          <w:szCs w:val="24"/>
        </w:rPr>
        <w:t xml:space="preserve">s papéis de trabalho </w:t>
      </w:r>
      <w:r w:rsidRPr="00B678CA">
        <w:rPr>
          <w:bCs/>
          <w:sz w:val="24"/>
          <w:szCs w:val="24"/>
        </w:rPr>
        <w:t>“</w:t>
      </w:r>
      <w:r>
        <w:rPr>
          <w:bCs/>
          <w:sz w:val="24"/>
          <w:szCs w:val="24"/>
        </w:rPr>
        <w:t>Integridade do Processo</w:t>
      </w:r>
      <w:r w:rsidRPr="00B678CA">
        <w:rPr>
          <w:bCs/>
          <w:sz w:val="24"/>
          <w:szCs w:val="24"/>
        </w:rPr>
        <w:t>”</w:t>
      </w:r>
      <w:r w:rsidRPr="00B678CA">
        <w:rPr>
          <w:sz w:val="24"/>
          <w:szCs w:val="24"/>
        </w:rPr>
        <w:t xml:space="preserve"> (contendo 44 quesitos) e “Integridade</w:t>
      </w:r>
      <w:r>
        <w:rPr>
          <w:sz w:val="24"/>
          <w:szCs w:val="24"/>
        </w:rPr>
        <w:t xml:space="preserve"> da Documentação” (com 26 itens) </w:t>
      </w:r>
      <w:r w:rsidRPr="00B678CA">
        <w:rPr>
          <w:sz w:val="24"/>
          <w:szCs w:val="24"/>
        </w:rPr>
        <w:t xml:space="preserve">a todos </w:t>
      </w:r>
      <w:r w:rsidRPr="00B678CA">
        <w:rPr>
          <w:bCs/>
          <w:sz w:val="24"/>
          <w:szCs w:val="24"/>
        </w:rPr>
        <w:t>os expedientes analisados, confrontando-se os fatos com os normativos aplicáveis à matéria.</w:t>
      </w:r>
    </w:p>
    <w:p w:rsidR="007C515F" w:rsidRDefault="00B678CA" w:rsidP="00E33C1E">
      <w:pPr>
        <w:ind w:firstLine="851"/>
        <w:jc w:val="both"/>
        <w:rPr>
          <w:sz w:val="24"/>
          <w:szCs w:val="24"/>
        </w:rPr>
      </w:pPr>
      <w:r w:rsidRPr="00B678CA">
        <w:rPr>
          <w:sz w:val="24"/>
          <w:szCs w:val="24"/>
        </w:rPr>
        <w:lastRenderedPageBreak/>
        <w:t xml:space="preserve">Os benefícios esperados, provenientes dos trabalhos realizados são: a) o conhecimento do estado de gestão operacional desses processos e dos controles internos existentes, com o reconhecimento, quando devido, das boas práticas já operacionalizadas; b) a </w:t>
      </w:r>
      <w:proofErr w:type="gramStart"/>
      <w:r w:rsidRPr="00B678CA">
        <w:rPr>
          <w:sz w:val="24"/>
          <w:szCs w:val="24"/>
        </w:rPr>
        <w:t>implementação</w:t>
      </w:r>
      <w:proofErr w:type="gramEnd"/>
      <w:r w:rsidR="00E34184">
        <w:rPr>
          <w:sz w:val="24"/>
          <w:szCs w:val="24"/>
        </w:rPr>
        <w:t xml:space="preserve"> </w:t>
      </w:r>
      <w:r w:rsidRPr="00B678CA">
        <w:rPr>
          <w:sz w:val="24"/>
          <w:szCs w:val="24"/>
        </w:rPr>
        <w:t>de melhorias nos processos de licitações e, consequentemente, c) o aperfeiçoamento contínuo da gestão operac</w:t>
      </w:r>
      <w:r w:rsidR="00E34184">
        <w:rPr>
          <w:sz w:val="24"/>
          <w:szCs w:val="24"/>
        </w:rPr>
        <w:t>ional do Tribunal nesta matéria</w:t>
      </w:r>
      <w:r w:rsidR="006B1BBC">
        <w:rPr>
          <w:sz w:val="24"/>
          <w:szCs w:val="24"/>
        </w:rPr>
        <w:t>.</w:t>
      </w:r>
    </w:p>
    <w:p w:rsidR="006B1BBC" w:rsidRDefault="006B1BBC" w:rsidP="006B1BBC">
      <w:pPr>
        <w:ind w:firstLine="900"/>
        <w:jc w:val="both"/>
        <w:rPr>
          <w:b/>
          <w:sz w:val="24"/>
          <w:szCs w:val="24"/>
        </w:rPr>
      </w:pPr>
    </w:p>
    <w:p w:rsidR="00D91A32" w:rsidRDefault="00C812B4" w:rsidP="00EE444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</w:t>
      </w:r>
      <w:r w:rsidR="009C1E05" w:rsidRPr="00CB13FF">
        <w:rPr>
          <w:b/>
          <w:sz w:val="24"/>
          <w:szCs w:val="24"/>
        </w:rPr>
        <w:t xml:space="preserve">. </w:t>
      </w:r>
      <w:r w:rsidR="003A1453" w:rsidRPr="00CB13FF">
        <w:rPr>
          <w:b/>
          <w:sz w:val="24"/>
          <w:szCs w:val="24"/>
        </w:rPr>
        <w:t>ACHADOS DE AUDITORIA</w:t>
      </w:r>
    </w:p>
    <w:p w:rsidR="00604FE6" w:rsidRPr="00CB13FF" w:rsidRDefault="00604FE6" w:rsidP="00EE4440">
      <w:pPr>
        <w:jc w:val="both"/>
        <w:rPr>
          <w:b/>
          <w:sz w:val="24"/>
          <w:szCs w:val="24"/>
        </w:rPr>
      </w:pPr>
    </w:p>
    <w:p w:rsidR="004879D1" w:rsidRDefault="007F3A29" w:rsidP="00850E73">
      <w:pPr>
        <w:tabs>
          <w:tab w:val="left" w:pos="851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Da análise dos processos selecionados, a</w:t>
      </w:r>
      <w:r w:rsidR="00D91A32" w:rsidRPr="00CB13FF">
        <w:rPr>
          <w:sz w:val="24"/>
          <w:szCs w:val="24"/>
        </w:rPr>
        <w:t>pós confronto e cotejamento com os critérios e legislação</w:t>
      </w:r>
      <w:r w:rsidR="004A41E2" w:rsidRPr="00CB13FF">
        <w:rPr>
          <w:sz w:val="24"/>
          <w:szCs w:val="24"/>
        </w:rPr>
        <w:t xml:space="preserve"> </w:t>
      </w:r>
      <w:r w:rsidR="00D91A32" w:rsidRPr="00CB13FF">
        <w:rPr>
          <w:sz w:val="24"/>
          <w:szCs w:val="24"/>
        </w:rPr>
        <w:t>aplic</w:t>
      </w:r>
      <w:r w:rsidR="00BB4D17" w:rsidRPr="00CB13FF">
        <w:rPr>
          <w:sz w:val="24"/>
          <w:szCs w:val="24"/>
        </w:rPr>
        <w:t>áveis</w:t>
      </w:r>
      <w:r w:rsidR="00D91A32" w:rsidRPr="00CB13FF">
        <w:rPr>
          <w:sz w:val="24"/>
          <w:szCs w:val="24"/>
        </w:rPr>
        <w:t xml:space="preserve"> e vinculação às respectivas questões de auditoria</w:t>
      </w:r>
      <w:r>
        <w:rPr>
          <w:sz w:val="24"/>
          <w:szCs w:val="24"/>
        </w:rPr>
        <w:t>, não</w:t>
      </w:r>
      <w:r w:rsidR="00850E73">
        <w:rPr>
          <w:sz w:val="24"/>
          <w:szCs w:val="24"/>
        </w:rPr>
        <w:t xml:space="preserve"> foram</w:t>
      </w:r>
      <w:r>
        <w:rPr>
          <w:sz w:val="24"/>
          <w:szCs w:val="24"/>
        </w:rPr>
        <w:t xml:space="preserve"> identifica</w:t>
      </w:r>
      <w:r w:rsidR="00850E73">
        <w:rPr>
          <w:sz w:val="24"/>
          <w:szCs w:val="24"/>
        </w:rPr>
        <w:t>dos</w:t>
      </w:r>
      <w:r>
        <w:rPr>
          <w:sz w:val="24"/>
          <w:szCs w:val="24"/>
        </w:rPr>
        <w:t xml:space="preserve"> achados, apenas algumas situações merecedoras de destaque e atenção, as quais serã</w:t>
      </w:r>
      <w:r w:rsidR="00FA6C3C">
        <w:rPr>
          <w:sz w:val="24"/>
          <w:szCs w:val="24"/>
        </w:rPr>
        <w:t xml:space="preserve">o pontuadas </w:t>
      </w:r>
      <w:r>
        <w:rPr>
          <w:sz w:val="24"/>
          <w:szCs w:val="24"/>
        </w:rPr>
        <w:t>na conclusão deste relatório.</w:t>
      </w:r>
    </w:p>
    <w:p w:rsidR="00604FE6" w:rsidRPr="00FC6E8D" w:rsidRDefault="00604FE6" w:rsidP="00EE4440">
      <w:pPr>
        <w:jc w:val="both"/>
        <w:rPr>
          <w:b/>
          <w:iCs/>
          <w:color w:val="FF0000"/>
          <w:sz w:val="24"/>
          <w:szCs w:val="24"/>
        </w:rPr>
      </w:pPr>
    </w:p>
    <w:p w:rsidR="00972EB9" w:rsidRPr="00E8579C" w:rsidRDefault="00B81979" w:rsidP="00EE4440">
      <w:pPr>
        <w:jc w:val="both"/>
        <w:rPr>
          <w:b/>
          <w:sz w:val="24"/>
          <w:szCs w:val="24"/>
        </w:rPr>
      </w:pPr>
      <w:r w:rsidRPr="00E8579C">
        <w:rPr>
          <w:b/>
          <w:sz w:val="24"/>
          <w:szCs w:val="24"/>
        </w:rPr>
        <w:t>III</w:t>
      </w:r>
      <w:r w:rsidR="009C1E05" w:rsidRPr="00E8579C">
        <w:rPr>
          <w:b/>
          <w:sz w:val="24"/>
          <w:szCs w:val="24"/>
        </w:rPr>
        <w:t xml:space="preserve">. </w:t>
      </w:r>
      <w:r w:rsidR="003A1453" w:rsidRPr="00E8579C">
        <w:rPr>
          <w:b/>
          <w:sz w:val="24"/>
          <w:szCs w:val="24"/>
        </w:rPr>
        <w:t>CONCLUSÃO</w:t>
      </w:r>
    </w:p>
    <w:p w:rsidR="00604FE6" w:rsidRPr="00E8579C" w:rsidRDefault="00604FE6" w:rsidP="00EE4440">
      <w:pPr>
        <w:jc w:val="both"/>
        <w:rPr>
          <w:b/>
          <w:sz w:val="24"/>
          <w:szCs w:val="24"/>
        </w:rPr>
      </w:pPr>
    </w:p>
    <w:p w:rsidR="00856506" w:rsidRDefault="00B92D48" w:rsidP="00E33C1E">
      <w:pPr>
        <w:ind w:firstLine="851"/>
        <w:jc w:val="both"/>
        <w:rPr>
          <w:sz w:val="24"/>
          <w:szCs w:val="24"/>
        </w:rPr>
      </w:pPr>
      <w:r w:rsidRPr="00E8579C">
        <w:rPr>
          <w:sz w:val="24"/>
          <w:szCs w:val="24"/>
        </w:rPr>
        <w:t>Finalizados os trabalhos de fiscal</w:t>
      </w:r>
      <w:r w:rsidR="00B549BA" w:rsidRPr="00E8579C">
        <w:rPr>
          <w:sz w:val="24"/>
          <w:szCs w:val="24"/>
        </w:rPr>
        <w:t>ização do</w:t>
      </w:r>
      <w:r w:rsidR="00DE4CAD" w:rsidRPr="00E8579C">
        <w:rPr>
          <w:sz w:val="24"/>
          <w:szCs w:val="24"/>
        </w:rPr>
        <w:t>s</w:t>
      </w:r>
      <w:r w:rsidR="00B549BA" w:rsidRPr="00E8579C">
        <w:rPr>
          <w:sz w:val="24"/>
          <w:szCs w:val="24"/>
        </w:rPr>
        <w:t xml:space="preserve"> processo</w:t>
      </w:r>
      <w:r w:rsidR="00DE4CAD" w:rsidRPr="00E8579C">
        <w:rPr>
          <w:sz w:val="24"/>
          <w:szCs w:val="24"/>
        </w:rPr>
        <w:t>s</w:t>
      </w:r>
      <w:r w:rsidR="00B549BA" w:rsidRPr="00E8579C">
        <w:rPr>
          <w:sz w:val="24"/>
          <w:szCs w:val="24"/>
        </w:rPr>
        <w:t xml:space="preserve"> </w:t>
      </w:r>
      <w:r w:rsidR="00CA23C2" w:rsidRPr="00E8579C">
        <w:rPr>
          <w:sz w:val="24"/>
          <w:szCs w:val="24"/>
        </w:rPr>
        <w:t>licitatórios</w:t>
      </w:r>
      <w:r w:rsidR="002C0EC7" w:rsidRPr="002C0EC7">
        <w:rPr>
          <w:color w:val="0000FF"/>
        </w:rPr>
        <w:t xml:space="preserve"> </w:t>
      </w:r>
      <w:r w:rsidR="002C0EC7" w:rsidRPr="002C0EC7">
        <w:rPr>
          <w:sz w:val="24"/>
          <w:szCs w:val="24"/>
        </w:rPr>
        <w:t xml:space="preserve">concluídos no </w:t>
      </w:r>
      <w:r w:rsidR="00356F2B">
        <w:rPr>
          <w:sz w:val="24"/>
          <w:szCs w:val="24"/>
        </w:rPr>
        <w:t>terceiro</w:t>
      </w:r>
      <w:r w:rsidR="002C0EC7" w:rsidRPr="002C0EC7">
        <w:rPr>
          <w:sz w:val="24"/>
          <w:szCs w:val="24"/>
        </w:rPr>
        <w:t xml:space="preserve"> bimestre </w:t>
      </w:r>
      <w:r w:rsidR="00E34184">
        <w:rPr>
          <w:sz w:val="24"/>
          <w:szCs w:val="24"/>
        </w:rPr>
        <w:t xml:space="preserve">de </w:t>
      </w:r>
      <w:r w:rsidR="002C0EC7" w:rsidRPr="002C0EC7">
        <w:rPr>
          <w:sz w:val="24"/>
          <w:szCs w:val="24"/>
        </w:rPr>
        <w:t>2015</w:t>
      </w:r>
      <w:r w:rsidRPr="002C0EC7">
        <w:rPr>
          <w:sz w:val="24"/>
          <w:szCs w:val="24"/>
        </w:rPr>
        <w:t xml:space="preserve">, restaram respondidas as questões de auditoria </w:t>
      </w:r>
      <w:r w:rsidR="006A7108" w:rsidRPr="002C0EC7">
        <w:rPr>
          <w:sz w:val="24"/>
          <w:szCs w:val="24"/>
        </w:rPr>
        <w:t>propostas</w:t>
      </w:r>
      <w:r w:rsidRPr="002C0EC7">
        <w:rPr>
          <w:sz w:val="24"/>
          <w:szCs w:val="24"/>
        </w:rPr>
        <w:t xml:space="preserve">. </w:t>
      </w:r>
      <w:r w:rsidR="007F3A29">
        <w:rPr>
          <w:sz w:val="24"/>
          <w:szCs w:val="24"/>
        </w:rPr>
        <w:t>Não foram encontradas insubsistências, t</w:t>
      </w:r>
      <w:r w:rsidR="007A24A8" w:rsidRPr="002C0EC7">
        <w:rPr>
          <w:sz w:val="24"/>
          <w:szCs w:val="24"/>
        </w:rPr>
        <w:t>endo em vista os instrumentos nor</w:t>
      </w:r>
      <w:r w:rsidR="007A24A8" w:rsidRPr="00E8579C">
        <w:rPr>
          <w:sz w:val="24"/>
          <w:szCs w:val="24"/>
        </w:rPr>
        <w:t>mativos utilizados como parâmetros para a fiscalização e que são de obse</w:t>
      </w:r>
      <w:r w:rsidR="00DE4CAD" w:rsidRPr="00E8579C">
        <w:rPr>
          <w:sz w:val="24"/>
          <w:szCs w:val="24"/>
        </w:rPr>
        <w:t xml:space="preserve">rvância obrigatória </w:t>
      </w:r>
      <w:r w:rsidR="008419F8" w:rsidRPr="00E8579C">
        <w:rPr>
          <w:sz w:val="24"/>
          <w:szCs w:val="24"/>
        </w:rPr>
        <w:t>nos procedimentos licitatórios</w:t>
      </w:r>
      <w:r w:rsidR="00DE4CAD" w:rsidRPr="00E8579C">
        <w:rPr>
          <w:sz w:val="24"/>
          <w:szCs w:val="24"/>
        </w:rPr>
        <w:t>.</w:t>
      </w:r>
      <w:r w:rsidR="00D65709" w:rsidRPr="00E8579C">
        <w:rPr>
          <w:sz w:val="24"/>
          <w:szCs w:val="24"/>
        </w:rPr>
        <w:t xml:space="preserve"> </w:t>
      </w:r>
    </w:p>
    <w:p w:rsidR="009B5A6A" w:rsidRDefault="009B5A6A" w:rsidP="00E33C1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Entretanto, convém pontuar alguns aspectos relevantes observados nos processos fiscalizados.</w:t>
      </w:r>
    </w:p>
    <w:p w:rsidR="007A4C4F" w:rsidRPr="007A4C4F" w:rsidRDefault="007A4C4F" w:rsidP="007A4C4F">
      <w:pPr>
        <w:jc w:val="both"/>
        <w:rPr>
          <w:b/>
          <w:sz w:val="24"/>
          <w:szCs w:val="24"/>
        </w:rPr>
      </w:pPr>
      <w:proofErr w:type="gramStart"/>
      <w:r w:rsidRPr="007A4C4F">
        <w:rPr>
          <w:b/>
          <w:sz w:val="24"/>
          <w:szCs w:val="24"/>
        </w:rPr>
        <w:t>III.</w:t>
      </w:r>
      <w:proofErr w:type="gramEnd"/>
      <w:r w:rsidRPr="007A4C4F">
        <w:rPr>
          <w:b/>
          <w:sz w:val="24"/>
          <w:szCs w:val="24"/>
        </w:rPr>
        <w:t xml:space="preserve">1. PAD 342/2015 – Pregão 13/2015 – Serviços de Telefonia Móvel </w:t>
      </w:r>
    </w:p>
    <w:p w:rsidR="009B5A6A" w:rsidRDefault="009B5A6A" w:rsidP="007A4C4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 relação ao PAD 342/2015, concernente ao Pregão nº. 13/2015, que teve por objeto serviços de telefonia móvel, </w:t>
      </w:r>
      <w:proofErr w:type="spellStart"/>
      <w:r>
        <w:rPr>
          <w:sz w:val="24"/>
          <w:szCs w:val="24"/>
        </w:rPr>
        <w:t>pertine</w:t>
      </w:r>
      <w:proofErr w:type="spellEnd"/>
      <w:r>
        <w:rPr>
          <w:sz w:val="24"/>
          <w:szCs w:val="24"/>
        </w:rPr>
        <w:t xml:space="preserve"> registrar a dissonância desta SEAGES </w:t>
      </w:r>
      <w:r w:rsidR="00EC162D">
        <w:rPr>
          <w:sz w:val="24"/>
          <w:szCs w:val="24"/>
        </w:rPr>
        <w:t>quanto</w:t>
      </w:r>
      <w:r>
        <w:rPr>
          <w:sz w:val="24"/>
          <w:szCs w:val="24"/>
        </w:rPr>
        <w:t xml:space="preserve"> </w:t>
      </w:r>
      <w:r w:rsidR="00EC162D">
        <w:rPr>
          <w:sz w:val="24"/>
          <w:szCs w:val="24"/>
        </w:rPr>
        <w:t>a</w:t>
      </w:r>
      <w:r>
        <w:rPr>
          <w:sz w:val="24"/>
          <w:szCs w:val="24"/>
        </w:rPr>
        <w:t>o entendimento esposado pela Assessoria Jurídica de Licitações e Contratos (ASJUR1</w:t>
      </w:r>
      <w:r w:rsidR="005302BF">
        <w:rPr>
          <w:sz w:val="24"/>
          <w:szCs w:val="24"/>
        </w:rPr>
        <w:t>, Doc. 29654/2015</w:t>
      </w:r>
      <w:r>
        <w:rPr>
          <w:sz w:val="24"/>
          <w:szCs w:val="24"/>
        </w:rPr>
        <w:t xml:space="preserve">) no que tange à disposição constante do tópico 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do Termo de Referência</w:t>
      </w:r>
      <w:r w:rsidR="00EC162D">
        <w:rPr>
          <w:sz w:val="24"/>
          <w:szCs w:val="24"/>
        </w:rPr>
        <w:t xml:space="preserve"> que impõe à Contratada a obrigação de indicar três aparelhos que atendam às especificações </w:t>
      </w:r>
      <w:r w:rsidR="00981C7C">
        <w:rPr>
          <w:sz w:val="24"/>
          <w:szCs w:val="24"/>
        </w:rPr>
        <w:t xml:space="preserve">do edital, </w:t>
      </w:r>
      <w:r w:rsidR="00EC162D">
        <w:rPr>
          <w:sz w:val="24"/>
          <w:szCs w:val="24"/>
        </w:rPr>
        <w:t>confer</w:t>
      </w:r>
      <w:r w:rsidR="00981C7C">
        <w:rPr>
          <w:sz w:val="24"/>
          <w:szCs w:val="24"/>
        </w:rPr>
        <w:t>indo</w:t>
      </w:r>
      <w:r w:rsidR="00EC162D">
        <w:rPr>
          <w:sz w:val="24"/>
          <w:szCs w:val="24"/>
        </w:rPr>
        <w:t xml:space="preserve"> à Administração o direito de escolha</w:t>
      </w:r>
      <w:r w:rsidR="00981C7C">
        <w:rPr>
          <w:sz w:val="24"/>
          <w:szCs w:val="24"/>
        </w:rPr>
        <w:t xml:space="preserve">. </w:t>
      </w:r>
      <w:r w:rsidR="00FB00FD">
        <w:rPr>
          <w:sz w:val="24"/>
          <w:szCs w:val="24"/>
        </w:rPr>
        <w:t xml:space="preserve">Entre outras disposições, esta </w:t>
      </w:r>
      <w:r w:rsidR="00981C7C">
        <w:rPr>
          <w:sz w:val="24"/>
          <w:szCs w:val="24"/>
        </w:rPr>
        <w:t xml:space="preserve">regra foi impugnada pelas operadoras </w:t>
      </w:r>
      <w:r w:rsidR="007466F6">
        <w:rPr>
          <w:sz w:val="24"/>
          <w:szCs w:val="24"/>
        </w:rPr>
        <w:t>VIVO</w:t>
      </w:r>
      <w:r w:rsidR="00981C7C">
        <w:rPr>
          <w:sz w:val="24"/>
          <w:szCs w:val="24"/>
        </w:rPr>
        <w:t xml:space="preserve"> (Doc. 26889/2015) e </w:t>
      </w:r>
      <w:r w:rsidR="007466F6">
        <w:rPr>
          <w:sz w:val="24"/>
          <w:szCs w:val="24"/>
        </w:rPr>
        <w:t xml:space="preserve">CLARO </w:t>
      </w:r>
      <w:r w:rsidR="00981C7C">
        <w:rPr>
          <w:sz w:val="24"/>
          <w:szCs w:val="24"/>
        </w:rPr>
        <w:t xml:space="preserve">(Doc. 28468/2015), tendo sido o pleito </w:t>
      </w:r>
      <w:r w:rsidR="00A91BE3">
        <w:rPr>
          <w:sz w:val="24"/>
          <w:szCs w:val="24"/>
        </w:rPr>
        <w:t xml:space="preserve">indeferido. Corroboramos, no particular, com as argumentações colacionadas pelas empresas. De fato, ainda que </w:t>
      </w:r>
      <w:r w:rsidR="005302BF">
        <w:rPr>
          <w:sz w:val="24"/>
          <w:szCs w:val="24"/>
        </w:rPr>
        <w:t xml:space="preserve">posteriormente à realização do certame, não há justificativa técnica a embasar uma “preferência” da Administração por determinado aparelho, estando tal conduta vedada pelo art. 7º, § 5º, da Lei nº. 8.666/93. </w:t>
      </w:r>
      <w:r w:rsidR="00C04DA8">
        <w:rPr>
          <w:sz w:val="24"/>
          <w:szCs w:val="24"/>
        </w:rPr>
        <w:t xml:space="preserve">Acrescente-se, ainda, </w:t>
      </w:r>
      <w:r w:rsidR="007466F6">
        <w:rPr>
          <w:sz w:val="24"/>
          <w:szCs w:val="24"/>
        </w:rPr>
        <w:t>o quanto suscitado pela impugnante CLARO no sentido de que o encargo em questão inviabilizaria uma correta avalia</w:t>
      </w:r>
      <w:r w:rsidR="005B6205">
        <w:rPr>
          <w:sz w:val="24"/>
          <w:szCs w:val="24"/>
        </w:rPr>
        <w:t>ção de custos para formulação da</w:t>
      </w:r>
      <w:r w:rsidR="007466F6">
        <w:rPr>
          <w:sz w:val="24"/>
          <w:szCs w:val="24"/>
        </w:rPr>
        <w:t xml:space="preserve"> proposta.</w:t>
      </w:r>
    </w:p>
    <w:p w:rsidR="007466F6" w:rsidRDefault="007466F6" w:rsidP="00FB00FD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Ressalte-se que apesar de existirem no mercado, no mínimo, quatro empresas que prestam o serviço em comento, o certame foi declarado deserto, por não lhe terem acudido interessados. Assim, previamente à sua repetição, sugere-se que a área demandante investigue junto a</w:t>
      </w:r>
      <w:r w:rsidR="00F75D43">
        <w:rPr>
          <w:sz w:val="24"/>
          <w:szCs w:val="24"/>
        </w:rPr>
        <w:t>os</w:t>
      </w:r>
      <w:r>
        <w:rPr>
          <w:sz w:val="24"/>
          <w:szCs w:val="24"/>
        </w:rPr>
        <w:t xml:space="preserve"> fornecedores o motivo </w:t>
      </w:r>
      <w:r w:rsidR="00F75D43">
        <w:rPr>
          <w:sz w:val="24"/>
          <w:szCs w:val="24"/>
        </w:rPr>
        <w:t>da deserção</w:t>
      </w:r>
      <w:r w:rsidR="008F7469">
        <w:rPr>
          <w:sz w:val="24"/>
          <w:szCs w:val="24"/>
        </w:rPr>
        <w:t xml:space="preserve"> (podendo a hipótese acima explanada constituir uma das causas)</w:t>
      </w:r>
      <w:r w:rsidR="00F75D43">
        <w:rPr>
          <w:sz w:val="24"/>
          <w:szCs w:val="24"/>
        </w:rPr>
        <w:t>.</w:t>
      </w:r>
    </w:p>
    <w:p w:rsidR="007A4C4F" w:rsidRPr="007A4C4F" w:rsidRDefault="007A4C4F" w:rsidP="007A4C4F">
      <w:pPr>
        <w:spacing w:before="240"/>
        <w:jc w:val="both"/>
        <w:rPr>
          <w:b/>
          <w:sz w:val="24"/>
          <w:szCs w:val="24"/>
        </w:rPr>
      </w:pPr>
      <w:proofErr w:type="gramStart"/>
      <w:r w:rsidRPr="007A4C4F">
        <w:rPr>
          <w:b/>
          <w:sz w:val="24"/>
          <w:szCs w:val="24"/>
        </w:rPr>
        <w:lastRenderedPageBreak/>
        <w:t>III.</w:t>
      </w:r>
      <w:proofErr w:type="gramEnd"/>
      <w:r w:rsidRPr="007A4C4F">
        <w:rPr>
          <w:b/>
          <w:sz w:val="24"/>
          <w:szCs w:val="24"/>
        </w:rPr>
        <w:t>2. PAD 697/2015 – Pregão nº. 14/2015 – Registro de Preços para Eventual Aquisição de Mobiliário Geral</w:t>
      </w:r>
    </w:p>
    <w:p w:rsidR="007A4C4F" w:rsidRDefault="00E95124" w:rsidP="007A4C4F">
      <w:pPr>
        <w:spacing w:before="24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No que tange ao PAD 697/2015</w:t>
      </w:r>
      <w:r w:rsidR="007A4C4F">
        <w:rPr>
          <w:sz w:val="24"/>
          <w:szCs w:val="24"/>
        </w:rPr>
        <w:t>, os fatos abaixo relacionados chamaram a atenção desta Unidade, requerendo a adoção de providências por parte da Administração.</w:t>
      </w:r>
    </w:p>
    <w:p w:rsidR="00F75D43" w:rsidRDefault="007A4C4F" w:rsidP="007A4C4F">
      <w:pPr>
        <w:spacing w:before="24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872AB5">
        <w:rPr>
          <w:sz w:val="24"/>
          <w:szCs w:val="24"/>
        </w:rPr>
        <w:t xml:space="preserve">Através do Doc. </w:t>
      </w:r>
      <w:proofErr w:type="gramStart"/>
      <w:r w:rsidR="00872AB5">
        <w:rPr>
          <w:sz w:val="24"/>
          <w:szCs w:val="24"/>
        </w:rPr>
        <w:t>nº</w:t>
      </w:r>
      <w:proofErr w:type="gramEnd"/>
      <w:r w:rsidR="00872AB5">
        <w:rPr>
          <w:sz w:val="24"/>
          <w:szCs w:val="24"/>
        </w:rPr>
        <w:t xml:space="preserve">. 33601/2015, o Pregoeiro informou a existência de questionamentos ao item </w:t>
      </w:r>
      <w:proofErr w:type="gramStart"/>
      <w:r w:rsidR="00872AB5">
        <w:rPr>
          <w:sz w:val="24"/>
          <w:szCs w:val="24"/>
        </w:rPr>
        <w:t>7</w:t>
      </w:r>
      <w:proofErr w:type="gramEnd"/>
      <w:r w:rsidR="00872AB5">
        <w:rPr>
          <w:sz w:val="24"/>
          <w:szCs w:val="24"/>
        </w:rPr>
        <w:t xml:space="preserve"> (pedestal para a organização de fila), formulados pelas empresas </w:t>
      </w:r>
      <w:proofErr w:type="spellStart"/>
      <w:r w:rsidR="00872AB5">
        <w:rPr>
          <w:sz w:val="24"/>
          <w:szCs w:val="24"/>
        </w:rPr>
        <w:t>Belt</w:t>
      </w:r>
      <w:proofErr w:type="spellEnd"/>
      <w:r w:rsidR="00872AB5">
        <w:rPr>
          <w:sz w:val="24"/>
          <w:szCs w:val="24"/>
        </w:rPr>
        <w:t xml:space="preserve"> e </w:t>
      </w:r>
      <w:proofErr w:type="spellStart"/>
      <w:r w:rsidR="00872AB5">
        <w:rPr>
          <w:sz w:val="24"/>
          <w:szCs w:val="24"/>
        </w:rPr>
        <w:t>Fauzi</w:t>
      </w:r>
      <w:proofErr w:type="spellEnd"/>
      <w:r w:rsidR="00872AB5">
        <w:rPr>
          <w:sz w:val="24"/>
          <w:szCs w:val="24"/>
        </w:rPr>
        <w:t xml:space="preserve">, porém os documentos enviados pelas </w:t>
      </w:r>
      <w:r w:rsidR="00EE1379">
        <w:rPr>
          <w:sz w:val="24"/>
          <w:szCs w:val="24"/>
        </w:rPr>
        <w:t>impugnantes não foram anexados ao PAD. Considerando que as questões suscitadas foram respondidas, tendo o pleito das interessadas sido acolhido com a exclusão do item em comento, a omissão ora apontada não ocasionou prejuízo</w:t>
      </w:r>
      <w:r w:rsidR="00C910E4">
        <w:rPr>
          <w:sz w:val="24"/>
          <w:szCs w:val="24"/>
        </w:rPr>
        <w:t>, deixando assim de ser tratada como achado de auditoria</w:t>
      </w:r>
      <w:r w:rsidR="00EE1379">
        <w:rPr>
          <w:sz w:val="24"/>
          <w:szCs w:val="24"/>
        </w:rPr>
        <w:t xml:space="preserve">. </w:t>
      </w:r>
      <w:r w:rsidR="00C910E4">
        <w:rPr>
          <w:sz w:val="24"/>
          <w:szCs w:val="24"/>
        </w:rPr>
        <w:t>Contudo</w:t>
      </w:r>
      <w:r w:rsidR="00EE1379">
        <w:rPr>
          <w:sz w:val="24"/>
          <w:szCs w:val="24"/>
        </w:rPr>
        <w:t xml:space="preserve">, </w:t>
      </w:r>
      <w:r w:rsidR="00C910E4">
        <w:rPr>
          <w:sz w:val="24"/>
          <w:szCs w:val="24"/>
        </w:rPr>
        <w:t>objetivando dar cumprimento ao princípio da publicidade/transparência, s</w:t>
      </w:r>
      <w:r w:rsidR="00EE1379">
        <w:rPr>
          <w:sz w:val="24"/>
          <w:szCs w:val="24"/>
        </w:rPr>
        <w:t>ugere-se que os Pregoeiros sejam orientados a</w:t>
      </w:r>
      <w:r w:rsidR="00C910E4">
        <w:rPr>
          <w:sz w:val="24"/>
          <w:szCs w:val="24"/>
        </w:rPr>
        <w:t>, doravante,</w:t>
      </w:r>
      <w:r w:rsidR="00EE1379">
        <w:rPr>
          <w:sz w:val="24"/>
          <w:szCs w:val="24"/>
        </w:rPr>
        <w:t xml:space="preserve"> ins</w:t>
      </w:r>
      <w:r w:rsidR="00C910E4">
        <w:rPr>
          <w:sz w:val="24"/>
          <w:szCs w:val="24"/>
        </w:rPr>
        <w:t>erir no processo o inteiro teor dos pedidos de esclarecimento e impugnações ao edital.</w:t>
      </w:r>
      <w:r w:rsidR="00872AB5">
        <w:rPr>
          <w:sz w:val="24"/>
          <w:szCs w:val="24"/>
        </w:rPr>
        <w:t xml:space="preserve"> </w:t>
      </w:r>
    </w:p>
    <w:p w:rsidR="00F75D43" w:rsidRDefault="00C910E4" w:rsidP="00FB00FD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b) Outro tema a ser abordado diz respeito ao prazo entre a divulgação da resposta às impugnações e a abertura do procedimento licitatório. Observou-se que, no caso sob exame, este lapso foi de apenas uma hora</w:t>
      </w:r>
      <w:r w:rsidR="00D31EDF">
        <w:rPr>
          <w:sz w:val="24"/>
          <w:szCs w:val="24"/>
        </w:rPr>
        <w:t xml:space="preserve"> (</w:t>
      </w:r>
      <w:proofErr w:type="gramStart"/>
      <w:r w:rsidR="00D31EDF">
        <w:rPr>
          <w:sz w:val="24"/>
          <w:szCs w:val="24"/>
        </w:rPr>
        <w:t>13:08</w:t>
      </w:r>
      <w:proofErr w:type="gramEnd"/>
      <w:r w:rsidR="00D31EDF">
        <w:rPr>
          <w:sz w:val="24"/>
          <w:szCs w:val="24"/>
        </w:rPr>
        <w:t>:23 do dia 25/05/2015, conforme fls. 24/25 do Doc. 38360/2015</w:t>
      </w:r>
      <w:r w:rsidR="004E4D27">
        <w:rPr>
          <w:sz w:val="24"/>
          <w:szCs w:val="24"/>
        </w:rPr>
        <w:t>, tendo a sessão sido agendada para as 14:00 da mesma data</w:t>
      </w:r>
      <w:r w:rsidR="00D31EDF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D31EDF">
        <w:rPr>
          <w:sz w:val="24"/>
          <w:szCs w:val="24"/>
        </w:rPr>
        <w:t xml:space="preserve"> Novamente, o assunto não foi tratado como achado diante da </w:t>
      </w:r>
      <w:r w:rsidR="004E4D27">
        <w:rPr>
          <w:sz w:val="24"/>
          <w:szCs w:val="24"/>
        </w:rPr>
        <w:t>inexistência</w:t>
      </w:r>
      <w:r w:rsidR="00D31EDF">
        <w:rPr>
          <w:sz w:val="24"/>
          <w:szCs w:val="24"/>
        </w:rPr>
        <w:t xml:space="preserve"> de prejuízo</w:t>
      </w:r>
      <w:r w:rsidR="004E4D27">
        <w:rPr>
          <w:sz w:val="24"/>
          <w:szCs w:val="24"/>
        </w:rPr>
        <w:t xml:space="preserve">, </w:t>
      </w:r>
      <w:r w:rsidR="00DB5DC6">
        <w:rPr>
          <w:sz w:val="24"/>
          <w:szCs w:val="24"/>
        </w:rPr>
        <w:t>sendo oportuno</w:t>
      </w:r>
      <w:r w:rsidR="004E4D27">
        <w:rPr>
          <w:sz w:val="24"/>
          <w:szCs w:val="24"/>
        </w:rPr>
        <w:t>, porém</w:t>
      </w:r>
      <w:r w:rsidR="00DB5DC6">
        <w:rPr>
          <w:sz w:val="24"/>
          <w:szCs w:val="24"/>
        </w:rPr>
        <w:t>, discorrer sobre o tópico.</w:t>
      </w:r>
      <w:r w:rsidR="004E4D27">
        <w:rPr>
          <w:sz w:val="24"/>
          <w:szCs w:val="24"/>
        </w:rPr>
        <w:t xml:space="preserve"> </w:t>
      </w:r>
    </w:p>
    <w:p w:rsidR="00DB5DC6" w:rsidRDefault="00DB5DC6" w:rsidP="00DB5DC6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acordo com os artigos 12 do </w:t>
      </w:r>
      <w:r w:rsidR="00192830">
        <w:rPr>
          <w:sz w:val="24"/>
          <w:szCs w:val="24"/>
        </w:rPr>
        <w:t xml:space="preserve">Decreto nº. 3.555/00 e 18 do Decreto 5.450/05, qualquer pessoa pode impugnar o ato convocatório até dois dias úteis </w:t>
      </w:r>
      <w:r w:rsidR="00933723">
        <w:rPr>
          <w:sz w:val="24"/>
          <w:szCs w:val="24"/>
        </w:rPr>
        <w:t xml:space="preserve">antes </w:t>
      </w:r>
      <w:r w:rsidR="00192830">
        <w:rPr>
          <w:sz w:val="24"/>
          <w:szCs w:val="24"/>
        </w:rPr>
        <w:t>da data fixada para recebimento das propostas</w:t>
      </w:r>
      <w:r>
        <w:rPr>
          <w:sz w:val="24"/>
          <w:szCs w:val="24"/>
        </w:rPr>
        <w:t xml:space="preserve">, </w:t>
      </w:r>
      <w:r w:rsidR="00192830">
        <w:rPr>
          <w:sz w:val="24"/>
          <w:szCs w:val="24"/>
        </w:rPr>
        <w:t>cabe</w:t>
      </w:r>
      <w:r>
        <w:rPr>
          <w:sz w:val="24"/>
          <w:szCs w:val="24"/>
        </w:rPr>
        <w:t>ndo</w:t>
      </w:r>
      <w:r w:rsidR="00192830">
        <w:rPr>
          <w:sz w:val="24"/>
          <w:szCs w:val="24"/>
        </w:rPr>
        <w:t xml:space="preserve"> ao pregoeiro decidir sobre a petição no prazo de vinte e quatro horas</w:t>
      </w:r>
      <w:r>
        <w:rPr>
          <w:sz w:val="24"/>
          <w:szCs w:val="24"/>
        </w:rPr>
        <w:t xml:space="preserve">. </w:t>
      </w:r>
    </w:p>
    <w:p w:rsidR="00BB6638" w:rsidRDefault="00377570" w:rsidP="00DB5DC6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legislador, imbuído do espírito de conferir celeridade ao procedimento, </w:t>
      </w:r>
      <w:r w:rsidR="006E2199">
        <w:rPr>
          <w:sz w:val="24"/>
          <w:szCs w:val="24"/>
        </w:rPr>
        <w:t xml:space="preserve">culminou por prever prazo </w:t>
      </w:r>
      <w:r w:rsidR="00BB6638">
        <w:rPr>
          <w:sz w:val="24"/>
          <w:szCs w:val="24"/>
        </w:rPr>
        <w:t xml:space="preserve">tão </w:t>
      </w:r>
      <w:r w:rsidR="006E2199">
        <w:rPr>
          <w:sz w:val="24"/>
          <w:szCs w:val="24"/>
        </w:rPr>
        <w:t xml:space="preserve">exíguo a ponto de tornar inviável seu cumprimento. Ainda que seja conferida total prioridade à análise de impugnações, é certo que seu trâmite ultrapassará </w:t>
      </w:r>
      <w:proofErr w:type="gramStart"/>
      <w:r w:rsidR="006E2199">
        <w:rPr>
          <w:sz w:val="24"/>
          <w:szCs w:val="24"/>
        </w:rPr>
        <w:t>as</w:t>
      </w:r>
      <w:proofErr w:type="gramEnd"/>
      <w:r w:rsidR="006E2199">
        <w:rPr>
          <w:sz w:val="24"/>
          <w:szCs w:val="24"/>
        </w:rPr>
        <w:t xml:space="preserve"> 24 horas determinadas pela norma, senão vejamos: recebida a petição, o Pregoeiro deverá manifestar-se, encaminhando o requerimento para a Diretoria-Geral, a qual remeterá o processo para exame da Assessoria Jurídica de Licitações e Contratos (art. 27, III, do Regulamento Interno)</w:t>
      </w:r>
      <w:r w:rsidR="00BB6638">
        <w:rPr>
          <w:sz w:val="24"/>
          <w:szCs w:val="24"/>
        </w:rPr>
        <w:t xml:space="preserve"> que, após pronunciamento conclusivo, retornará os autos para decisão da autoridade competente (DG)</w:t>
      </w:r>
      <w:r w:rsidR="006E2199">
        <w:rPr>
          <w:sz w:val="24"/>
          <w:szCs w:val="24"/>
        </w:rPr>
        <w:t>.</w:t>
      </w:r>
      <w:r w:rsidR="00387608">
        <w:rPr>
          <w:sz w:val="24"/>
          <w:szCs w:val="24"/>
        </w:rPr>
        <w:t xml:space="preserve"> Acrescente-se, ainda, que, caso o questionamento envolva matéria técnica, será necessária a oitiva da unidade demandante.</w:t>
      </w:r>
    </w:p>
    <w:p w:rsidR="00EE554A" w:rsidRDefault="00387608" w:rsidP="00EE554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Ressalte-se que a supressão de qualquer dos passos acima relacionados não parece ser suficiente para solucionar o problema, além de fragilizar a posição </w:t>
      </w:r>
      <w:r w:rsidR="004D2279">
        <w:rPr>
          <w:sz w:val="24"/>
          <w:szCs w:val="24"/>
        </w:rPr>
        <w:t xml:space="preserve">da Administração. </w:t>
      </w:r>
      <w:r w:rsidR="00A91356">
        <w:rPr>
          <w:sz w:val="24"/>
          <w:szCs w:val="24"/>
        </w:rPr>
        <w:t xml:space="preserve">Nesse sentido, a Consultoria Zênite corrobora a importância da participação das áreas </w:t>
      </w:r>
      <w:r w:rsidR="00EE554A">
        <w:rPr>
          <w:sz w:val="24"/>
          <w:szCs w:val="24"/>
        </w:rPr>
        <w:t>envolvidas na elaboração do edital para o</w:t>
      </w:r>
      <w:r w:rsidR="00A91356">
        <w:rPr>
          <w:sz w:val="24"/>
          <w:szCs w:val="24"/>
        </w:rPr>
        <w:t xml:space="preserve"> exame das impugnações:</w:t>
      </w:r>
      <w:proofErr w:type="gramStart"/>
      <w:r w:rsidR="00A91356">
        <w:rPr>
          <w:sz w:val="24"/>
          <w:szCs w:val="24"/>
        </w:rPr>
        <w:t xml:space="preserve">  </w:t>
      </w:r>
    </w:p>
    <w:p w:rsidR="00387608" w:rsidRPr="00387608" w:rsidRDefault="00387608" w:rsidP="00EE554A">
      <w:pPr>
        <w:spacing w:after="0"/>
        <w:ind w:left="851"/>
        <w:jc w:val="both"/>
        <w:rPr>
          <w:sz w:val="22"/>
          <w:szCs w:val="22"/>
        </w:rPr>
      </w:pPr>
      <w:r w:rsidRPr="00387608">
        <w:rPr>
          <w:sz w:val="22"/>
          <w:szCs w:val="22"/>
        </w:rPr>
        <w:t>19490 - Contratação pública – Pregão</w:t>
      </w:r>
      <w:proofErr w:type="gramEnd"/>
      <w:r w:rsidRPr="00387608">
        <w:rPr>
          <w:sz w:val="22"/>
          <w:szCs w:val="22"/>
        </w:rPr>
        <w:t xml:space="preserve"> eletrônico – Edital – Impugnação – Análise – Auxílio da assessoria jurídica – Medida recomendável</w:t>
      </w:r>
    </w:p>
    <w:p w:rsidR="00387608" w:rsidRDefault="00387608" w:rsidP="00EE554A">
      <w:pPr>
        <w:spacing w:after="0"/>
        <w:ind w:left="851"/>
        <w:jc w:val="both"/>
        <w:rPr>
          <w:sz w:val="22"/>
          <w:szCs w:val="22"/>
        </w:rPr>
      </w:pPr>
      <w:r w:rsidRPr="00387608">
        <w:rPr>
          <w:b/>
          <w:sz w:val="22"/>
          <w:szCs w:val="22"/>
        </w:rPr>
        <w:t>O auxílio da equipe responsável pela elaboração do edital é imprescindível para a análise da impugnação, uma vez que ela conhece todos os detalhes do objeto que será contratado. Embora o dispositivo não estabeleça, recomenda-se também a participação da assessoria jurídica na análise das impugnações</w:t>
      </w:r>
      <w:r w:rsidRPr="00387608">
        <w:rPr>
          <w:sz w:val="22"/>
          <w:szCs w:val="22"/>
        </w:rPr>
        <w:t xml:space="preserve">. Considerando que a impugnação pode ocorrer por apontamento de possível ilegalidade do edital, e que este já foi submetido à análise da assessoria </w:t>
      </w:r>
      <w:r w:rsidRPr="00387608">
        <w:rPr>
          <w:sz w:val="22"/>
          <w:szCs w:val="22"/>
        </w:rPr>
        <w:lastRenderedPageBreak/>
        <w:t>jurídica, o pregoeiro e a equipe responsável pelo planejamento terão mais segurança na decisão, pois a análise será realizada também à luz do ordenamento jurídico. (Orientação formulada em discussões realizadas pelo Núcleo Zênite de Pesquisa e Desenvolvimento.)</w:t>
      </w:r>
      <w:r w:rsidR="006E2199" w:rsidRPr="00387608">
        <w:rPr>
          <w:sz w:val="22"/>
          <w:szCs w:val="22"/>
        </w:rPr>
        <w:t xml:space="preserve"> </w:t>
      </w:r>
      <w:r>
        <w:rPr>
          <w:sz w:val="22"/>
          <w:szCs w:val="22"/>
        </w:rPr>
        <w:t>Grifo não é do original</w:t>
      </w:r>
      <w:r w:rsidR="00A91356">
        <w:rPr>
          <w:sz w:val="22"/>
          <w:szCs w:val="22"/>
        </w:rPr>
        <w:t>.</w:t>
      </w:r>
    </w:p>
    <w:p w:rsidR="00377570" w:rsidRPr="00387608" w:rsidRDefault="006E2199" w:rsidP="00387608">
      <w:pPr>
        <w:spacing w:after="0"/>
        <w:ind w:left="851"/>
        <w:jc w:val="both"/>
        <w:rPr>
          <w:sz w:val="22"/>
          <w:szCs w:val="22"/>
        </w:rPr>
      </w:pPr>
      <w:r w:rsidRPr="00387608">
        <w:rPr>
          <w:sz w:val="22"/>
          <w:szCs w:val="22"/>
        </w:rPr>
        <w:t xml:space="preserve">  </w:t>
      </w:r>
    </w:p>
    <w:p w:rsidR="00A91356" w:rsidRDefault="00EE554A" w:rsidP="00DB5DC6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Convém pontuar que, e</w:t>
      </w:r>
      <w:r w:rsidR="00DC49D9">
        <w:rPr>
          <w:sz w:val="24"/>
          <w:szCs w:val="24"/>
        </w:rPr>
        <w:t>m seminário realizado no período de 23 a 25.09.2015 – “Os Grandes Problemas Enfrentados no Julgamento das Licitações – Como Evitar, Como Solucionar e as Orientações do TCU” – esta signatária pôde constatar que a dificuldade quanto ao atendimento do prazo legal de 24 horas para resposta às impugnações é comum aos diversos órgãos públicos.</w:t>
      </w:r>
    </w:p>
    <w:p w:rsidR="00DC49D9" w:rsidRDefault="00EE554A" w:rsidP="00DB5DC6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Assim, p</w:t>
      </w:r>
      <w:r w:rsidR="00DC49D9">
        <w:rPr>
          <w:sz w:val="24"/>
          <w:szCs w:val="24"/>
        </w:rPr>
        <w:t>artindo da premissa de que tal prazo provavelmente não será cumprido, deve-se buscar alternativa para assegurar</w:t>
      </w:r>
      <w:r w:rsidR="00561F63">
        <w:rPr>
          <w:sz w:val="24"/>
          <w:szCs w:val="24"/>
        </w:rPr>
        <w:t xml:space="preserve"> um </w:t>
      </w:r>
      <w:r w:rsidR="00690DC4">
        <w:rPr>
          <w:sz w:val="24"/>
          <w:szCs w:val="24"/>
        </w:rPr>
        <w:t>lapso temporal</w:t>
      </w:r>
      <w:r w:rsidR="00561F63">
        <w:rPr>
          <w:sz w:val="24"/>
          <w:szCs w:val="24"/>
        </w:rPr>
        <w:t xml:space="preserve"> mínimo entre a divulgação da decisão e o termo final do </w:t>
      </w:r>
      <w:r w:rsidR="00690DC4">
        <w:rPr>
          <w:sz w:val="24"/>
          <w:szCs w:val="24"/>
        </w:rPr>
        <w:t>prazo para envio das propostas. Isto porque a resposta da Administração poderá repercutir no conteúdo da oferta do licitante</w:t>
      </w:r>
      <w:r w:rsidR="00916405">
        <w:rPr>
          <w:sz w:val="24"/>
          <w:szCs w:val="24"/>
        </w:rPr>
        <w:t>, que deve ter resguardado um prazo razoável para a</w:t>
      </w:r>
      <w:r>
        <w:rPr>
          <w:sz w:val="24"/>
          <w:szCs w:val="24"/>
        </w:rPr>
        <w:t xml:space="preserve">lterar ou retirar sua proposta. </w:t>
      </w:r>
      <w:r w:rsidR="00916405">
        <w:rPr>
          <w:sz w:val="24"/>
          <w:szCs w:val="24"/>
        </w:rPr>
        <w:t>Não é</w:t>
      </w:r>
      <w:r>
        <w:rPr>
          <w:sz w:val="24"/>
          <w:szCs w:val="24"/>
        </w:rPr>
        <w:t xml:space="preserve"> outra a orientação da doutrina</w:t>
      </w:r>
      <w:r w:rsidR="00214C94">
        <w:rPr>
          <w:sz w:val="24"/>
          <w:szCs w:val="24"/>
        </w:rPr>
        <w:t>, consoante excertos abaixo colacionados:</w:t>
      </w:r>
    </w:p>
    <w:p w:rsidR="00916405" w:rsidRPr="00916405" w:rsidRDefault="00916405" w:rsidP="00916405">
      <w:pPr>
        <w:spacing w:after="0"/>
        <w:ind w:left="851"/>
        <w:jc w:val="both"/>
        <w:rPr>
          <w:sz w:val="22"/>
          <w:szCs w:val="22"/>
        </w:rPr>
      </w:pPr>
      <w:r w:rsidRPr="00916405">
        <w:rPr>
          <w:sz w:val="22"/>
          <w:szCs w:val="22"/>
        </w:rPr>
        <w:t>19544 - Contratação pública – Pregão eletrônico – Impugnação – Apreciação – Prazo insuficiente para (</w:t>
      </w:r>
      <w:proofErr w:type="spellStart"/>
      <w:r w:rsidRPr="00916405">
        <w:rPr>
          <w:sz w:val="22"/>
          <w:szCs w:val="22"/>
        </w:rPr>
        <w:t>re</w:t>
      </w:r>
      <w:proofErr w:type="spellEnd"/>
      <w:proofErr w:type="gramStart"/>
      <w:r w:rsidRPr="00916405">
        <w:rPr>
          <w:sz w:val="22"/>
          <w:szCs w:val="22"/>
        </w:rPr>
        <w:t>)formulação</w:t>
      </w:r>
      <w:proofErr w:type="gramEnd"/>
      <w:r w:rsidRPr="00916405">
        <w:rPr>
          <w:sz w:val="22"/>
          <w:szCs w:val="22"/>
        </w:rPr>
        <w:t xml:space="preserve"> da proposta – Adiamento da sessão</w:t>
      </w:r>
    </w:p>
    <w:p w:rsidR="00916405" w:rsidRPr="00916405" w:rsidRDefault="00916405" w:rsidP="00214C94">
      <w:pPr>
        <w:spacing w:after="0"/>
        <w:ind w:left="851"/>
        <w:jc w:val="both"/>
        <w:rPr>
          <w:sz w:val="22"/>
          <w:szCs w:val="22"/>
        </w:rPr>
      </w:pPr>
      <w:r w:rsidRPr="00EE554A">
        <w:rPr>
          <w:b/>
          <w:sz w:val="22"/>
          <w:szCs w:val="22"/>
        </w:rPr>
        <w:t>Não há previsão de efeito suspensivo para a impugnação ao edital. Diante disso, sua apreciação deve ocorrer em tempo que possibilite aos interessados (</w:t>
      </w:r>
      <w:proofErr w:type="spellStart"/>
      <w:r w:rsidRPr="00EE554A">
        <w:rPr>
          <w:b/>
          <w:sz w:val="22"/>
          <w:szCs w:val="22"/>
        </w:rPr>
        <w:t>re</w:t>
      </w:r>
      <w:proofErr w:type="spellEnd"/>
      <w:proofErr w:type="gramStart"/>
      <w:r w:rsidRPr="00EE554A">
        <w:rPr>
          <w:b/>
          <w:sz w:val="22"/>
          <w:szCs w:val="22"/>
        </w:rPr>
        <w:t>)formularem</w:t>
      </w:r>
      <w:proofErr w:type="gramEnd"/>
      <w:r w:rsidRPr="00EE554A">
        <w:rPr>
          <w:b/>
          <w:sz w:val="22"/>
          <w:szCs w:val="22"/>
        </w:rPr>
        <w:t xml:space="preserve"> suas propostas antes da abertura da sessão. Afirmamos isso porque a questão impugnada pode alterar ou até mesmo inviabilizar a formulação das propostas pelos interessados.</w:t>
      </w:r>
      <w:r w:rsidRPr="00916405">
        <w:rPr>
          <w:sz w:val="22"/>
          <w:szCs w:val="22"/>
        </w:rPr>
        <w:t xml:space="preserve"> Assim, na hipótese de o pregoeiro constatar que a impugnação não será apreciada antes a abertura da sessão e em tempo hábil para a (</w:t>
      </w:r>
      <w:proofErr w:type="spellStart"/>
      <w:r w:rsidRPr="00916405">
        <w:rPr>
          <w:sz w:val="22"/>
          <w:szCs w:val="22"/>
        </w:rPr>
        <w:t>re</w:t>
      </w:r>
      <w:proofErr w:type="spellEnd"/>
      <w:proofErr w:type="gramStart"/>
      <w:r w:rsidRPr="00916405">
        <w:rPr>
          <w:sz w:val="22"/>
          <w:szCs w:val="22"/>
        </w:rPr>
        <w:t>)formulação</w:t>
      </w:r>
      <w:proofErr w:type="gramEnd"/>
      <w:r w:rsidRPr="00916405">
        <w:rPr>
          <w:sz w:val="22"/>
          <w:szCs w:val="22"/>
        </w:rPr>
        <w:t xml:space="preserve"> das propostas pelos licitantes, deverá suspender o início da sessão, o que deverá ser feito de forma motivada. (Orientação formulada em discussões realizadas pelo Núcleo Zênite de Pesquisa e Desenvolvimento.)</w:t>
      </w:r>
      <w:r w:rsidR="00EE554A">
        <w:rPr>
          <w:sz w:val="22"/>
          <w:szCs w:val="22"/>
        </w:rPr>
        <w:t xml:space="preserve"> Grifo acrescido.</w:t>
      </w:r>
    </w:p>
    <w:p w:rsidR="00916405" w:rsidRPr="00214C94" w:rsidRDefault="00916405" w:rsidP="00214C94">
      <w:pPr>
        <w:spacing w:after="0"/>
        <w:ind w:left="851"/>
        <w:jc w:val="both"/>
        <w:rPr>
          <w:sz w:val="22"/>
          <w:szCs w:val="22"/>
        </w:rPr>
      </w:pPr>
    </w:p>
    <w:p w:rsidR="00916405" w:rsidRPr="00214C94" w:rsidRDefault="00916405" w:rsidP="00916405">
      <w:pPr>
        <w:spacing w:after="0"/>
        <w:ind w:left="851"/>
        <w:jc w:val="both"/>
        <w:rPr>
          <w:sz w:val="22"/>
          <w:szCs w:val="22"/>
        </w:rPr>
      </w:pPr>
      <w:r w:rsidRPr="00214C94">
        <w:rPr>
          <w:sz w:val="22"/>
          <w:szCs w:val="22"/>
        </w:rPr>
        <w:t xml:space="preserve">“16. Autores como Jessé Torres Pereira Junior defendem, inclusive, que 'a resposta ao impugnante é de rigor, e antes da sessão inaugural do certame (entrega e abertura de envelopes)' (in 'Licitações de Informática'. Rio de Janeiro: Renovar, 2000. p. 118). Nesse sentido também aponta a lição de Renato Geraldo Mendes, que faz a seguinte observação, quanto ao teor do § 3º do art. 41 da Lei de Licitações (in 'Lei de Licitações e Contratos Anotada', </w:t>
      </w:r>
      <w:proofErr w:type="gramStart"/>
      <w:r w:rsidRPr="00214C94">
        <w:rPr>
          <w:sz w:val="22"/>
          <w:szCs w:val="22"/>
        </w:rPr>
        <w:t>4</w:t>
      </w:r>
      <w:proofErr w:type="gramEnd"/>
      <w:r w:rsidRPr="00214C94">
        <w:rPr>
          <w:sz w:val="22"/>
          <w:szCs w:val="22"/>
        </w:rPr>
        <w:t>. ed. Porto Alegre: Síntese, 2002. p. 145):</w:t>
      </w:r>
    </w:p>
    <w:p w:rsidR="00916405" w:rsidRPr="00214C94" w:rsidRDefault="00916405" w:rsidP="00916405">
      <w:pPr>
        <w:spacing w:after="0"/>
        <w:ind w:left="851"/>
        <w:jc w:val="both"/>
        <w:rPr>
          <w:sz w:val="22"/>
          <w:szCs w:val="22"/>
        </w:rPr>
      </w:pPr>
      <w:r w:rsidRPr="00214C94">
        <w:rPr>
          <w:sz w:val="22"/>
          <w:szCs w:val="22"/>
        </w:rPr>
        <w:t>'A impugnação ao edital licitatório não comporta o efeito suspensivo. Contudo, em não conseguindo a Administração apreciar a impugnação e responder a ela antes da data fixada para abertura do envelope I (habilitação), entendemos ser mais adequado o adiamento da sessão de abertura até que a impugnação seja julgada e respondida pela Administração, sob pena de infringência das finalidades da Lei</w:t>
      </w:r>
      <w:proofErr w:type="gramStart"/>
      <w:r w:rsidRPr="00214C94">
        <w:rPr>
          <w:sz w:val="22"/>
          <w:szCs w:val="22"/>
        </w:rPr>
        <w:t>'.</w:t>
      </w:r>
      <w:proofErr w:type="gramEnd"/>
      <w:r w:rsidRPr="00214C94">
        <w:rPr>
          <w:sz w:val="22"/>
          <w:szCs w:val="22"/>
        </w:rPr>
        <w:t>”</w:t>
      </w:r>
      <w:r w:rsidR="00214C94">
        <w:rPr>
          <w:rStyle w:val="Refdenotaderodap"/>
          <w:sz w:val="22"/>
          <w:szCs w:val="22"/>
        </w:rPr>
        <w:footnoteReference w:id="1"/>
      </w:r>
    </w:p>
    <w:p w:rsidR="00916405" w:rsidRDefault="00916405" w:rsidP="00DB5DC6">
      <w:pPr>
        <w:ind w:firstLine="851"/>
        <w:jc w:val="both"/>
        <w:rPr>
          <w:sz w:val="24"/>
          <w:szCs w:val="24"/>
        </w:rPr>
      </w:pPr>
    </w:p>
    <w:p w:rsidR="00192830" w:rsidRDefault="006113D3" w:rsidP="00192830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Ressalte-se que a presente questão possui relevância apenas nas hipóteses </w:t>
      </w:r>
      <w:r w:rsidR="00ED039D">
        <w:rPr>
          <w:sz w:val="24"/>
          <w:szCs w:val="24"/>
        </w:rPr>
        <w:t xml:space="preserve">em </w:t>
      </w:r>
      <w:r>
        <w:rPr>
          <w:sz w:val="24"/>
          <w:szCs w:val="24"/>
        </w:rPr>
        <w:t>que a impugnação não ocasione a alteração do edital, haja vista que, neste caso, o instrumento deverá ser republicado, respeitando-se o prazo de oito dias úteis (</w:t>
      </w:r>
      <w:r w:rsidR="00214C94">
        <w:rPr>
          <w:sz w:val="24"/>
          <w:szCs w:val="24"/>
        </w:rPr>
        <w:t>art. 4º, V, da Lei nº. 10.520/0</w:t>
      </w:r>
      <w:r>
        <w:rPr>
          <w:sz w:val="24"/>
          <w:szCs w:val="24"/>
        </w:rPr>
        <w:t xml:space="preserve">2). </w:t>
      </w:r>
      <w:r w:rsidR="00E033E3">
        <w:rPr>
          <w:sz w:val="24"/>
          <w:szCs w:val="24"/>
        </w:rPr>
        <w:t xml:space="preserve"> </w:t>
      </w:r>
    </w:p>
    <w:p w:rsidR="00CB6332" w:rsidRDefault="00CB6332" w:rsidP="00192830">
      <w:pPr>
        <w:shd w:val="clear" w:color="auto" w:fill="FFFFFF"/>
        <w:spacing w:after="0" w:line="279" w:lineRule="atLeast"/>
        <w:jc w:val="both"/>
        <w:rPr>
          <w:b/>
          <w:bCs/>
          <w:color w:val="000000"/>
          <w:sz w:val="24"/>
          <w:szCs w:val="24"/>
        </w:rPr>
      </w:pPr>
    </w:p>
    <w:p w:rsidR="000A4B94" w:rsidRDefault="000A4B94" w:rsidP="00797C66">
      <w:pPr>
        <w:pStyle w:val="NormalWeb"/>
        <w:ind w:firstLine="851"/>
        <w:jc w:val="both"/>
      </w:pPr>
      <w:r>
        <w:lastRenderedPageBreak/>
        <w:t xml:space="preserve">Recomenda-se, portanto, que a Administração estabeleça rito específico visando </w:t>
      </w:r>
      <w:r w:rsidR="00ED039D">
        <w:t xml:space="preserve">a </w:t>
      </w:r>
      <w:r>
        <w:t>garantir um prazo razoável entre a publicação da decisão sobre o pedido de impugnação e o termo final para envio das propostas no pregão, sugerindo-se, para tanto, um dia útil.</w:t>
      </w:r>
    </w:p>
    <w:p w:rsidR="007914CB" w:rsidRDefault="000A4B94" w:rsidP="00797C66">
      <w:pPr>
        <w:pStyle w:val="NormalWeb"/>
        <w:ind w:firstLine="851"/>
        <w:jc w:val="both"/>
      </w:pPr>
      <w:r>
        <w:t xml:space="preserve">No evento acima citado, o palestrante Ricardo Alexandre Sampaio noticiou que alguns órgãos procedem à suspensão </w:t>
      </w:r>
      <w:r w:rsidR="009D549F">
        <w:t>do procedimento imediatamente ao recebimento da impugnação, restabelecendo o prazo para formulação de propostas somente após a divulgação da resposta da Administração. Tal prática, entretanto, tem como ponto negativo a possibilidade de extensão demasiada do prazo para abertura d</w:t>
      </w:r>
      <w:r w:rsidR="007914CB">
        <w:t>o certame</w:t>
      </w:r>
      <w:r w:rsidR="009D549F">
        <w:t>, uma vez</w:t>
      </w:r>
      <w:r w:rsidR="00F257B2">
        <w:t xml:space="preserve"> que, caso a impugnação tenha sido oposta em momento próximo da data de publicação do edital, ao retomar-se o prazo para envio das propostas, novos questionamentos poderão ser </w:t>
      </w:r>
      <w:r w:rsidR="007914CB">
        <w:t xml:space="preserve">tempestivamente </w:t>
      </w:r>
      <w:r w:rsidR="00F257B2">
        <w:t>apresentados</w:t>
      </w:r>
      <w:r w:rsidR="007914CB">
        <w:t>, por não se ter alcançado o limite de</w:t>
      </w:r>
      <w:r w:rsidR="007914CB" w:rsidRPr="007914CB">
        <w:t xml:space="preserve"> dois dias úteis antes da data fixada para recebimento das propostas</w:t>
      </w:r>
      <w:r w:rsidR="007914CB">
        <w:t>.</w:t>
      </w:r>
    </w:p>
    <w:p w:rsidR="007914CB" w:rsidRDefault="007914CB" w:rsidP="00797C66">
      <w:pPr>
        <w:pStyle w:val="NormalWeb"/>
        <w:ind w:firstLine="851"/>
        <w:jc w:val="both"/>
      </w:pPr>
      <w:r>
        <w:t>Por outro lado, cumpre observar que o adiamento da abertura da sessão sem a correspondente oportunidade de alteração das propostas pelos licitantes não atende a finalidade da norma.</w:t>
      </w:r>
    </w:p>
    <w:p w:rsidR="00797C66" w:rsidRDefault="007914CB" w:rsidP="00797C66">
      <w:pPr>
        <w:pStyle w:val="NormalWeb"/>
        <w:ind w:firstLine="851"/>
        <w:jc w:val="both"/>
      </w:pPr>
      <w:r>
        <w:t xml:space="preserve">Destarte, cabe à Administração, conhecendo as funcionalidades do Sistema </w:t>
      </w:r>
      <w:proofErr w:type="spellStart"/>
      <w:r>
        <w:t>Comprasnet</w:t>
      </w:r>
      <w:proofErr w:type="spellEnd"/>
      <w:r>
        <w:t xml:space="preserve">, </w:t>
      </w:r>
      <w:r w:rsidR="00F11510">
        <w:t>indicar o meio utilizado para atender à recomendação em comento</w:t>
      </w:r>
      <w:r w:rsidR="00ED039D">
        <w:t>, definindo um procedimento padronizado a ser seguido por todos os Pregoeiros</w:t>
      </w:r>
      <w:r w:rsidR="00F11510">
        <w:t>.</w:t>
      </w:r>
      <w:r>
        <w:t xml:space="preserve">  </w:t>
      </w:r>
      <w:r w:rsidR="00F257B2">
        <w:t xml:space="preserve">  </w:t>
      </w:r>
      <w:r w:rsidR="00467B77">
        <w:tab/>
      </w:r>
    </w:p>
    <w:p w:rsidR="00F715FF" w:rsidRDefault="00797C66" w:rsidP="00797C66">
      <w:pPr>
        <w:pStyle w:val="NormalWeb"/>
        <w:ind w:firstLine="851"/>
        <w:jc w:val="both"/>
      </w:pPr>
      <w:r>
        <w:t xml:space="preserve">c) </w:t>
      </w:r>
      <w:r w:rsidR="007822D1">
        <w:t>Em relação ao f</w:t>
      </w:r>
      <w:r w:rsidR="00467B77">
        <w:t xml:space="preserve">racasso dos itens </w:t>
      </w:r>
      <w:proofErr w:type="gramStart"/>
      <w:r w:rsidR="00467B77">
        <w:t>8</w:t>
      </w:r>
      <w:proofErr w:type="gramEnd"/>
      <w:r w:rsidR="00467B77">
        <w:t xml:space="preserve"> e 9</w:t>
      </w:r>
      <w:r w:rsidR="007822D1">
        <w:t xml:space="preserve">, </w:t>
      </w:r>
      <w:r w:rsidR="001D6AAF">
        <w:t>c</w:t>
      </w:r>
      <w:r w:rsidR="00467B77">
        <w:t xml:space="preserve">hama atenção a diferença entre os valores obtidos na cotação prévia e os preços </w:t>
      </w:r>
      <w:r w:rsidR="001D6AAF">
        <w:t>ofertados n</w:t>
      </w:r>
      <w:r w:rsidR="00467B77">
        <w:t>o pregão</w:t>
      </w:r>
      <w:r w:rsidR="00CB6332">
        <w:t xml:space="preserve"> (conforme tabelas abaixo).</w:t>
      </w:r>
      <w:r w:rsidR="00467B77">
        <w:t xml:space="preserve"> A princípio, não </w:t>
      </w:r>
      <w:r w:rsidR="00507B7C">
        <w:t>se vislumbrou falhas</w:t>
      </w:r>
      <w:r w:rsidR="00467B77">
        <w:t xml:space="preserve"> na </w:t>
      </w:r>
      <w:r w:rsidR="00507B7C">
        <w:t xml:space="preserve">pesquisa realizada pela </w:t>
      </w:r>
      <w:r w:rsidR="00950A8C">
        <w:t>Seção de Análise e Aquisição</w:t>
      </w:r>
      <w:r w:rsidR="00507B7C">
        <w:t xml:space="preserve"> (SEAQUI)</w:t>
      </w:r>
      <w:r w:rsidR="00F715FF">
        <w:t>, c</w:t>
      </w:r>
      <w:r w:rsidR="00507B7C">
        <w:t xml:space="preserve">ompetindo ao </w:t>
      </w:r>
      <w:r w:rsidR="00F715FF">
        <w:t>setor solicitante</w:t>
      </w:r>
      <w:r w:rsidR="00507B7C">
        <w:t>, previamente à repetição do certame, verificar junto aos</w:t>
      </w:r>
      <w:r w:rsidR="00F715FF">
        <w:t xml:space="preserve"> licitantes</w:t>
      </w:r>
      <w:r w:rsidR="00507B7C">
        <w:t xml:space="preserve"> a</w:t>
      </w:r>
      <w:r w:rsidR="00F715FF">
        <w:t>s razões da discrepância.</w:t>
      </w:r>
    </w:p>
    <w:p w:rsidR="008A3747" w:rsidRDefault="008A3747" w:rsidP="00797C66">
      <w:pPr>
        <w:pStyle w:val="NormalWeb"/>
        <w:ind w:firstLine="851"/>
        <w:jc w:val="both"/>
      </w:pPr>
    </w:p>
    <w:tbl>
      <w:tblPr>
        <w:tblStyle w:val="Tabelacomgrade"/>
        <w:tblW w:w="94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9"/>
        <w:gridCol w:w="1101"/>
        <w:gridCol w:w="1418"/>
        <w:gridCol w:w="1275"/>
        <w:gridCol w:w="1560"/>
        <w:gridCol w:w="1275"/>
        <w:gridCol w:w="1472"/>
      </w:tblGrid>
      <w:tr w:rsidR="000D1AE6" w:rsidTr="00192830">
        <w:tc>
          <w:tcPr>
            <w:tcW w:w="1309" w:type="dxa"/>
          </w:tcPr>
          <w:p w:rsidR="000D1AE6" w:rsidRDefault="000D1AE6" w:rsidP="00192830">
            <w:pPr>
              <w:pStyle w:val="NormalWeb"/>
              <w:jc w:val="center"/>
            </w:pPr>
          </w:p>
        </w:tc>
        <w:tc>
          <w:tcPr>
            <w:tcW w:w="6629" w:type="dxa"/>
            <w:gridSpan w:val="5"/>
          </w:tcPr>
          <w:p w:rsidR="000D1AE6" w:rsidRDefault="000D1AE6" w:rsidP="00192830">
            <w:pPr>
              <w:pStyle w:val="NormalWeb"/>
              <w:jc w:val="center"/>
            </w:pPr>
            <w:r>
              <w:t>COTAÇÕES</w:t>
            </w:r>
          </w:p>
        </w:tc>
        <w:tc>
          <w:tcPr>
            <w:tcW w:w="1472" w:type="dxa"/>
          </w:tcPr>
          <w:p w:rsidR="000D1AE6" w:rsidRDefault="000D1AE6" w:rsidP="00192830">
            <w:pPr>
              <w:pStyle w:val="NormalWeb"/>
              <w:jc w:val="center"/>
            </w:pPr>
            <w:r>
              <w:t>Preço Médio</w:t>
            </w:r>
          </w:p>
        </w:tc>
      </w:tr>
      <w:tr w:rsidR="00EC42A4" w:rsidTr="00192830">
        <w:tc>
          <w:tcPr>
            <w:tcW w:w="1309" w:type="dxa"/>
          </w:tcPr>
          <w:p w:rsidR="000D1AE6" w:rsidRDefault="000D1AE6" w:rsidP="00192830">
            <w:pPr>
              <w:pStyle w:val="NormalWeb"/>
            </w:pPr>
            <w:r>
              <w:t>Fornecedor</w:t>
            </w:r>
          </w:p>
        </w:tc>
        <w:tc>
          <w:tcPr>
            <w:tcW w:w="1101" w:type="dxa"/>
          </w:tcPr>
          <w:p w:rsidR="000D1AE6" w:rsidRDefault="00EC42A4" w:rsidP="00192830">
            <w:pPr>
              <w:pStyle w:val="NormalWeb"/>
              <w:jc w:val="center"/>
            </w:pPr>
            <w:r>
              <w:t>Arte e Estilo</w:t>
            </w:r>
          </w:p>
        </w:tc>
        <w:tc>
          <w:tcPr>
            <w:tcW w:w="1418" w:type="dxa"/>
          </w:tcPr>
          <w:p w:rsidR="000D1AE6" w:rsidRDefault="00EC42A4" w:rsidP="00192830">
            <w:pPr>
              <w:pStyle w:val="NormalWeb"/>
              <w:jc w:val="center"/>
            </w:pPr>
            <w:r>
              <w:t>Quadros Design</w:t>
            </w:r>
          </w:p>
        </w:tc>
        <w:tc>
          <w:tcPr>
            <w:tcW w:w="1275" w:type="dxa"/>
          </w:tcPr>
          <w:p w:rsidR="000D1AE6" w:rsidRDefault="00EC42A4" w:rsidP="00192830">
            <w:pPr>
              <w:pStyle w:val="NormalWeb"/>
              <w:jc w:val="center"/>
            </w:pPr>
            <w:proofErr w:type="spellStart"/>
            <w:r>
              <w:t>Souzart</w:t>
            </w:r>
            <w:proofErr w:type="spellEnd"/>
          </w:p>
        </w:tc>
        <w:tc>
          <w:tcPr>
            <w:tcW w:w="1560" w:type="dxa"/>
          </w:tcPr>
          <w:p w:rsidR="000D1AE6" w:rsidRDefault="00EC42A4" w:rsidP="00192830">
            <w:pPr>
              <w:pStyle w:val="NormalWeb"/>
              <w:jc w:val="center"/>
            </w:pPr>
            <w:r>
              <w:t>City Quadros</w:t>
            </w:r>
          </w:p>
        </w:tc>
        <w:tc>
          <w:tcPr>
            <w:tcW w:w="1275" w:type="dxa"/>
          </w:tcPr>
          <w:p w:rsidR="000D1AE6" w:rsidRDefault="000D1AE6" w:rsidP="00192830">
            <w:pPr>
              <w:pStyle w:val="NormalWeb"/>
              <w:jc w:val="center"/>
            </w:pPr>
          </w:p>
        </w:tc>
        <w:tc>
          <w:tcPr>
            <w:tcW w:w="1472" w:type="dxa"/>
          </w:tcPr>
          <w:p w:rsidR="000D1AE6" w:rsidRDefault="000D1AE6" w:rsidP="00192830">
            <w:pPr>
              <w:pStyle w:val="NormalWeb"/>
              <w:jc w:val="center"/>
            </w:pPr>
          </w:p>
        </w:tc>
      </w:tr>
      <w:tr w:rsidR="00EC42A4" w:rsidTr="00192830">
        <w:tc>
          <w:tcPr>
            <w:tcW w:w="1309" w:type="dxa"/>
          </w:tcPr>
          <w:p w:rsidR="000D1AE6" w:rsidRDefault="000D1AE6" w:rsidP="00192830">
            <w:pPr>
              <w:pStyle w:val="NormalWeb"/>
            </w:pPr>
            <w:r>
              <w:t xml:space="preserve">Item </w:t>
            </w:r>
            <w:proofErr w:type="gramStart"/>
            <w:r>
              <w:t>8</w:t>
            </w:r>
            <w:proofErr w:type="gramEnd"/>
          </w:p>
        </w:tc>
        <w:tc>
          <w:tcPr>
            <w:tcW w:w="1101" w:type="dxa"/>
          </w:tcPr>
          <w:p w:rsidR="000D1AE6" w:rsidRDefault="00EC42A4" w:rsidP="00192830">
            <w:pPr>
              <w:pStyle w:val="NormalWeb"/>
              <w:jc w:val="center"/>
            </w:pPr>
            <w:r>
              <w:t>39,60</w:t>
            </w:r>
          </w:p>
        </w:tc>
        <w:tc>
          <w:tcPr>
            <w:tcW w:w="1418" w:type="dxa"/>
          </w:tcPr>
          <w:p w:rsidR="000D1AE6" w:rsidRDefault="00EC42A4" w:rsidP="00192830">
            <w:pPr>
              <w:pStyle w:val="NormalWeb"/>
              <w:jc w:val="center"/>
            </w:pPr>
            <w:r>
              <w:t>50,00</w:t>
            </w:r>
          </w:p>
        </w:tc>
        <w:tc>
          <w:tcPr>
            <w:tcW w:w="1275" w:type="dxa"/>
          </w:tcPr>
          <w:p w:rsidR="000D1AE6" w:rsidRDefault="00EC42A4" w:rsidP="00192830">
            <w:pPr>
              <w:pStyle w:val="NormalWeb"/>
              <w:jc w:val="center"/>
            </w:pPr>
            <w:r>
              <w:t>34,00</w:t>
            </w:r>
          </w:p>
        </w:tc>
        <w:tc>
          <w:tcPr>
            <w:tcW w:w="1560" w:type="dxa"/>
          </w:tcPr>
          <w:p w:rsidR="000D1AE6" w:rsidRDefault="00EC42A4" w:rsidP="00192830">
            <w:pPr>
              <w:pStyle w:val="NormalWeb"/>
              <w:jc w:val="center"/>
            </w:pPr>
            <w:r>
              <w:t>69,00</w:t>
            </w:r>
          </w:p>
        </w:tc>
        <w:tc>
          <w:tcPr>
            <w:tcW w:w="1275" w:type="dxa"/>
          </w:tcPr>
          <w:p w:rsidR="000D1AE6" w:rsidRDefault="000D1AE6" w:rsidP="00192830">
            <w:pPr>
              <w:pStyle w:val="NormalWeb"/>
              <w:jc w:val="center"/>
            </w:pPr>
          </w:p>
        </w:tc>
        <w:tc>
          <w:tcPr>
            <w:tcW w:w="1472" w:type="dxa"/>
          </w:tcPr>
          <w:p w:rsidR="000D1AE6" w:rsidRDefault="00EC42A4" w:rsidP="00192830">
            <w:pPr>
              <w:pStyle w:val="NormalWeb"/>
              <w:jc w:val="center"/>
            </w:pPr>
            <w:r>
              <w:t>48,15</w:t>
            </w:r>
          </w:p>
        </w:tc>
      </w:tr>
      <w:tr w:rsidR="00192830" w:rsidTr="00192830">
        <w:tc>
          <w:tcPr>
            <w:tcW w:w="1309" w:type="dxa"/>
          </w:tcPr>
          <w:p w:rsidR="00EC42A4" w:rsidRDefault="00EC42A4" w:rsidP="00192830">
            <w:pPr>
              <w:pStyle w:val="NormalWeb"/>
            </w:pPr>
            <w:r>
              <w:t>Fornecedor</w:t>
            </w:r>
          </w:p>
        </w:tc>
        <w:tc>
          <w:tcPr>
            <w:tcW w:w="1101" w:type="dxa"/>
          </w:tcPr>
          <w:p w:rsidR="00EC42A4" w:rsidRDefault="00EC42A4" w:rsidP="00192830">
            <w:pPr>
              <w:pStyle w:val="NormalWeb"/>
              <w:jc w:val="center"/>
            </w:pPr>
            <w:r>
              <w:t>Kalunga</w:t>
            </w:r>
          </w:p>
        </w:tc>
        <w:tc>
          <w:tcPr>
            <w:tcW w:w="1418" w:type="dxa"/>
          </w:tcPr>
          <w:p w:rsidR="00EC42A4" w:rsidRDefault="00EC42A4" w:rsidP="00192830">
            <w:pPr>
              <w:pStyle w:val="NormalWeb"/>
              <w:jc w:val="center"/>
            </w:pPr>
            <w:r>
              <w:t>Americanas</w:t>
            </w:r>
          </w:p>
        </w:tc>
        <w:tc>
          <w:tcPr>
            <w:tcW w:w="1275" w:type="dxa"/>
          </w:tcPr>
          <w:p w:rsidR="00EC42A4" w:rsidRDefault="00EC42A4" w:rsidP="00192830">
            <w:pPr>
              <w:pStyle w:val="NormalWeb"/>
              <w:jc w:val="center"/>
            </w:pPr>
            <w:r>
              <w:t>Submarino</w:t>
            </w:r>
          </w:p>
        </w:tc>
        <w:tc>
          <w:tcPr>
            <w:tcW w:w="1560" w:type="dxa"/>
          </w:tcPr>
          <w:p w:rsidR="00EC42A4" w:rsidRDefault="00EC42A4" w:rsidP="00192830">
            <w:pPr>
              <w:pStyle w:val="NormalWeb"/>
              <w:jc w:val="center"/>
            </w:pPr>
            <w:proofErr w:type="spellStart"/>
            <w:r>
              <w:t>Gimba</w:t>
            </w:r>
            <w:proofErr w:type="spellEnd"/>
          </w:p>
        </w:tc>
        <w:tc>
          <w:tcPr>
            <w:tcW w:w="1275" w:type="dxa"/>
          </w:tcPr>
          <w:p w:rsidR="00EC42A4" w:rsidRDefault="00EC42A4" w:rsidP="00192830">
            <w:pPr>
              <w:pStyle w:val="NormalWeb"/>
              <w:jc w:val="center"/>
            </w:pPr>
            <w:proofErr w:type="spellStart"/>
            <w:r>
              <w:t>Tecvisual</w:t>
            </w:r>
            <w:proofErr w:type="spellEnd"/>
          </w:p>
        </w:tc>
        <w:tc>
          <w:tcPr>
            <w:tcW w:w="1472" w:type="dxa"/>
          </w:tcPr>
          <w:p w:rsidR="00EC42A4" w:rsidRDefault="00EC42A4" w:rsidP="00192830">
            <w:pPr>
              <w:pStyle w:val="NormalWeb"/>
              <w:jc w:val="center"/>
            </w:pPr>
          </w:p>
        </w:tc>
      </w:tr>
      <w:tr w:rsidR="00EC42A4" w:rsidTr="00192830">
        <w:tc>
          <w:tcPr>
            <w:tcW w:w="1309" w:type="dxa"/>
          </w:tcPr>
          <w:p w:rsidR="000D1AE6" w:rsidRDefault="000D1AE6" w:rsidP="00192830">
            <w:pPr>
              <w:pStyle w:val="NormalWeb"/>
            </w:pPr>
            <w:r>
              <w:t xml:space="preserve">Item </w:t>
            </w:r>
            <w:proofErr w:type="gramStart"/>
            <w:r>
              <w:t>9</w:t>
            </w:r>
            <w:proofErr w:type="gramEnd"/>
          </w:p>
        </w:tc>
        <w:tc>
          <w:tcPr>
            <w:tcW w:w="1101" w:type="dxa"/>
          </w:tcPr>
          <w:p w:rsidR="000D1AE6" w:rsidRDefault="00EC42A4" w:rsidP="00192830">
            <w:pPr>
              <w:pStyle w:val="NormalWeb"/>
              <w:jc w:val="center"/>
            </w:pPr>
            <w:r>
              <w:t>499,00</w:t>
            </w:r>
          </w:p>
        </w:tc>
        <w:tc>
          <w:tcPr>
            <w:tcW w:w="1418" w:type="dxa"/>
          </w:tcPr>
          <w:p w:rsidR="000D1AE6" w:rsidRDefault="00EC42A4" w:rsidP="00192830">
            <w:pPr>
              <w:pStyle w:val="NormalWeb"/>
              <w:jc w:val="center"/>
            </w:pPr>
            <w:r>
              <w:t>449,91</w:t>
            </w:r>
          </w:p>
        </w:tc>
        <w:tc>
          <w:tcPr>
            <w:tcW w:w="1275" w:type="dxa"/>
          </w:tcPr>
          <w:p w:rsidR="000D1AE6" w:rsidRDefault="00EC42A4" w:rsidP="00192830">
            <w:pPr>
              <w:pStyle w:val="NormalWeb"/>
              <w:jc w:val="center"/>
            </w:pPr>
            <w:r>
              <w:t>427,41</w:t>
            </w:r>
          </w:p>
        </w:tc>
        <w:tc>
          <w:tcPr>
            <w:tcW w:w="1560" w:type="dxa"/>
          </w:tcPr>
          <w:p w:rsidR="000D1AE6" w:rsidRDefault="00EC42A4" w:rsidP="00192830">
            <w:pPr>
              <w:pStyle w:val="NormalWeb"/>
              <w:jc w:val="center"/>
            </w:pPr>
            <w:r>
              <w:t>339,77</w:t>
            </w:r>
          </w:p>
        </w:tc>
        <w:tc>
          <w:tcPr>
            <w:tcW w:w="1275" w:type="dxa"/>
          </w:tcPr>
          <w:p w:rsidR="000D1AE6" w:rsidRDefault="00EC42A4" w:rsidP="00192830">
            <w:pPr>
              <w:pStyle w:val="NormalWeb"/>
              <w:jc w:val="center"/>
            </w:pPr>
            <w:r>
              <w:t>319,00</w:t>
            </w:r>
          </w:p>
        </w:tc>
        <w:tc>
          <w:tcPr>
            <w:tcW w:w="1472" w:type="dxa"/>
          </w:tcPr>
          <w:p w:rsidR="000D1AE6" w:rsidRDefault="00EC42A4" w:rsidP="00192830">
            <w:pPr>
              <w:pStyle w:val="NormalWeb"/>
              <w:jc w:val="center"/>
            </w:pPr>
            <w:r>
              <w:t>407,02</w:t>
            </w:r>
          </w:p>
        </w:tc>
      </w:tr>
    </w:tbl>
    <w:p w:rsidR="000D1AE6" w:rsidRDefault="00F715FF" w:rsidP="00192830">
      <w:pPr>
        <w:pStyle w:val="NormalWeb"/>
        <w:spacing w:before="0" w:beforeAutospacing="0" w:after="0" w:afterAutospacing="0"/>
        <w:jc w:val="both"/>
      </w:pPr>
      <w:r>
        <w:t xml:space="preserve"> </w:t>
      </w:r>
      <w:r w:rsidR="00467B77">
        <w:t xml:space="preserve"> </w:t>
      </w:r>
    </w:p>
    <w:p w:rsidR="008A3747" w:rsidRPr="00B91BCC" w:rsidRDefault="008A3747" w:rsidP="00192830">
      <w:pPr>
        <w:pStyle w:val="NormalWeb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tbl>
      <w:tblPr>
        <w:tblStyle w:val="Tabelacomgrade"/>
        <w:tblW w:w="9464" w:type="dxa"/>
        <w:tblInd w:w="108" w:type="dxa"/>
        <w:tblLook w:val="04A0" w:firstRow="1" w:lastRow="0" w:firstColumn="1" w:lastColumn="0" w:noHBand="0" w:noVBand="1"/>
      </w:tblPr>
      <w:tblGrid>
        <w:gridCol w:w="1309"/>
        <w:gridCol w:w="1810"/>
        <w:gridCol w:w="1701"/>
        <w:gridCol w:w="1701"/>
        <w:gridCol w:w="1384"/>
        <w:gridCol w:w="1559"/>
      </w:tblGrid>
      <w:tr w:rsidR="00785A2E" w:rsidTr="00192830">
        <w:tc>
          <w:tcPr>
            <w:tcW w:w="1309" w:type="dxa"/>
          </w:tcPr>
          <w:p w:rsidR="00785A2E" w:rsidRDefault="00785A2E" w:rsidP="009308FE">
            <w:pPr>
              <w:pStyle w:val="NormalWeb"/>
              <w:jc w:val="both"/>
            </w:pPr>
          </w:p>
        </w:tc>
        <w:tc>
          <w:tcPr>
            <w:tcW w:w="6596" w:type="dxa"/>
            <w:gridSpan w:val="4"/>
          </w:tcPr>
          <w:p w:rsidR="00785A2E" w:rsidRDefault="00785A2E" w:rsidP="000D1AE6">
            <w:pPr>
              <w:pStyle w:val="NormalWeb"/>
              <w:jc w:val="center"/>
            </w:pPr>
            <w:r>
              <w:t>LICITAÇÃO</w:t>
            </w:r>
          </w:p>
        </w:tc>
        <w:tc>
          <w:tcPr>
            <w:tcW w:w="1559" w:type="dxa"/>
          </w:tcPr>
          <w:p w:rsidR="00785A2E" w:rsidRDefault="00785A2E" w:rsidP="000D1AE6">
            <w:pPr>
              <w:pStyle w:val="NormalWeb"/>
              <w:jc w:val="center"/>
            </w:pPr>
            <w:r>
              <w:t>Preço Médio</w:t>
            </w:r>
          </w:p>
        </w:tc>
      </w:tr>
      <w:tr w:rsidR="00785A2E" w:rsidTr="00192830">
        <w:tc>
          <w:tcPr>
            <w:tcW w:w="1309" w:type="dxa"/>
          </w:tcPr>
          <w:p w:rsidR="00785A2E" w:rsidRDefault="00785A2E" w:rsidP="00192830">
            <w:pPr>
              <w:pStyle w:val="NormalWeb"/>
            </w:pPr>
            <w:r>
              <w:t>Fornecedor</w:t>
            </w:r>
          </w:p>
        </w:tc>
        <w:tc>
          <w:tcPr>
            <w:tcW w:w="1810" w:type="dxa"/>
          </w:tcPr>
          <w:p w:rsidR="00785A2E" w:rsidRDefault="00785A2E" w:rsidP="000D1AE6">
            <w:pPr>
              <w:pStyle w:val="NormalWeb"/>
              <w:jc w:val="center"/>
            </w:pPr>
            <w:proofErr w:type="spellStart"/>
            <w:r>
              <w:t>Multi</w:t>
            </w:r>
            <w:proofErr w:type="spellEnd"/>
            <w:r>
              <w:t xml:space="preserve"> Quadros</w:t>
            </w:r>
          </w:p>
        </w:tc>
        <w:tc>
          <w:tcPr>
            <w:tcW w:w="1701" w:type="dxa"/>
          </w:tcPr>
          <w:p w:rsidR="00785A2E" w:rsidRDefault="00785A2E" w:rsidP="000D1AE6">
            <w:pPr>
              <w:pStyle w:val="NormalWeb"/>
              <w:jc w:val="center"/>
            </w:pPr>
            <w:proofErr w:type="spellStart"/>
            <w:r>
              <w:t>Criarte</w:t>
            </w:r>
            <w:proofErr w:type="spellEnd"/>
          </w:p>
        </w:tc>
        <w:tc>
          <w:tcPr>
            <w:tcW w:w="1701" w:type="dxa"/>
          </w:tcPr>
          <w:p w:rsidR="00785A2E" w:rsidRDefault="00785A2E" w:rsidP="000D1AE6">
            <w:pPr>
              <w:pStyle w:val="NormalWeb"/>
              <w:jc w:val="center"/>
            </w:pPr>
            <w:proofErr w:type="gramStart"/>
            <w:r>
              <w:t>2F</w:t>
            </w:r>
            <w:proofErr w:type="gramEnd"/>
            <w:r>
              <w:t xml:space="preserve"> &amp; S</w:t>
            </w:r>
          </w:p>
        </w:tc>
        <w:tc>
          <w:tcPr>
            <w:tcW w:w="1384" w:type="dxa"/>
          </w:tcPr>
          <w:p w:rsidR="00785A2E" w:rsidRDefault="00785A2E" w:rsidP="000D1AE6">
            <w:pPr>
              <w:pStyle w:val="NormalWeb"/>
              <w:jc w:val="center"/>
            </w:pPr>
          </w:p>
        </w:tc>
        <w:tc>
          <w:tcPr>
            <w:tcW w:w="1559" w:type="dxa"/>
          </w:tcPr>
          <w:p w:rsidR="00785A2E" w:rsidRDefault="00785A2E" w:rsidP="000D1AE6">
            <w:pPr>
              <w:pStyle w:val="NormalWeb"/>
              <w:jc w:val="center"/>
            </w:pPr>
          </w:p>
        </w:tc>
      </w:tr>
      <w:tr w:rsidR="00785A2E" w:rsidTr="00192830">
        <w:tc>
          <w:tcPr>
            <w:tcW w:w="1309" w:type="dxa"/>
          </w:tcPr>
          <w:p w:rsidR="00785A2E" w:rsidRDefault="00785A2E" w:rsidP="00192830">
            <w:pPr>
              <w:pStyle w:val="NormalWeb"/>
              <w:spacing w:before="0" w:beforeAutospacing="0" w:after="0" w:afterAutospacing="0"/>
            </w:pPr>
            <w:r>
              <w:t xml:space="preserve">Item </w:t>
            </w:r>
            <w:proofErr w:type="gramStart"/>
            <w:r>
              <w:t>8</w:t>
            </w:r>
            <w:proofErr w:type="gramEnd"/>
          </w:p>
        </w:tc>
        <w:tc>
          <w:tcPr>
            <w:tcW w:w="1810" w:type="dxa"/>
          </w:tcPr>
          <w:p w:rsidR="00785A2E" w:rsidRDefault="00785A2E" w:rsidP="00EC42A4">
            <w:pPr>
              <w:pStyle w:val="NormalWeb"/>
              <w:spacing w:before="0" w:beforeAutospacing="0" w:after="0" w:afterAutospacing="0"/>
              <w:jc w:val="center"/>
            </w:pPr>
            <w:r>
              <w:t>900,00</w:t>
            </w:r>
          </w:p>
        </w:tc>
        <w:tc>
          <w:tcPr>
            <w:tcW w:w="1701" w:type="dxa"/>
          </w:tcPr>
          <w:p w:rsidR="00785A2E" w:rsidRDefault="00785A2E" w:rsidP="00EC42A4">
            <w:pPr>
              <w:pStyle w:val="NormalWeb"/>
              <w:spacing w:before="0" w:beforeAutospacing="0" w:after="0" w:afterAutospacing="0"/>
              <w:jc w:val="center"/>
            </w:pPr>
            <w:r>
              <w:t>400,00</w:t>
            </w:r>
          </w:p>
        </w:tc>
        <w:tc>
          <w:tcPr>
            <w:tcW w:w="1701" w:type="dxa"/>
          </w:tcPr>
          <w:p w:rsidR="00785A2E" w:rsidRDefault="00785A2E" w:rsidP="00EC42A4">
            <w:pPr>
              <w:pStyle w:val="NormalWeb"/>
              <w:spacing w:before="0" w:beforeAutospacing="0" w:after="0" w:afterAutospacing="0"/>
              <w:jc w:val="center"/>
            </w:pPr>
            <w:r>
              <w:t>399,00</w:t>
            </w:r>
          </w:p>
        </w:tc>
        <w:tc>
          <w:tcPr>
            <w:tcW w:w="1384" w:type="dxa"/>
          </w:tcPr>
          <w:p w:rsidR="00785A2E" w:rsidRDefault="00785A2E" w:rsidP="00785A2E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:rsidR="00785A2E" w:rsidRDefault="00785A2E" w:rsidP="00785A2E">
            <w:pPr>
              <w:pStyle w:val="NormalWeb"/>
              <w:spacing w:before="0" w:beforeAutospacing="0" w:after="0" w:afterAutospacing="0"/>
              <w:jc w:val="center"/>
            </w:pPr>
            <w:r>
              <w:t>566,33</w:t>
            </w:r>
          </w:p>
        </w:tc>
      </w:tr>
      <w:tr w:rsidR="00EC42A4" w:rsidTr="00192830">
        <w:tc>
          <w:tcPr>
            <w:tcW w:w="1309" w:type="dxa"/>
          </w:tcPr>
          <w:p w:rsidR="00EC42A4" w:rsidRDefault="00EC42A4" w:rsidP="00192830">
            <w:pPr>
              <w:pStyle w:val="NormalWeb"/>
            </w:pPr>
            <w:r>
              <w:t>Fornecedor</w:t>
            </w:r>
          </w:p>
        </w:tc>
        <w:tc>
          <w:tcPr>
            <w:tcW w:w="1810" w:type="dxa"/>
          </w:tcPr>
          <w:p w:rsidR="00EC42A4" w:rsidRDefault="00EC42A4" w:rsidP="009308FE">
            <w:pPr>
              <w:pStyle w:val="NormalWeb"/>
              <w:jc w:val="center"/>
            </w:pPr>
            <w:proofErr w:type="spellStart"/>
            <w:r>
              <w:t>Multi</w:t>
            </w:r>
            <w:proofErr w:type="spellEnd"/>
            <w:r>
              <w:t xml:space="preserve"> Quadros</w:t>
            </w:r>
          </w:p>
        </w:tc>
        <w:tc>
          <w:tcPr>
            <w:tcW w:w="1701" w:type="dxa"/>
          </w:tcPr>
          <w:p w:rsidR="00EC42A4" w:rsidRDefault="00EC42A4" w:rsidP="009308FE">
            <w:pPr>
              <w:pStyle w:val="NormalWeb"/>
              <w:jc w:val="center"/>
            </w:pPr>
            <w:proofErr w:type="spellStart"/>
            <w:r>
              <w:t>Criarte</w:t>
            </w:r>
            <w:proofErr w:type="spellEnd"/>
          </w:p>
        </w:tc>
        <w:tc>
          <w:tcPr>
            <w:tcW w:w="1701" w:type="dxa"/>
          </w:tcPr>
          <w:p w:rsidR="00EC42A4" w:rsidRDefault="00EC42A4" w:rsidP="009308FE">
            <w:pPr>
              <w:pStyle w:val="NormalWeb"/>
              <w:jc w:val="center"/>
            </w:pPr>
            <w:proofErr w:type="gramStart"/>
            <w:r>
              <w:t>2F</w:t>
            </w:r>
            <w:proofErr w:type="gramEnd"/>
            <w:r>
              <w:t xml:space="preserve"> &amp; S</w:t>
            </w:r>
          </w:p>
        </w:tc>
        <w:tc>
          <w:tcPr>
            <w:tcW w:w="1384" w:type="dxa"/>
          </w:tcPr>
          <w:p w:rsidR="00EC42A4" w:rsidRDefault="00EC42A4" w:rsidP="009308FE">
            <w:pPr>
              <w:pStyle w:val="NormalWeb"/>
              <w:jc w:val="center"/>
            </w:pPr>
            <w:r>
              <w:t>Adonai</w:t>
            </w:r>
          </w:p>
        </w:tc>
        <w:tc>
          <w:tcPr>
            <w:tcW w:w="1559" w:type="dxa"/>
          </w:tcPr>
          <w:p w:rsidR="00EC42A4" w:rsidRDefault="00EC42A4" w:rsidP="00785A2E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785A2E" w:rsidTr="00192830">
        <w:tc>
          <w:tcPr>
            <w:tcW w:w="1309" w:type="dxa"/>
          </w:tcPr>
          <w:p w:rsidR="00785A2E" w:rsidRDefault="00785A2E" w:rsidP="00192830">
            <w:pPr>
              <w:pStyle w:val="NormalWeb"/>
              <w:spacing w:before="0" w:beforeAutospacing="0" w:after="0" w:afterAutospacing="0"/>
            </w:pPr>
            <w:r>
              <w:t xml:space="preserve">Item </w:t>
            </w:r>
            <w:proofErr w:type="gramStart"/>
            <w:r>
              <w:t>9</w:t>
            </w:r>
            <w:proofErr w:type="gramEnd"/>
          </w:p>
        </w:tc>
        <w:tc>
          <w:tcPr>
            <w:tcW w:w="1810" w:type="dxa"/>
          </w:tcPr>
          <w:p w:rsidR="00785A2E" w:rsidRDefault="00785A2E" w:rsidP="00EC42A4">
            <w:pPr>
              <w:pStyle w:val="NormalWeb"/>
              <w:spacing w:before="0" w:beforeAutospacing="0" w:after="0" w:afterAutospacing="0"/>
              <w:jc w:val="center"/>
            </w:pPr>
            <w:r>
              <w:t>2.500,00</w:t>
            </w:r>
          </w:p>
        </w:tc>
        <w:tc>
          <w:tcPr>
            <w:tcW w:w="1701" w:type="dxa"/>
          </w:tcPr>
          <w:p w:rsidR="00785A2E" w:rsidRDefault="00785A2E" w:rsidP="00EC42A4">
            <w:pPr>
              <w:pStyle w:val="NormalWeb"/>
              <w:spacing w:before="0" w:beforeAutospacing="0" w:after="0" w:afterAutospacing="0"/>
              <w:jc w:val="center"/>
            </w:pPr>
            <w:r>
              <w:t>2.499,00</w:t>
            </w:r>
          </w:p>
        </w:tc>
        <w:tc>
          <w:tcPr>
            <w:tcW w:w="1701" w:type="dxa"/>
          </w:tcPr>
          <w:p w:rsidR="00785A2E" w:rsidRDefault="00785A2E" w:rsidP="00EC42A4">
            <w:pPr>
              <w:pStyle w:val="NormalWeb"/>
              <w:spacing w:before="0" w:beforeAutospacing="0" w:after="0" w:afterAutospacing="0"/>
              <w:jc w:val="center"/>
            </w:pPr>
            <w:r>
              <w:t>1.000,00</w:t>
            </w:r>
          </w:p>
        </w:tc>
        <w:tc>
          <w:tcPr>
            <w:tcW w:w="1384" w:type="dxa"/>
          </w:tcPr>
          <w:p w:rsidR="00785A2E" w:rsidRDefault="00785A2E" w:rsidP="00EC42A4">
            <w:pPr>
              <w:pStyle w:val="NormalWeb"/>
              <w:spacing w:before="0" w:beforeAutospacing="0" w:after="0" w:afterAutospacing="0"/>
              <w:jc w:val="center"/>
            </w:pPr>
            <w:r>
              <w:t>950,00</w:t>
            </w:r>
          </w:p>
        </w:tc>
        <w:tc>
          <w:tcPr>
            <w:tcW w:w="1559" w:type="dxa"/>
          </w:tcPr>
          <w:p w:rsidR="00785A2E" w:rsidRDefault="00785A2E" w:rsidP="00785A2E">
            <w:pPr>
              <w:pStyle w:val="NormalWeb"/>
              <w:spacing w:before="0" w:beforeAutospacing="0" w:after="0" w:afterAutospacing="0"/>
              <w:jc w:val="center"/>
            </w:pPr>
            <w:r>
              <w:t>1.737,25</w:t>
            </w:r>
          </w:p>
        </w:tc>
      </w:tr>
    </w:tbl>
    <w:p w:rsidR="00467B77" w:rsidRDefault="00467B77" w:rsidP="00785A2E">
      <w:pPr>
        <w:pStyle w:val="NormalWeb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8A3747" w:rsidRDefault="008A3747" w:rsidP="00872AB5">
      <w:pPr>
        <w:spacing w:after="0"/>
        <w:jc w:val="both"/>
        <w:rPr>
          <w:b/>
          <w:sz w:val="24"/>
          <w:szCs w:val="24"/>
        </w:rPr>
      </w:pPr>
    </w:p>
    <w:p w:rsidR="00BE488E" w:rsidRPr="00872AB5" w:rsidRDefault="00872AB5" w:rsidP="00872AB5">
      <w:pPr>
        <w:spacing w:after="0"/>
        <w:jc w:val="both"/>
        <w:rPr>
          <w:b/>
          <w:sz w:val="24"/>
          <w:szCs w:val="24"/>
        </w:rPr>
      </w:pPr>
      <w:proofErr w:type="gramStart"/>
      <w:r w:rsidRPr="00872AB5">
        <w:rPr>
          <w:b/>
          <w:sz w:val="24"/>
          <w:szCs w:val="24"/>
        </w:rPr>
        <w:lastRenderedPageBreak/>
        <w:t>III.</w:t>
      </w:r>
      <w:proofErr w:type="gramEnd"/>
      <w:r w:rsidRPr="00872AB5">
        <w:rPr>
          <w:b/>
          <w:sz w:val="24"/>
          <w:szCs w:val="24"/>
        </w:rPr>
        <w:t xml:space="preserve">3. Situações comuns aos </w:t>
      </w:r>
      <w:proofErr w:type="spellStart"/>
      <w:r w:rsidRPr="00872AB5">
        <w:rPr>
          <w:b/>
          <w:sz w:val="24"/>
          <w:szCs w:val="24"/>
        </w:rPr>
        <w:t>PAD’s</w:t>
      </w:r>
      <w:proofErr w:type="spellEnd"/>
      <w:r w:rsidRPr="00872AB5">
        <w:rPr>
          <w:b/>
          <w:sz w:val="24"/>
          <w:szCs w:val="24"/>
        </w:rPr>
        <w:t xml:space="preserve"> 697/2015</w:t>
      </w:r>
      <w:r w:rsidR="008C221D" w:rsidRPr="008C221D">
        <w:t xml:space="preserve"> </w:t>
      </w:r>
      <w:r w:rsidR="008C221D">
        <w:t>(</w:t>
      </w:r>
      <w:r w:rsidR="008C221D" w:rsidRPr="008C221D">
        <w:rPr>
          <w:b/>
          <w:sz w:val="24"/>
          <w:szCs w:val="24"/>
        </w:rPr>
        <w:t>Pregão nº. 14/2015 – Registro de Preços para Eventual Aquisição de Mobiliário Geral</w:t>
      </w:r>
      <w:r w:rsidR="008C221D">
        <w:rPr>
          <w:b/>
          <w:sz w:val="24"/>
          <w:szCs w:val="24"/>
        </w:rPr>
        <w:t>)</w:t>
      </w:r>
      <w:r w:rsidRPr="00872AB5">
        <w:rPr>
          <w:b/>
          <w:sz w:val="24"/>
          <w:szCs w:val="24"/>
        </w:rPr>
        <w:t xml:space="preserve"> e 423/2015 (Pregão nº. 11/2015</w:t>
      </w:r>
      <w:r>
        <w:rPr>
          <w:b/>
          <w:sz w:val="24"/>
          <w:szCs w:val="24"/>
        </w:rPr>
        <w:t xml:space="preserve"> -</w:t>
      </w:r>
      <w:r w:rsidRPr="00872A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Registro de Preços para Eventual Aquisição de Material Elétrico</w:t>
      </w:r>
      <w:proofErr w:type="gramStart"/>
      <w:r>
        <w:rPr>
          <w:b/>
          <w:sz w:val="24"/>
          <w:szCs w:val="24"/>
        </w:rPr>
        <w:t>)</w:t>
      </w:r>
      <w:proofErr w:type="gramEnd"/>
      <w:r>
        <w:rPr>
          <w:b/>
          <w:sz w:val="24"/>
          <w:szCs w:val="24"/>
        </w:rPr>
        <w:t xml:space="preserve"> </w:t>
      </w:r>
    </w:p>
    <w:p w:rsidR="00872AB5" w:rsidRDefault="00872AB5" w:rsidP="00872AB5">
      <w:pPr>
        <w:spacing w:after="0"/>
        <w:jc w:val="both"/>
        <w:rPr>
          <w:sz w:val="24"/>
          <w:szCs w:val="24"/>
        </w:rPr>
      </w:pPr>
    </w:p>
    <w:p w:rsidR="002B7C78" w:rsidRDefault="00192910" w:rsidP="002B7C78">
      <w:pPr>
        <w:pStyle w:val="PargrafodaLista"/>
        <w:spacing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a) Em ambos os pregões</w:t>
      </w:r>
      <w:r w:rsidR="008A3747">
        <w:rPr>
          <w:sz w:val="24"/>
          <w:szCs w:val="24"/>
        </w:rPr>
        <w:t>,</w:t>
      </w:r>
      <w:r>
        <w:rPr>
          <w:sz w:val="24"/>
          <w:szCs w:val="24"/>
        </w:rPr>
        <w:t xml:space="preserve"> deixou de ser observada a cota de até 25% (vinte e cinco por cento) do objeto para contratação de microempresas ou empresas de pequeno porte</w:t>
      </w:r>
      <w:r w:rsidR="000237A8">
        <w:rPr>
          <w:sz w:val="24"/>
          <w:szCs w:val="24"/>
        </w:rPr>
        <w:t xml:space="preserve">, conforme </w:t>
      </w:r>
      <w:r w:rsidR="005856E7">
        <w:rPr>
          <w:sz w:val="24"/>
          <w:szCs w:val="24"/>
        </w:rPr>
        <w:t>prescreve</w:t>
      </w:r>
      <w:r w:rsidR="000237A8">
        <w:rPr>
          <w:sz w:val="24"/>
          <w:szCs w:val="24"/>
        </w:rPr>
        <w:t xml:space="preserve"> o art. 48, III, da Lei Complementar nº. 123/2006</w:t>
      </w:r>
      <w:r w:rsidR="008A3747">
        <w:rPr>
          <w:rStyle w:val="Refdenotaderodap"/>
          <w:sz w:val="24"/>
          <w:szCs w:val="24"/>
        </w:rPr>
        <w:footnoteReference w:id="2"/>
      </w:r>
      <w:r w:rsidRPr="002B7C78">
        <w:rPr>
          <w:sz w:val="24"/>
          <w:szCs w:val="24"/>
        </w:rPr>
        <w:t>.</w:t>
      </w:r>
    </w:p>
    <w:p w:rsidR="002B7C78" w:rsidRDefault="002B7C78" w:rsidP="002B7C78">
      <w:pPr>
        <w:pStyle w:val="PargrafodaLista"/>
        <w:spacing w:after="0"/>
        <w:ind w:left="0" w:firstLine="851"/>
        <w:jc w:val="both"/>
        <w:rPr>
          <w:sz w:val="24"/>
          <w:szCs w:val="24"/>
        </w:rPr>
      </w:pPr>
    </w:p>
    <w:p w:rsidR="000365CF" w:rsidRDefault="002B7C78" w:rsidP="002B7C78">
      <w:pPr>
        <w:pStyle w:val="PargrafodaLista"/>
        <w:spacing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Esta situação foi</w:t>
      </w:r>
      <w:r w:rsidR="008A3747">
        <w:rPr>
          <w:sz w:val="24"/>
          <w:szCs w:val="24"/>
        </w:rPr>
        <w:t xml:space="preserve"> tratada como Achado </w:t>
      </w:r>
      <w:r w:rsidR="0054339D">
        <w:rPr>
          <w:sz w:val="24"/>
          <w:szCs w:val="24"/>
        </w:rPr>
        <w:t>n</w:t>
      </w:r>
      <w:r w:rsidR="008A3747">
        <w:rPr>
          <w:sz w:val="24"/>
          <w:szCs w:val="24"/>
        </w:rPr>
        <w:t xml:space="preserve">o Relatório de Fiscalização dos Procedimentos Licitatórios relativos ao Bimestre Janeiro/Fevereiro de 2015, </w:t>
      </w:r>
      <w:r w:rsidR="005856E7">
        <w:rPr>
          <w:sz w:val="24"/>
          <w:szCs w:val="24"/>
        </w:rPr>
        <w:t xml:space="preserve">já </w:t>
      </w:r>
      <w:r w:rsidR="008A3747">
        <w:rPr>
          <w:sz w:val="24"/>
          <w:szCs w:val="24"/>
        </w:rPr>
        <w:t>tendo a Administração adotado providências no sentido de adequar os editais, conforme se constata no PAD nº. 3481/2015 (Doc</w:t>
      </w:r>
      <w:r w:rsidR="00637B98">
        <w:rPr>
          <w:sz w:val="24"/>
          <w:szCs w:val="24"/>
        </w:rPr>
        <w:t>s</w:t>
      </w:r>
      <w:r w:rsidR="008A3747">
        <w:rPr>
          <w:sz w:val="24"/>
          <w:szCs w:val="24"/>
        </w:rPr>
        <w:t xml:space="preserve">. PAD </w:t>
      </w:r>
      <w:proofErr w:type="spellStart"/>
      <w:r w:rsidR="00637B98">
        <w:rPr>
          <w:sz w:val="24"/>
          <w:szCs w:val="24"/>
        </w:rPr>
        <w:t>nºs</w:t>
      </w:r>
      <w:proofErr w:type="spellEnd"/>
      <w:r w:rsidR="00637B98">
        <w:rPr>
          <w:sz w:val="24"/>
          <w:szCs w:val="24"/>
        </w:rPr>
        <w:t xml:space="preserve">. </w:t>
      </w:r>
      <w:r w:rsidR="008A3747">
        <w:rPr>
          <w:sz w:val="24"/>
          <w:szCs w:val="24"/>
        </w:rPr>
        <w:t>50047/2015, 52788/2015 e 50748/2015).</w:t>
      </w:r>
    </w:p>
    <w:p w:rsidR="000365CF" w:rsidRDefault="000365CF" w:rsidP="002B7C78">
      <w:pPr>
        <w:pStyle w:val="PargrafodaLista"/>
        <w:spacing w:after="0"/>
        <w:ind w:left="0" w:firstLine="851"/>
        <w:jc w:val="both"/>
        <w:rPr>
          <w:sz w:val="24"/>
          <w:szCs w:val="24"/>
        </w:rPr>
      </w:pPr>
    </w:p>
    <w:p w:rsidR="00950A8C" w:rsidRPr="002B7C78" w:rsidRDefault="000365CF" w:rsidP="002B7C78">
      <w:pPr>
        <w:pStyle w:val="PargrafodaLista"/>
        <w:spacing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 SEAGES foi ainda cientificada do teor dos Pareceres </w:t>
      </w:r>
      <w:proofErr w:type="spellStart"/>
      <w:r>
        <w:rPr>
          <w:sz w:val="24"/>
          <w:szCs w:val="24"/>
        </w:rPr>
        <w:t>nº</w:t>
      </w:r>
      <w:r w:rsidR="00637B98">
        <w:rPr>
          <w:sz w:val="24"/>
          <w:szCs w:val="24"/>
        </w:rPr>
        <w:t>s</w:t>
      </w:r>
      <w:proofErr w:type="spellEnd"/>
      <w:r>
        <w:rPr>
          <w:sz w:val="24"/>
          <w:szCs w:val="24"/>
        </w:rPr>
        <w:t xml:space="preserve">. 209/2015 (Doc. PAD </w:t>
      </w:r>
      <w:r w:rsidR="00637B98">
        <w:rPr>
          <w:sz w:val="24"/>
          <w:szCs w:val="24"/>
        </w:rPr>
        <w:t xml:space="preserve">nº. </w:t>
      </w:r>
      <w:r>
        <w:rPr>
          <w:sz w:val="24"/>
          <w:szCs w:val="24"/>
        </w:rPr>
        <w:t xml:space="preserve">76670/2015) e 220/2015 (Doc. PAD </w:t>
      </w:r>
      <w:r w:rsidR="00637B98">
        <w:rPr>
          <w:sz w:val="24"/>
          <w:szCs w:val="24"/>
        </w:rPr>
        <w:t xml:space="preserve">nº. </w:t>
      </w:r>
      <w:r>
        <w:rPr>
          <w:sz w:val="24"/>
          <w:szCs w:val="24"/>
        </w:rPr>
        <w:t>77194/2015)</w:t>
      </w:r>
      <w:r w:rsidR="00637B98">
        <w:rPr>
          <w:sz w:val="24"/>
          <w:szCs w:val="24"/>
        </w:rPr>
        <w:t xml:space="preserve">, os quais versavam sobre a restrição imposta pelo </w:t>
      </w:r>
      <w:proofErr w:type="spellStart"/>
      <w:r w:rsidR="00637B98">
        <w:rPr>
          <w:sz w:val="24"/>
          <w:szCs w:val="24"/>
        </w:rPr>
        <w:t>Comprasnet</w:t>
      </w:r>
      <w:proofErr w:type="spellEnd"/>
      <w:r w:rsidR="00637B98">
        <w:rPr>
          <w:sz w:val="24"/>
          <w:szCs w:val="24"/>
        </w:rPr>
        <w:t xml:space="preserve"> para a aplicação do dispositivo em tela para as licitações processadas pelo sistema de registro de preços. Saliente-se que, de acordo com os mencionados pronunciamentos da Assessoria Jurídica de Licitações e Contratos (ASJUR1), apesar das dificuldades técnicas, </w:t>
      </w:r>
      <w:r w:rsidR="0054339D">
        <w:rPr>
          <w:sz w:val="24"/>
          <w:szCs w:val="24"/>
        </w:rPr>
        <w:t>este Tribunal</w:t>
      </w:r>
      <w:r w:rsidR="00637B98">
        <w:rPr>
          <w:sz w:val="24"/>
          <w:szCs w:val="24"/>
        </w:rPr>
        <w:t xml:space="preserve"> vem cumprindo a determinação legal.   </w:t>
      </w:r>
      <w:r w:rsidR="008A3747">
        <w:rPr>
          <w:sz w:val="24"/>
          <w:szCs w:val="24"/>
        </w:rPr>
        <w:t xml:space="preserve">  </w:t>
      </w:r>
      <w:r w:rsidR="002B7C78">
        <w:rPr>
          <w:sz w:val="24"/>
          <w:szCs w:val="24"/>
        </w:rPr>
        <w:t xml:space="preserve"> </w:t>
      </w:r>
      <w:r w:rsidR="00192910" w:rsidRPr="002B7C78">
        <w:rPr>
          <w:sz w:val="24"/>
          <w:szCs w:val="24"/>
        </w:rPr>
        <w:t xml:space="preserve">  </w:t>
      </w:r>
    </w:p>
    <w:p w:rsidR="00BE488E" w:rsidRPr="00950A8C" w:rsidRDefault="00BE488E" w:rsidP="00950A8C">
      <w:pPr>
        <w:pStyle w:val="PargrafodaLista"/>
        <w:spacing w:after="0"/>
        <w:ind w:left="1211"/>
        <w:jc w:val="both"/>
        <w:rPr>
          <w:sz w:val="24"/>
          <w:szCs w:val="24"/>
        </w:rPr>
      </w:pPr>
      <w:r w:rsidRPr="00950A8C">
        <w:rPr>
          <w:sz w:val="24"/>
          <w:szCs w:val="24"/>
        </w:rPr>
        <w:t xml:space="preserve"> </w:t>
      </w:r>
    </w:p>
    <w:p w:rsidR="005856E7" w:rsidRDefault="005856E7" w:rsidP="00BE488E">
      <w:pPr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Importa esclarecer que o</w:t>
      </w:r>
      <w:r w:rsidR="0054339D">
        <w:rPr>
          <w:sz w:val="24"/>
          <w:szCs w:val="24"/>
        </w:rPr>
        <w:t>s pregões ora fiscalizados foram</w:t>
      </w:r>
      <w:r w:rsidR="008C221D">
        <w:rPr>
          <w:sz w:val="24"/>
          <w:szCs w:val="24"/>
        </w:rPr>
        <w:t xml:space="preserve"> realizados em momento anterior às adaptações dos instrumentos convocató</w:t>
      </w:r>
      <w:r>
        <w:rPr>
          <w:sz w:val="24"/>
          <w:szCs w:val="24"/>
        </w:rPr>
        <w:t>rios.</w:t>
      </w:r>
    </w:p>
    <w:p w:rsidR="005856E7" w:rsidRDefault="005856E7" w:rsidP="00BE488E">
      <w:pPr>
        <w:spacing w:after="0"/>
        <w:ind w:firstLine="851"/>
        <w:jc w:val="both"/>
        <w:rPr>
          <w:sz w:val="24"/>
          <w:szCs w:val="24"/>
        </w:rPr>
      </w:pPr>
    </w:p>
    <w:p w:rsidR="008407DB" w:rsidRDefault="005856E7" w:rsidP="00BE488E">
      <w:pPr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Registre-se, por fim, que todos os itens com valores superiores a R$ 80.000,00 (oitenta mil reais) restaram </w:t>
      </w:r>
      <w:r w:rsidR="008407DB">
        <w:rPr>
          <w:sz w:val="24"/>
          <w:szCs w:val="24"/>
        </w:rPr>
        <w:t xml:space="preserve">adjudicados para </w:t>
      </w:r>
      <w:r>
        <w:rPr>
          <w:sz w:val="24"/>
          <w:szCs w:val="24"/>
        </w:rPr>
        <w:t>microempresas ou empresas de pequeno porte, de forma que a omissão do edital quanto à reserva de cota específica não resultou em ofensa à norma</w:t>
      </w:r>
      <w:r w:rsidR="008407DB">
        <w:rPr>
          <w:sz w:val="24"/>
          <w:szCs w:val="24"/>
        </w:rPr>
        <w:t>.</w:t>
      </w:r>
    </w:p>
    <w:p w:rsidR="00BE488E" w:rsidRDefault="00BE488E" w:rsidP="00BE488E">
      <w:pPr>
        <w:spacing w:after="0"/>
        <w:ind w:firstLine="851"/>
        <w:jc w:val="both"/>
        <w:rPr>
          <w:sz w:val="24"/>
          <w:szCs w:val="24"/>
        </w:rPr>
      </w:pPr>
    </w:p>
    <w:p w:rsidR="003F5AF7" w:rsidRDefault="00950A8C" w:rsidP="00BE488E">
      <w:pPr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3F5AF7">
        <w:rPr>
          <w:sz w:val="24"/>
          <w:szCs w:val="24"/>
        </w:rPr>
        <w:t>Observou-se a ausência de informação quanto à verificação da autenticidade de alguns documentos de habilitação, cuja validade estaria condicionada ao mencionado procedimento.</w:t>
      </w:r>
      <w:r w:rsidR="007E4B35">
        <w:rPr>
          <w:sz w:val="24"/>
          <w:szCs w:val="24"/>
        </w:rPr>
        <w:t xml:space="preserve"> Tal fase mostra-se necessária sempre que os documentos não são obtidos pelo Sistema de Cadastramento Unificado de Fornecedores (SICAF), sendo remetidos pelos próprios licitantes ou consultados nos sites específicos diretamente pelo Pregoeiro. </w:t>
      </w:r>
      <w:r w:rsidR="003F5AF7">
        <w:rPr>
          <w:sz w:val="24"/>
          <w:szCs w:val="24"/>
        </w:rPr>
        <w:t xml:space="preserve"> </w:t>
      </w:r>
    </w:p>
    <w:p w:rsidR="003F5AF7" w:rsidRDefault="003F5AF7" w:rsidP="00BE488E">
      <w:pPr>
        <w:spacing w:after="0"/>
        <w:ind w:firstLine="851"/>
        <w:jc w:val="both"/>
        <w:rPr>
          <w:sz w:val="24"/>
          <w:szCs w:val="24"/>
        </w:rPr>
      </w:pPr>
    </w:p>
    <w:p w:rsidR="004E7EF8" w:rsidRDefault="007E4B35" w:rsidP="00BE488E">
      <w:pPr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Ressalte-se que, pela simples visualização</w:t>
      </w:r>
      <w:r w:rsidR="00D1617A">
        <w:rPr>
          <w:sz w:val="24"/>
          <w:szCs w:val="24"/>
        </w:rPr>
        <w:t>,</w:t>
      </w:r>
      <w:r>
        <w:rPr>
          <w:sz w:val="24"/>
          <w:szCs w:val="24"/>
        </w:rPr>
        <w:t xml:space="preserve"> não é possível asseverar a forma pela qual</w:t>
      </w:r>
      <w:r w:rsidR="00D1617A">
        <w:rPr>
          <w:sz w:val="24"/>
          <w:szCs w:val="24"/>
        </w:rPr>
        <w:t xml:space="preserve"> os documentos</w:t>
      </w:r>
      <w:r>
        <w:rPr>
          <w:sz w:val="24"/>
          <w:szCs w:val="24"/>
        </w:rPr>
        <w:t xml:space="preserve"> foram obtidos, sendo imprescindível o registro desta informação. Na primeira hipótese – envio pelo licitante </w:t>
      </w:r>
      <w:r w:rsidR="00D1617A" w:rsidRPr="00D1617A">
        <w:rPr>
          <w:sz w:val="24"/>
          <w:szCs w:val="24"/>
        </w:rPr>
        <w:t>–</w:t>
      </w:r>
      <w:r>
        <w:rPr>
          <w:sz w:val="24"/>
          <w:szCs w:val="24"/>
        </w:rPr>
        <w:t>, caberá ao Pregoeiro validar a certidão,</w:t>
      </w:r>
      <w:r w:rsidR="00D1617A">
        <w:rPr>
          <w:sz w:val="24"/>
          <w:szCs w:val="24"/>
        </w:rPr>
        <w:t xml:space="preserve"> consignando o fato em seu Relatório; no caso de consulta direta aos </w:t>
      </w:r>
      <w:r w:rsidR="00D1617A" w:rsidRPr="00D1617A">
        <w:rPr>
          <w:i/>
          <w:sz w:val="24"/>
          <w:szCs w:val="24"/>
        </w:rPr>
        <w:t>sites</w:t>
      </w:r>
      <w:r w:rsidR="00D1617A">
        <w:rPr>
          <w:sz w:val="24"/>
          <w:szCs w:val="24"/>
        </w:rPr>
        <w:t xml:space="preserve">, torna-se desnecessária a “autenticação”, devendo, entretanto, a conduta </w:t>
      </w:r>
      <w:r w:rsidR="004E7EF8">
        <w:rPr>
          <w:sz w:val="24"/>
          <w:szCs w:val="24"/>
        </w:rPr>
        <w:t>constar da sua narrativa</w:t>
      </w:r>
      <w:r w:rsidR="00D1617A">
        <w:rPr>
          <w:sz w:val="24"/>
          <w:szCs w:val="24"/>
        </w:rPr>
        <w:t>.</w:t>
      </w:r>
    </w:p>
    <w:p w:rsidR="004E7EF8" w:rsidRDefault="004E7EF8" w:rsidP="00BE488E">
      <w:pPr>
        <w:spacing w:after="0"/>
        <w:ind w:firstLine="851"/>
        <w:jc w:val="both"/>
        <w:rPr>
          <w:sz w:val="24"/>
          <w:szCs w:val="24"/>
        </w:rPr>
      </w:pPr>
    </w:p>
    <w:p w:rsidR="00695CBA" w:rsidRDefault="004E7EF8" w:rsidP="00BE488E">
      <w:pPr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Sabe-se que, por não constar do SICAF, a regularidade trabalhista é</w:t>
      </w:r>
      <w:r w:rsidR="00695CB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95CBA" w:rsidRPr="00695CBA">
        <w:rPr>
          <w:sz w:val="24"/>
          <w:szCs w:val="24"/>
        </w:rPr>
        <w:t xml:space="preserve">de regra, </w:t>
      </w:r>
      <w:r>
        <w:rPr>
          <w:sz w:val="24"/>
          <w:szCs w:val="24"/>
        </w:rPr>
        <w:t>verificada pelos Pregoeiros diretamente no site do Tribunal Superior do Trabalh</w:t>
      </w:r>
      <w:r w:rsidR="00695CBA">
        <w:rPr>
          <w:sz w:val="24"/>
          <w:szCs w:val="24"/>
        </w:rPr>
        <w:t>o.</w:t>
      </w:r>
      <w:r w:rsidR="007F4804" w:rsidRPr="007F4804">
        <w:rPr>
          <w:sz w:val="24"/>
          <w:szCs w:val="24"/>
        </w:rPr>
        <w:t xml:space="preserve"> Tanto no Pregão nº. 11/2015 quanto no Pregão nº. 14/2015 as datas de emissão das Certidões Negativas de Débitos Trabalhistas coincidem com a fase de habilitação do certame, constituindo indício de que as </w:t>
      </w:r>
      <w:r w:rsidR="007F4804" w:rsidRPr="007F4804">
        <w:rPr>
          <w:sz w:val="24"/>
          <w:szCs w:val="24"/>
        </w:rPr>
        <w:lastRenderedPageBreak/>
        <w:t>mesmas foram obtidas diretamente pelos Pregoeiros.</w:t>
      </w:r>
      <w:r w:rsidR="007F4804">
        <w:rPr>
          <w:sz w:val="24"/>
          <w:szCs w:val="24"/>
        </w:rPr>
        <w:t xml:space="preserve"> </w:t>
      </w:r>
      <w:r w:rsidR="00695CBA">
        <w:rPr>
          <w:sz w:val="24"/>
          <w:szCs w:val="24"/>
        </w:rPr>
        <w:t>Assim, para evitar dúvidas, recomenda-se que</w:t>
      </w:r>
      <w:r w:rsidR="002E65B0">
        <w:rPr>
          <w:sz w:val="24"/>
          <w:szCs w:val="24"/>
        </w:rPr>
        <w:t>, doravante,</w:t>
      </w:r>
      <w:r w:rsidR="00695CBA">
        <w:rPr>
          <w:sz w:val="24"/>
          <w:szCs w:val="24"/>
        </w:rPr>
        <w:t xml:space="preserve"> a informação seja lançada no Relatório</w:t>
      </w:r>
      <w:r w:rsidR="007F4804">
        <w:rPr>
          <w:sz w:val="24"/>
          <w:szCs w:val="24"/>
        </w:rPr>
        <w:t>.</w:t>
      </w:r>
    </w:p>
    <w:p w:rsidR="007F4804" w:rsidRDefault="007F4804" w:rsidP="00BE488E">
      <w:pPr>
        <w:spacing w:after="0"/>
        <w:ind w:firstLine="851"/>
        <w:jc w:val="both"/>
        <w:rPr>
          <w:sz w:val="24"/>
          <w:szCs w:val="24"/>
        </w:rPr>
      </w:pPr>
    </w:p>
    <w:p w:rsidR="00B0432B" w:rsidRDefault="00310F39" w:rsidP="00BE488E">
      <w:pPr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que tange ao Pregão nº. 11/2015 </w:t>
      </w:r>
      <w:r w:rsidR="006D606D">
        <w:rPr>
          <w:sz w:val="24"/>
          <w:szCs w:val="24"/>
        </w:rPr>
        <w:t xml:space="preserve">constataram-se as seguintes situações: </w:t>
      </w:r>
    </w:p>
    <w:p w:rsidR="00B0432B" w:rsidRDefault="00B0432B" w:rsidP="00BE488E">
      <w:pPr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Em relação à </w:t>
      </w:r>
      <w:r w:rsidRPr="00B0432B">
        <w:rPr>
          <w:sz w:val="24"/>
          <w:szCs w:val="24"/>
        </w:rPr>
        <w:t xml:space="preserve">regularidade fiscal das empresas Center </w:t>
      </w:r>
      <w:proofErr w:type="spellStart"/>
      <w:r w:rsidRPr="00B0432B">
        <w:rPr>
          <w:sz w:val="24"/>
          <w:szCs w:val="24"/>
        </w:rPr>
        <w:t>Bids</w:t>
      </w:r>
      <w:proofErr w:type="spellEnd"/>
      <w:r w:rsidRPr="00B0432B">
        <w:rPr>
          <w:sz w:val="24"/>
          <w:szCs w:val="24"/>
        </w:rPr>
        <w:t xml:space="preserve"> Comércio e Serviços Ltda. – EP</w:t>
      </w:r>
      <w:r>
        <w:rPr>
          <w:sz w:val="24"/>
          <w:szCs w:val="24"/>
        </w:rPr>
        <w:t>P</w:t>
      </w:r>
      <w:r w:rsidR="002E65B0">
        <w:rPr>
          <w:sz w:val="24"/>
          <w:szCs w:val="24"/>
        </w:rPr>
        <w:t xml:space="preserve"> </w:t>
      </w:r>
      <w:r w:rsidR="002E65B0" w:rsidRPr="002E65B0">
        <w:rPr>
          <w:sz w:val="24"/>
          <w:szCs w:val="24"/>
        </w:rPr>
        <w:t>(Doc. PAD nº. 33431/2015)</w:t>
      </w:r>
      <w:r>
        <w:rPr>
          <w:sz w:val="24"/>
          <w:szCs w:val="24"/>
        </w:rPr>
        <w:t>, quanto aos tributos federais,</w:t>
      </w:r>
      <w:r w:rsidRPr="00B0432B">
        <w:rPr>
          <w:sz w:val="24"/>
          <w:szCs w:val="24"/>
        </w:rPr>
        <w:t xml:space="preserve"> </w:t>
      </w:r>
      <w:proofErr w:type="spellStart"/>
      <w:r w:rsidRPr="00B0432B">
        <w:rPr>
          <w:sz w:val="24"/>
          <w:szCs w:val="24"/>
        </w:rPr>
        <w:t>Darcio</w:t>
      </w:r>
      <w:proofErr w:type="spellEnd"/>
      <w:r w:rsidRPr="00B0432B">
        <w:rPr>
          <w:sz w:val="24"/>
          <w:szCs w:val="24"/>
        </w:rPr>
        <w:t xml:space="preserve"> </w:t>
      </w:r>
      <w:proofErr w:type="spellStart"/>
      <w:r w:rsidRPr="00B0432B">
        <w:rPr>
          <w:sz w:val="24"/>
          <w:szCs w:val="24"/>
        </w:rPr>
        <w:t>Cinquepalmi</w:t>
      </w:r>
      <w:proofErr w:type="spellEnd"/>
      <w:r w:rsidRPr="00B0432B">
        <w:rPr>
          <w:sz w:val="24"/>
          <w:szCs w:val="24"/>
        </w:rPr>
        <w:t xml:space="preserve"> – ME</w:t>
      </w:r>
      <w:r w:rsidR="002E65B0">
        <w:rPr>
          <w:sz w:val="24"/>
          <w:szCs w:val="24"/>
        </w:rPr>
        <w:t xml:space="preserve"> (Doc. PAD nº. 33635/2015)</w:t>
      </w:r>
      <w:r w:rsidRPr="00B0432B">
        <w:rPr>
          <w:sz w:val="24"/>
          <w:szCs w:val="24"/>
        </w:rPr>
        <w:t xml:space="preserve"> e </w:t>
      </w:r>
      <w:proofErr w:type="spellStart"/>
      <w:r w:rsidRPr="00B0432B">
        <w:rPr>
          <w:sz w:val="24"/>
          <w:szCs w:val="24"/>
        </w:rPr>
        <w:t>Suzarte</w:t>
      </w:r>
      <w:proofErr w:type="spellEnd"/>
      <w:r w:rsidRPr="00B0432B">
        <w:rPr>
          <w:sz w:val="24"/>
          <w:szCs w:val="24"/>
        </w:rPr>
        <w:t xml:space="preserve"> Materiais Elétricos Ltda. – ME</w:t>
      </w:r>
      <w:r w:rsidR="002E65B0">
        <w:rPr>
          <w:sz w:val="24"/>
          <w:szCs w:val="24"/>
        </w:rPr>
        <w:t xml:space="preserve"> (Doc. PAD nº. 33643/2015)</w:t>
      </w:r>
      <w:r w:rsidRPr="00B0432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quanto </w:t>
      </w:r>
      <w:r w:rsidR="002E65B0">
        <w:rPr>
          <w:sz w:val="24"/>
          <w:szCs w:val="24"/>
        </w:rPr>
        <w:t>às R</w:t>
      </w:r>
      <w:r w:rsidRPr="00B0432B">
        <w:rPr>
          <w:sz w:val="24"/>
          <w:szCs w:val="24"/>
        </w:rPr>
        <w:t xml:space="preserve">eceitas </w:t>
      </w:r>
      <w:r w:rsidR="002E65B0">
        <w:rPr>
          <w:sz w:val="24"/>
          <w:szCs w:val="24"/>
        </w:rPr>
        <w:t>Federal e E</w:t>
      </w:r>
      <w:r w:rsidRPr="00B0432B">
        <w:rPr>
          <w:sz w:val="24"/>
          <w:szCs w:val="24"/>
        </w:rPr>
        <w:t>stadual</w:t>
      </w:r>
      <w:r>
        <w:rPr>
          <w:sz w:val="24"/>
          <w:szCs w:val="24"/>
        </w:rPr>
        <w:t xml:space="preserve">, </w:t>
      </w:r>
      <w:r w:rsidR="00310F39">
        <w:rPr>
          <w:sz w:val="24"/>
          <w:szCs w:val="24"/>
        </w:rPr>
        <w:t>o Pregoeiro afirmou em seu Relatório</w:t>
      </w:r>
      <w:r w:rsidR="002E65B0">
        <w:rPr>
          <w:sz w:val="24"/>
          <w:szCs w:val="24"/>
        </w:rPr>
        <w:t xml:space="preserve"> (Doc. PAD nº. 37485/2015)</w:t>
      </w:r>
      <w:r w:rsidR="00310F39">
        <w:rPr>
          <w:sz w:val="24"/>
          <w:szCs w:val="24"/>
        </w:rPr>
        <w:t xml:space="preserve"> ter procedido à cons</w:t>
      </w:r>
      <w:r>
        <w:rPr>
          <w:sz w:val="24"/>
          <w:szCs w:val="24"/>
        </w:rPr>
        <w:t>ulta direta para verificação</w:t>
      </w:r>
      <w:r w:rsidR="006D606D">
        <w:rPr>
          <w:sz w:val="24"/>
          <w:szCs w:val="24"/>
        </w:rPr>
        <w:t xml:space="preserve">, atuando, dessa forma, nos moldes ora recomendados; </w:t>
      </w:r>
    </w:p>
    <w:p w:rsidR="006D606D" w:rsidRDefault="00B0432B" w:rsidP="00BE488E">
      <w:pPr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De referência aos Docs. PAD </w:t>
      </w:r>
      <w:proofErr w:type="spellStart"/>
      <w:r>
        <w:rPr>
          <w:sz w:val="24"/>
          <w:szCs w:val="24"/>
        </w:rPr>
        <w:t>nºs</w:t>
      </w:r>
      <w:proofErr w:type="spellEnd"/>
      <w:r>
        <w:rPr>
          <w:sz w:val="24"/>
          <w:szCs w:val="24"/>
        </w:rPr>
        <w:t>.</w:t>
      </w:r>
      <w:r w:rsidR="006D606D">
        <w:rPr>
          <w:sz w:val="24"/>
          <w:szCs w:val="24"/>
        </w:rPr>
        <w:t xml:space="preserve"> 33417/2015 </w:t>
      </w:r>
      <w:r>
        <w:rPr>
          <w:sz w:val="24"/>
          <w:szCs w:val="24"/>
        </w:rPr>
        <w:t xml:space="preserve">e 34102/2015, que </w:t>
      </w:r>
      <w:r w:rsidR="007F4804">
        <w:rPr>
          <w:sz w:val="24"/>
          <w:szCs w:val="24"/>
        </w:rPr>
        <w:t>evidenciam</w:t>
      </w:r>
      <w:r>
        <w:rPr>
          <w:sz w:val="24"/>
          <w:szCs w:val="24"/>
        </w:rPr>
        <w:t xml:space="preserve"> o envio de documentos por e-mail das empresas </w:t>
      </w:r>
      <w:proofErr w:type="spellStart"/>
      <w:r w:rsidRPr="00B0432B">
        <w:rPr>
          <w:sz w:val="24"/>
          <w:szCs w:val="24"/>
        </w:rPr>
        <w:t>Rimap</w:t>
      </w:r>
      <w:proofErr w:type="spellEnd"/>
      <w:r w:rsidRPr="00B0432B">
        <w:rPr>
          <w:sz w:val="24"/>
          <w:szCs w:val="24"/>
        </w:rPr>
        <w:t xml:space="preserve"> Comércio e Representações de Madeiras e Materiais </w:t>
      </w:r>
      <w:proofErr w:type="gramStart"/>
      <w:r w:rsidRPr="00B0432B">
        <w:rPr>
          <w:sz w:val="24"/>
          <w:szCs w:val="24"/>
        </w:rPr>
        <w:t>Industrial</w:t>
      </w:r>
      <w:proofErr w:type="gramEnd"/>
      <w:r w:rsidRPr="00B0432B">
        <w:rPr>
          <w:sz w:val="24"/>
          <w:szCs w:val="24"/>
        </w:rPr>
        <w:t xml:space="preserve"> Ltda</w:t>
      </w:r>
      <w:r>
        <w:rPr>
          <w:sz w:val="24"/>
          <w:szCs w:val="24"/>
        </w:rPr>
        <w:t xml:space="preserve">. </w:t>
      </w:r>
      <w:r w:rsidRPr="00B0432B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0432B">
        <w:rPr>
          <w:sz w:val="24"/>
          <w:szCs w:val="24"/>
        </w:rPr>
        <w:t>ME</w:t>
      </w:r>
      <w:r w:rsidR="006D60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 </w:t>
      </w:r>
      <w:r w:rsidRPr="00B0432B">
        <w:rPr>
          <w:sz w:val="24"/>
          <w:szCs w:val="24"/>
        </w:rPr>
        <w:t>Montagem Elétrica Ltda</w:t>
      </w:r>
      <w:r>
        <w:rPr>
          <w:sz w:val="24"/>
          <w:szCs w:val="24"/>
        </w:rPr>
        <w:t>.</w:t>
      </w:r>
      <w:r w:rsidRPr="00B0432B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B0432B">
        <w:rPr>
          <w:sz w:val="24"/>
          <w:szCs w:val="24"/>
        </w:rPr>
        <w:t xml:space="preserve"> ME</w:t>
      </w:r>
      <w:r>
        <w:rPr>
          <w:sz w:val="24"/>
          <w:szCs w:val="24"/>
        </w:rPr>
        <w:t>, respectivamente, não há registro da confirmação de autenticidade pelo Pregoeiro</w:t>
      </w:r>
      <w:r w:rsidR="006D606D">
        <w:rPr>
          <w:sz w:val="24"/>
          <w:szCs w:val="24"/>
        </w:rPr>
        <w:t>;</w:t>
      </w:r>
    </w:p>
    <w:p w:rsidR="007F4804" w:rsidRDefault="006D606D" w:rsidP="00BE488E">
      <w:pPr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Quanto à regularidade da empresa </w:t>
      </w:r>
      <w:proofErr w:type="spellStart"/>
      <w:r w:rsidRPr="006D606D">
        <w:rPr>
          <w:sz w:val="24"/>
          <w:szCs w:val="24"/>
        </w:rPr>
        <w:t>Caji</w:t>
      </w:r>
      <w:proofErr w:type="spellEnd"/>
      <w:r w:rsidRPr="006D606D">
        <w:rPr>
          <w:sz w:val="24"/>
          <w:szCs w:val="24"/>
        </w:rPr>
        <w:t xml:space="preserve"> Materiais de Construção Ltda</w:t>
      </w:r>
      <w:r w:rsidR="007F4804">
        <w:rPr>
          <w:sz w:val="24"/>
          <w:szCs w:val="24"/>
        </w:rPr>
        <w:t>.</w:t>
      </w:r>
      <w:r w:rsidRPr="006D606D">
        <w:rPr>
          <w:sz w:val="24"/>
          <w:szCs w:val="24"/>
        </w:rPr>
        <w:t xml:space="preserve"> – ME</w:t>
      </w:r>
      <w:r w:rsidR="007F4804">
        <w:rPr>
          <w:sz w:val="24"/>
          <w:szCs w:val="24"/>
        </w:rPr>
        <w:t xml:space="preserve"> (D</w:t>
      </w:r>
      <w:r>
        <w:rPr>
          <w:sz w:val="24"/>
          <w:szCs w:val="24"/>
        </w:rPr>
        <w:t xml:space="preserve">oc. PAD nº. 34089/2015), </w:t>
      </w:r>
      <w:r w:rsidR="007F4804">
        <w:rPr>
          <w:sz w:val="24"/>
          <w:szCs w:val="24"/>
        </w:rPr>
        <w:t>considerando que a emissão das certidões antecede a abertura do certame, caberia ao Pregoeiro também validar a documentação, noticiando o fato em seu Relatório;</w:t>
      </w:r>
    </w:p>
    <w:p w:rsidR="002E65B0" w:rsidRDefault="007F4804" w:rsidP="00BE488E">
      <w:pPr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Tendo em vista </w:t>
      </w:r>
      <w:r w:rsidR="002E65B0">
        <w:rPr>
          <w:sz w:val="24"/>
          <w:szCs w:val="24"/>
        </w:rPr>
        <w:t xml:space="preserve">que </w:t>
      </w:r>
      <w:r>
        <w:rPr>
          <w:sz w:val="24"/>
          <w:szCs w:val="24"/>
        </w:rPr>
        <w:t xml:space="preserve">certidão de regularidade perante a Receita Estadual da empresa </w:t>
      </w:r>
      <w:r w:rsidRPr="007F4804">
        <w:rPr>
          <w:sz w:val="24"/>
          <w:szCs w:val="24"/>
        </w:rPr>
        <w:t xml:space="preserve">Sena Comércio de </w:t>
      </w:r>
      <w:r w:rsidR="002E65B0">
        <w:rPr>
          <w:sz w:val="24"/>
          <w:szCs w:val="24"/>
        </w:rPr>
        <w:t>P</w:t>
      </w:r>
      <w:r w:rsidRPr="007F4804">
        <w:rPr>
          <w:sz w:val="24"/>
          <w:szCs w:val="24"/>
        </w:rPr>
        <w:t>rodutos e Equipamentos EIRELI EPP</w:t>
      </w:r>
      <w:r w:rsidR="002E65B0">
        <w:rPr>
          <w:sz w:val="24"/>
          <w:szCs w:val="24"/>
        </w:rPr>
        <w:t xml:space="preserve"> (Doc. PAD nº. 33580/2015) foi emitida em momento correspondente à fase de habilitação, parece ter sido obtida pelo Pregoeiro, porém, o Relatório não faz menção à ocorrência.  </w:t>
      </w:r>
      <w:r>
        <w:rPr>
          <w:sz w:val="24"/>
          <w:szCs w:val="24"/>
        </w:rPr>
        <w:t xml:space="preserve"> </w:t>
      </w:r>
    </w:p>
    <w:p w:rsidR="002E65B0" w:rsidRDefault="002E65B0" w:rsidP="00BE488E">
      <w:pPr>
        <w:spacing w:after="0"/>
        <w:ind w:firstLine="851"/>
        <w:jc w:val="both"/>
        <w:rPr>
          <w:sz w:val="24"/>
          <w:szCs w:val="24"/>
        </w:rPr>
      </w:pPr>
    </w:p>
    <w:p w:rsidR="006B7F85" w:rsidRDefault="007F4804" w:rsidP="00DD5D90">
      <w:pPr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D5D90">
        <w:rPr>
          <w:sz w:val="24"/>
          <w:szCs w:val="24"/>
        </w:rPr>
        <w:t xml:space="preserve">A mesma circunstância constante do item </w:t>
      </w:r>
      <w:proofErr w:type="gramStart"/>
      <w:r w:rsidR="00DD5D90">
        <w:rPr>
          <w:sz w:val="24"/>
          <w:szCs w:val="24"/>
        </w:rPr>
        <w:t>4</w:t>
      </w:r>
      <w:proofErr w:type="gramEnd"/>
      <w:r w:rsidR="00DD5D90">
        <w:rPr>
          <w:sz w:val="24"/>
          <w:szCs w:val="24"/>
        </w:rPr>
        <w:t xml:space="preserve"> supra foi observada no Pregão nº. 14/2015 no que diz respeito à regularidade da empresa </w:t>
      </w:r>
      <w:r w:rsidR="006B7F85" w:rsidRPr="00DD5D90">
        <w:rPr>
          <w:sz w:val="24"/>
          <w:szCs w:val="24"/>
        </w:rPr>
        <w:t>Manoel de Abreu Gomes e Cia Ltda</w:t>
      </w:r>
      <w:r w:rsidR="00162083" w:rsidRPr="00DD5D90">
        <w:rPr>
          <w:sz w:val="24"/>
          <w:szCs w:val="24"/>
        </w:rPr>
        <w:t>.</w:t>
      </w:r>
      <w:r w:rsidR="00DD5D90">
        <w:rPr>
          <w:sz w:val="24"/>
          <w:szCs w:val="24"/>
        </w:rPr>
        <w:t xml:space="preserve"> perante a </w:t>
      </w:r>
      <w:r w:rsidR="006B7F85" w:rsidRPr="00DD5D90">
        <w:rPr>
          <w:sz w:val="24"/>
          <w:szCs w:val="24"/>
        </w:rPr>
        <w:t xml:space="preserve">Receita Estadual (Doc. </w:t>
      </w:r>
      <w:r w:rsidR="00DD5D90">
        <w:rPr>
          <w:sz w:val="24"/>
          <w:szCs w:val="24"/>
        </w:rPr>
        <w:t xml:space="preserve">PAD nº. </w:t>
      </w:r>
      <w:r w:rsidR="006B7F85" w:rsidRPr="00DD5D90">
        <w:rPr>
          <w:sz w:val="24"/>
          <w:szCs w:val="24"/>
        </w:rPr>
        <w:t xml:space="preserve">38360/2015). </w:t>
      </w:r>
    </w:p>
    <w:p w:rsidR="00DD5D90" w:rsidRDefault="00DD5D90" w:rsidP="00DD5D90">
      <w:pPr>
        <w:spacing w:after="0"/>
        <w:ind w:firstLine="851"/>
        <w:jc w:val="both"/>
        <w:rPr>
          <w:sz w:val="24"/>
          <w:szCs w:val="24"/>
        </w:rPr>
      </w:pPr>
    </w:p>
    <w:p w:rsidR="00DD5D90" w:rsidRDefault="00DD5D90" w:rsidP="00DD5D90">
      <w:pPr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 resumo, objetivando garantir a segurança jurídica, recomenda-se que os Pregoeiros sejam orientados a </w:t>
      </w:r>
      <w:r w:rsidR="00EF5972">
        <w:rPr>
          <w:sz w:val="24"/>
          <w:szCs w:val="24"/>
        </w:rPr>
        <w:t>consignar</w:t>
      </w:r>
      <w:r>
        <w:rPr>
          <w:sz w:val="24"/>
          <w:szCs w:val="24"/>
        </w:rPr>
        <w:t xml:space="preserve"> em seu Relatório a confirmação de autenticidade da documentação de habilitação enviada pelos licitantes, bem como a obtenção direta desses documentos nos </w:t>
      </w:r>
      <w:r w:rsidRPr="00DD5D90">
        <w:rPr>
          <w:i/>
          <w:sz w:val="24"/>
          <w:szCs w:val="24"/>
        </w:rPr>
        <w:t>sites</w:t>
      </w:r>
      <w:r>
        <w:rPr>
          <w:sz w:val="24"/>
          <w:szCs w:val="24"/>
        </w:rPr>
        <w:t xml:space="preserve"> específicos</w:t>
      </w:r>
      <w:r w:rsidR="00EF5972">
        <w:rPr>
          <w:sz w:val="24"/>
          <w:szCs w:val="24"/>
        </w:rPr>
        <w:t>, conforme o caso</w:t>
      </w:r>
      <w:r>
        <w:rPr>
          <w:sz w:val="24"/>
          <w:szCs w:val="24"/>
        </w:rPr>
        <w:t xml:space="preserve">. </w:t>
      </w:r>
    </w:p>
    <w:p w:rsidR="00835FD9" w:rsidRPr="00BE488E" w:rsidRDefault="00835FD9" w:rsidP="008407DB">
      <w:pPr>
        <w:spacing w:after="0"/>
        <w:ind w:firstLine="851"/>
        <w:jc w:val="both"/>
        <w:rPr>
          <w:sz w:val="24"/>
          <w:szCs w:val="24"/>
        </w:rPr>
      </w:pPr>
    </w:p>
    <w:p w:rsidR="008407DB" w:rsidRPr="00BE488E" w:rsidRDefault="008407DB" w:rsidP="008407DB">
      <w:pPr>
        <w:spacing w:after="0"/>
        <w:ind w:left="142" w:firstLine="709"/>
        <w:jc w:val="both"/>
        <w:rPr>
          <w:sz w:val="24"/>
          <w:szCs w:val="24"/>
        </w:rPr>
      </w:pPr>
    </w:p>
    <w:p w:rsidR="00B726BC" w:rsidRPr="000300E2" w:rsidRDefault="00B909C2" w:rsidP="00512CC3">
      <w:pPr>
        <w:pStyle w:val="Corpodetexto3"/>
        <w:spacing w:before="120" w:after="120" w:line="360" w:lineRule="auto"/>
        <w:jc w:val="right"/>
        <w:rPr>
          <w:szCs w:val="24"/>
        </w:rPr>
      </w:pPr>
      <w:r w:rsidRPr="000300E2">
        <w:rPr>
          <w:szCs w:val="24"/>
        </w:rPr>
        <w:t xml:space="preserve">                                                             </w:t>
      </w:r>
      <w:r w:rsidR="00E34184">
        <w:rPr>
          <w:szCs w:val="24"/>
        </w:rPr>
        <w:t xml:space="preserve">      </w:t>
      </w:r>
      <w:r w:rsidR="00BD0DAC">
        <w:rPr>
          <w:szCs w:val="24"/>
        </w:rPr>
        <w:t xml:space="preserve">              </w:t>
      </w:r>
      <w:r w:rsidRPr="000300E2">
        <w:rPr>
          <w:szCs w:val="24"/>
        </w:rPr>
        <w:t>S</w:t>
      </w:r>
      <w:r w:rsidR="00B726BC" w:rsidRPr="000300E2">
        <w:rPr>
          <w:szCs w:val="24"/>
        </w:rPr>
        <w:t xml:space="preserve">alvador (BA), </w:t>
      </w:r>
      <w:r w:rsidR="002A6442">
        <w:rPr>
          <w:szCs w:val="24"/>
        </w:rPr>
        <w:t>30 de setembro</w:t>
      </w:r>
      <w:r w:rsidR="002E65B0">
        <w:rPr>
          <w:szCs w:val="24"/>
        </w:rPr>
        <w:t xml:space="preserve"> </w:t>
      </w:r>
      <w:r w:rsidR="00914D3A" w:rsidRPr="000300E2">
        <w:rPr>
          <w:szCs w:val="24"/>
        </w:rPr>
        <w:t>de 2015</w:t>
      </w:r>
      <w:r w:rsidR="00B726BC" w:rsidRPr="000300E2">
        <w:rPr>
          <w:szCs w:val="24"/>
        </w:rPr>
        <w:t>.</w:t>
      </w:r>
    </w:p>
    <w:p w:rsidR="00BD0DAC" w:rsidRDefault="00BD0DAC" w:rsidP="00384E77">
      <w:pPr>
        <w:pStyle w:val="Corpodetexto3"/>
        <w:ind w:left="851"/>
        <w:rPr>
          <w:b/>
          <w:szCs w:val="24"/>
        </w:rPr>
      </w:pPr>
    </w:p>
    <w:p w:rsidR="0078376F" w:rsidRPr="000300E2" w:rsidRDefault="0078376F" w:rsidP="00384E77">
      <w:pPr>
        <w:pStyle w:val="Corpodetexto3"/>
        <w:ind w:left="851"/>
        <w:rPr>
          <w:b/>
          <w:szCs w:val="24"/>
        </w:rPr>
      </w:pPr>
      <w:r w:rsidRPr="000300E2">
        <w:rPr>
          <w:b/>
          <w:szCs w:val="24"/>
        </w:rPr>
        <w:t xml:space="preserve">Patrícia </w:t>
      </w:r>
      <w:proofErr w:type="spellStart"/>
      <w:r w:rsidRPr="000300E2">
        <w:rPr>
          <w:b/>
          <w:szCs w:val="24"/>
        </w:rPr>
        <w:t>Caleffi</w:t>
      </w:r>
      <w:proofErr w:type="spellEnd"/>
    </w:p>
    <w:p w:rsidR="00797DDB" w:rsidRDefault="00797DDB" w:rsidP="00384E77">
      <w:pPr>
        <w:pStyle w:val="Corpodetexto3"/>
        <w:ind w:left="851"/>
        <w:rPr>
          <w:i/>
          <w:sz w:val="20"/>
        </w:rPr>
      </w:pPr>
      <w:r>
        <w:rPr>
          <w:i/>
          <w:sz w:val="20"/>
        </w:rPr>
        <w:t>Auditora Interna</w:t>
      </w:r>
    </w:p>
    <w:p w:rsidR="0078376F" w:rsidRPr="00BD0DAC" w:rsidRDefault="0078376F" w:rsidP="00384E77">
      <w:pPr>
        <w:pStyle w:val="Corpodetexto3"/>
        <w:ind w:left="851"/>
        <w:rPr>
          <w:i/>
          <w:sz w:val="20"/>
        </w:rPr>
      </w:pPr>
      <w:r w:rsidRPr="00BD0DAC">
        <w:rPr>
          <w:i/>
          <w:sz w:val="20"/>
        </w:rPr>
        <w:t>Chefe da SEAGES</w:t>
      </w:r>
    </w:p>
    <w:p w:rsidR="002C0EC7" w:rsidRDefault="002C0EC7" w:rsidP="00384E77">
      <w:pPr>
        <w:pStyle w:val="Corpodetexto3"/>
        <w:ind w:left="851"/>
        <w:rPr>
          <w:b/>
          <w:szCs w:val="24"/>
        </w:rPr>
      </w:pPr>
    </w:p>
    <w:p w:rsidR="00B726BC" w:rsidRPr="000300E2" w:rsidRDefault="00B726BC" w:rsidP="00384E77">
      <w:pPr>
        <w:pStyle w:val="Corpodetexto3"/>
        <w:ind w:left="851"/>
        <w:rPr>
          <w:b/>
          <w:szCs w:val="24"/>
        </w:rPr>
      </w:pPr>
      <w:r w:rsidRPr="000300E2">
        <w:rPr>
          <w:b/>
          <w:szCs w:val="24"/>
        </w:rPr>
        <w:t>Maria Isabel Moura Campos</w:t>
      </w:r>
    </w:p>
    <w:p w:rsidR="00B726BC" w:rsidRDefault="00B726BC" w:rsidP="00384E77">
      <w:pPr>
        <w:pStyle w:val="Corpodetexto3"/>
        <w:ind w:left="851"/>
        <w:rPr>
          <w:i/>
          <w:sz w:val="20"/>
        </w:rPr>
      </w:pPr>
      <w:r w:rsidRPr="00BD0DAC">
        <w:rPr>
          <w:i/>
          <w:sz w:val="20"/>
        </w:rPr>
        <w:t>Coordenadora</w:t>
      </w:r>
      <w:r w:rsidR="00D35BB9" w:rsidRPr="00BD0DAC">
        <w:rPr>
          <w:i/>
          <w:sz w:val="20"/>
        </w:rPr>
        <w:t xml:space="preserve"> </w:t>
      </w:r>
      <w:r w:rsidR="00914D3A" w:rsidRPr="00BD0DAC">
        <w:rPr>
          <w:i/>
          <w:sz w:val="20"/>
        </w:rPr>
        <w:t>da COGES</w:t>
      </w:r>
    </w:p>
    <w:p w:rsidR="00584D98" w:rsidRDefault="00584D98" w:rsidP="00EE4440">
      <w:pPr>
        <w:pStyle w:val="Corpodetexto3"/>
        <w:rPr>
          <w:i/>
          <w:sz w:val="20"/>
        </w:rPr>
      </w:pPr>
    </w:p>
    <w:p w:rsidR="00AD0C33" w:rsidRDefault="00AD0C33" w:rsidP="00EE4440">
      <w:pPr>
        <w:pStyle w:val="Corpodetexto3"/>
        <w:rPr>
          <w:i/>
          <w:sz w:val="20"/>
        </w:rPr>
      </w:pPr>
    </w:p>
    <w:sectPr w:rsidR="00AD0C33" w:rsidSect="00886051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134" w:bottom="1134" w:left="1418" w:header="737" w:footer="73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DD2" w:rsidRDefault="00652DD2">
      <w:r>
        <w:separator/>
      </w:r>
    </w:p>
  </w:endnote>
  <w:endnote w:type="continuationSeparator" w:id="0">
    <w:p w:rsidR="00652DD2" w:rsidRDefault="0065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DD2" w:rsidRDefault="00652DD2" w:rsidP="00C47BC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52DD2" w:rsidRDefault="00652DD2" w:rsidP="00B4074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F50" w:rsidRDefault="00A35F50">
    <w:pPr>
      <w:pStyle w:val="Rodap"/>
    </w:pPr>
    <w:r>
      <w:t xml:space="preserve"> </w:t>
    </w:r>
  </w:p>
  <w:p w:rsidR="00652DD2" w:rsidRDefault="00652DD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DD2" w:rsidRDefault="00652DD2">
      <w:r>
        <w:separator/>
      </w:r>
    </w:p>
  </w:footnote>
  <w:footnote w:type="continuationSeparator" w:id="0">
    <w:p w:rsidR="00652DD2" w:rsidRDefault="00652DD2">
      <w:r>
        <w:continuationSeparator/>
      </w:r>
    </w:p>
  </w:footnote>
  <w:footnote w:id="1">
    <w:p w:rsidR="00214C94" w:rsidRDefault="00214C94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214C94">
        <w:t xml:space="preserve">Prazo para resposta da Administração aos pedidos de esclarecimentos e impugnações ao edital de licitação. Revista Zênite - Informativo de Licitações e Contratos (ILC), Curitiba: Zênite, n. 234, p. 835-837, ago. </w:t>
      </w:r>
      <w:r>
        <w:t>2013, seção Orientação Prática.</w:t>
      </w:r>
    </w:p>
  </w:footnote>
  <w:footnote w:id="2">
    <w:p w:rsidR="008A3747" w:rsidRDefault="008A3747" w:rsidP="008A3747">
      <w:pPr>
        <w:pStyle w:val="Textodenotaderodap"/>
      </w:pPr>
      <w:r>
        <w:rPr>
          <w:rStyle w:val="Refdenotaderodap"/>
        </w:rPr>
        <w:footnoteRef/>
      </w:r>
      <w:r>
        <w:t xml:space="preserve"> Pregão nº. 11/2015: itens 46, 47, 72, 73 e 74; Pregão nº. 14/2015: itens </w:t>
      </w:r>
      <w:proofErr w:type="gramStart"/>
      <w:r>
        <w:t>1</w:t>
      </w:r>
      <w:proofErr w:type="gramEnd"/>
      <w:r>
        <w:t xml:space="preserve"> e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MON_1474195478"/>
  <w:bookmarkEnd w:id="1"/>
  <w:p w:rsidR="00652DD2" w:rsidRDefault="00652DD2" w:rsidP="00355054">
    <w:pPr>
      <w:pStyle w:val="Cabealho"/>
      <w:framePr w:w="1134" w:h="1474" w:hRule="exact" w:wrap="around" w:vAnchor="page" w:hAnchor="page" w:x="1119" w:y="739"/>
      <w:ind w:right="119"/>
    </w:pPr>
    <w:r>
      <w:object w:dxaOrig="3521" w:dyaOrig="24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7pt;height:57.4pt" o:ole="" fillcolor="window">
          <v:imagedata r:id="rId1" o:title="" cropbottom="15491f" cropleft="9679f" cropright="9679f"/>
        </v:shape>
        <o:OLEObject Type="Embed" ProgID="Word.Picture.8" ShapeID="_x0000_i1025" DrawAspect="Content" ObjectID="_1682260811" r:id="rId2"/>
      </w:object>
    </w:r>
  </w:p>
  <w:p w:rsidR="00652DD2" w:rsidRPr="00D34400" w:rsidRDefault="00652DD2" w:rsidP="00355054">
    <w:pPr>
      <w:pStyle w:val="Cabealho"/>
      <w:tabs>
        <w:tab w:val="clear" w:pos="4252"/>
        <w:tab w:val="clear" w:pos="8504"/>
      </w:tabs>
      <w:spacing w:after="0"/>
      <w:ind w:left="900"/>
      <w:rPr>
        <w:b/>
        <w:caps/>
      </w:rPr>
    </w:pPr>
    <w:r w:rsidRPr="00D34400">
      <w:rPr>
        <w:b/>
        <w:caps/>
      </w:rPr>
      <w:t>Poder JUDICIÁRIO</w:t>
    </w:r>
  </w:p>
  <w:p w:rsidR="00652DD2" w:rsidRPr="00D34400" w:rsidRDefault="00652DD2" w:rsidP="00355054">
    <w:pPr>
      <w:pStyle w:val="Cabealho"/>
      <w:spacing w:after="0"/>
      <w:ind w:left="900"/>
      <w:rPr>
        <w:b/>
        <w:caps/>
      </w:rPr>
    </w:pPr>
    <w:r w:rsidRPr="00D34400">
      <w:rPr>
        <w:b/>
        <w:caps/>
      </w:rPr>
      <w:t>Tribunal Regional Eleitoral DA BAHIA</w:t>
    </w:r>
  </w:p>
  <w:p w:rsidR="00652DD2" w:rsidRPr="00D34400" w:rsidRDefault="00652DD2" w:rsidP="00355054">
    <w:pPr>
      <w:pStyle w:val="Cabealho"/>
      <w:tabs>
        <w:tab w:val="clear" w:pos="4252"/>
        <w:tab w:val="clear" w:pos="8504"/>
      </w:tabs>
      <w:spacing w:after="0"/>
      <w:ind w:left="900"/>
      <w:rPr>
        <w:b/>
      </w:rPr>
    </w:pPr>
    <w:r w:rsidRPr="00D34400">
      <w:rPr>
        <w:b/>
      </w:rPr>
      <w:t>SECRETARIA DE CONTROLE INTERNO E AUDITORIA</w:t>
    </w:r>
  </w:p>
  <w:p w:rsidR="00652DD2" w:rsidRDefault="00652DD2" w:rsidP="00355054">
    <w:pPr>
      <w:pStyle w:val="Cabealho"/>
      <w:tabs>
        <w:tab w:val="center" w:pos="3261"/>
        <w:tab w:val="right" w:pos="4536"/>
      </w:tabs>
      <w:spacing w:after="0"/>
      <w:ind w:left="900"/>
      <w:rPr>
        <w:b/>
      </w:rPr>
    </w:pPr>
    <w:r w:rsidRPr="00D34400">
      <w:rPr>
        <w:b/>
      </w:rPr>
      <w:t>COORDENADORIA DE AUDITORIA, ACOMPANHAMENTO E ORIENTA</w:t>
    </w:r>
    <w:r>
      <w:rPr>
        <w:b/>
      </w:rPr>
      <w:t xml:space="preserve">ÇÃO DA GESTÃO SEÇÃO DE ACOMPANHAMENTO E ORIENTAÇÃO À GESTÃO </w:t>
    </w:r>
    <w:proofErr w:type="gramStart"/>
    <w:r>
      <w:rPr>
        <w:b/>
      </w:rPr>
      <w:t>ADMINISTRATIVA</w:t>
    </w:r>
    <w:proofErr w:type="gramEnd"/>
  </w:p>
  <w:p w:rsidR="00652DD2" w:rsidRDefault="00652DD2" w:rsidP="00355054">
    <w:pPr>
      <w:pStyle w:val="Cabealho"/>
      <w:tabs>
        <w:tab w:val="center" w:pos="3261"/>
        <w:tab w:val="right" w:pos="4536"/>
      </w:tabs>
      <w:spacing w:after="0"/>
      <w:ind w:left="900"/>
      <w:rPr>
        <w:b/>
      </w:rPr>
    </w:pPr>
  </w:p>
  <w:p w:rsidR="00652DD2" w:rsidRDefault="00652DD2" w:rsidP="00355054">
    <w:pPr>
      <w:pStyle w:val="Cabealho"/>
      <w:tabs>
        <w:tab w:val="center" w:pos="3261"/>
        <w:tab w:val="right" w:pos="4536"/>
      </w:tabs>
      <w:spacing w:after="0"/>
      <w:ind w:left="900"/>
      <w:rPr>
        <w:b/>
      </w:rPr>
    </w:pPr>
  </w:p>
  <w:p w:rsidR="00652DD2" w:rsidRPr="00D34400" w:rsidRDefault="00652DD2" w:rsidP="00355054">
    <w:pPr>
      <w:pStyle w:val="Cabealho"/>
      <w:tabs>
        <w:tab w:val="center" w:pos="3261"/>
        <w:tab w:val="right" w:pos="4536"/>
      </w:tabs>
      <w:spacing w:after="0"/>
      <w:ind w:left="900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DD2" w:rsidRPr="00D34400" w:rsidRDefault="00652DD2" w:rsidP="00264EF3">
    <w:pPr>
      <w:pStyle w:val="Cabealho"/>
      <w:tabs>
        <w:tab w:val="clear" w:pos="4252"/>
        <w:tab w:val="clear" w:pos="8504"/>
      </w:tabs>
      <w:spacing w:after="0"/>
      <w:ind w:left="900"/>
      <w:rPr>
        <w:b/>
        <w:caps/>
      </w:rPr>
    </w:pPr>
    <w:r w:rsidRPr="00D34400">
      <w:rPr>
        <w:b/>
        <w:caps/>
      </w:rPr>
      <w:t>Poder JUDICIÁRIO</w:t>
    </w:r>
  </w:p>
  <w:p w:rsidR="00652DD2" w:rsidRDefault="00652DD2" w:rsidP="00264EF3">
    <w:pPr>
      <w:pStyle w:val="Cabealho"/>
      <w:framePr w:w="1134" w:h="1474" w:hRule="exact" w:wrap="around" w:vAnchor="page" w:hAnchor="page" w:x="1119" w:y="739"/>
      <w:ind w:right="119"/>
    </w:pPr>
    <w:r>
      <w:object w:dxaOrig="3521" w:dyaOrig="24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2.7pt;height:57.4pt" o:ole="" fillcolor="window">
          <v:imagedata r:id="rId1" o:title="" cropbottom="15491f" cropleft="9679f" cropright="9679f"/>
        </v:shape>
        <o:OLEObject Type="Embed" ProgID="Word.Picture.8" ShapeID="_x0000_i1026" DrawAspect="Content" ObjectID="_1682260812" r:id="rId2"/>
      </w:object>
    </w:r>
  </w:p>
  <w:p w:rsidR="00652DD2" w:rsidRPr="00D34400" w:rsidRDefault="00652DD2" w:rsidP="00264EF3">
    <w:pPr>
      <w:pStyle w:val="Cabealho"/>
      <w:spacing w:after="0"/>
      <w:ind w:left="900"/>
      <w:rPr>
        <w:b/>
        <w:caps/>
      </w:rPr>
    </w:pPr>
    <w:r w:rsidRPr="00D34400">
      <w:rPr>
        <w:b/>
        <w:caps/>
      </w:rPr>
      <w:t>Tribunal Regional Eleitoral DA BAHIA</w:t>
    </w:r>
  </w:p>
  <w:p w:rsidR="00652DD2" w:rsidRPr="00D34400" w:rsidRDefault="00652DD2" w:rsidP="00264EF3">
    <w:pPr>
      <w:pStyle w:val="Cabealho"/>
      <w:tabs>
        <w:tab w:val="clear" w:pos="4252"/>
        <w:tab w:val="clear" w:pos="8504"/>
      </w:tabs>
      <w:spacing w:after="0"/>
      <w:ind w:left="900"/>
      <w:rPr>
        <w:b/>
      </w:rPr>
    </w:pPr>
    <w:r w:rsidRPr="00D34400">
      <w:rPr>
        <w:b/>
      </w:rPr>
      <w:t>SECRETARIA DE CONTROLE INTERNO E AUDITORIA</w:t>
    </w:r>
  </w:p>
  <w:p w:rsidR="00652DD2" w:rsidRDefault="00652DD2" w:rsidP="00264EF3">
    <w:pPr>
      <w:pStyle w:val="Cabealho"/>
      <w:tabs>
        <w:tab w:val="center" w:pos="3261"/>
        <w:tab w:val="right" w:pos="4536"/>
      </w:tabs>
      <w:spacing w:after="0"/>
      <w:ind w:left="900"/>
      <w:rPr>
        <w:b/>
      </w:rPr>
    </w:pPr>
    <w:r w:rsidRPr="00D34400">
      <w:rPr>
        <w:b/>
      </w:rPr>
      <w:t>COORDENADORIA DE AUDITORIA, ACOMPANHAMENTO E ORIENTA</w:t>
    </w:r>
    <w:r>
      <w:rPr>
        <w:b/>
      </w:rPr>
      <w:t xml:space="preserve">ÇÃO DA GESTÃO SEÇÃO DE ACOMPANHAMENTO E ORIENTAÇÃO À GESTÃO </w:t>
    </w:r>
    <w:proofErr w:type="gramStart"/>
    <w:r>
      <w:rPr>
        <w:b/>
      </w:rPr>
      <w:t>ADMINISTRATIVA</w:t>
    </w:r>
    <w:proofErr w:type="gramEnd"/>
  </w:p>
  <w:p w:rsidR="00652DD2" w:rsidRDefault="00652DD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6428"/>
    <w:multiLevelType w:val="hybridMultilevel"/>
    <w:tmpl w:val="44B647F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84138"/>
    <w:multiLevelType w:val="hybridMultilevel"/>
    <w:tmpl w:val="78747A8E"/>
    <w:lvl w:ilvl="0" w:tplc="3E9C7A76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6C62BBF"/>
    <w:multiLevelType w:val="multilevel"/>
    <w:tmpl w:val="4DECA516"/>
    <w:lvl w:ilvl="0">
      <w:start w:val="10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3"/>
      <w:numFmt w:val="lowerLetter"/>
      <w:suff w:val="space"/>
      <w:lvlText w:val="%4)"/>
      <w:lvlJc w:val="left"/>
      <w:pPr>
        <w:ind w:firstLine="1134"/>
      </w:pPr>
      <w:rPr>
        <w:rFonts w:cs="Times New Roman" w:hint="default"/>
      </w:rPr>
    </w:lvl>
    <w:lvl w:ilvl="4">
      <w:start w:val="1"/>
      <w:numFmt w:val="decimal"/>
      <w:lvlText w:val="%4.%5)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8446430"/>
    <w:multiLevelType w:val="multilevel"/>
    <w:tmpl w:val="C568CFC4"/>
    <w:lvl w:ilvl="0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C38F4"/>
    <w:multiLevelType w:val="hybridMultilevel"/>
    <w:tmpl w:val="99AE27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10514"/>
    <w:multiLevelType w:val="hybridMultilevel"/>
    <w:tmpl w:val="34B2FE1E"/>
    <w:lvl w:ilvl="0" w:tplc="0416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9324CF"/>
    <w:multiLevelType w:val="hybridMultilevel"/>
    <w:tmpl w:val="032CF9D6"/>
    <w:lvl w:ilvl="0" w:tplc="7D76BFC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73595B"/>
    <w:multiLevelType w:val="multilevel"/>
    <w:tmpl w:val="3BEA1132"/>
    <w:lvl w:ilvl="0">
      <w:start w:val="1"/>
      <w:numFmt w:val="decimal"/>
      <w:pStyle w:val="PargrafodaLista1"/>
      <w:lvlText w:val="%1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E6406E8"/>
    <w:multiLevelType w:val="multilevel"/>
    <w:tmpl w:val="516022F4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  <w:sz w:val="24"/>
      </w:rPr>
    </w:lvl>
  </w:abstractNum>
  <w:abstractNum w:abstractNumId="9">
    <w:nsid w:val="4EC05120"/>
    <w:multiLevelType w:val="multilevel"/>
    <w:tmpl w:val="4A60C17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hAnsi="Calibri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1701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decimal"/>
      <w:lvlText w:val="%1.%2-%3.%4."/>
      <w:lvlJc w:val="left"/>
      <w:pPr>
        <w:tabs>
          <w:tab w:val="num" w:pos="5418"/>
        </w:tabs>
        <w:ind w:left="5418" w:hanging="1080"/>
      </w:pPr>
      <w:rPr>
        <w:b/>
      </w:rPr>
    </w:lvl>
    <w:lvl w:ilvl="4">
      <w:start w:val="1"/>
      <w:numFmt w:val="decimal"/>
      <w:lvlText w:val="%1.%2-%3.%4.%5."/>
      <w:lvlJc w:val="left"/>
      <w:pPr>
        <w:tabs>
          <w:tab w:val="num" w:pos="6864"/>
        </w:tabs>
        <w:ind w:left="6864" w:hanging="1080"/>
      </w:pPr>
      <w:rPr>
        <w:b/>
      </w:rPr>
    </w:lvl>
    <w:lvl w:ilvl="5">
      <w:start w:val="1"/>
      <w:numFmt w:val="decimal"/>
      <w:lvlText w:val="%1.%2-%3.%4.%5.%6."/>
      <w:lvlJc w:val="left"/>
      <w:pPr>
        <w:tabs>
          <w:tab w:val="num" w:pos="8670"/>
        </w:tabs>
        <w:ind w:left="8670" w:hanging="1440"/>
      </w:pPr>
      <w:rPr>
        <w:b/>
      </w:rPr>
    </w:lvl>
    <w:lvl w:ilvl="6">
      <w:start w:val="1"/>
      <w:numFmt w:val="decimal"/>
      <w:lvlText w:val="%1.%2-%3.%4.%5.%6.%7."/>
      <w:lvlJc w:val="left"/>
      <w:pPr>
        <w:tabs>
          <w:tab w:val="num" w:pos="10116"/>
        </w:tabs>
        <w:ind w:left="10116" w:hanging="1440"/>
      </w:pPr>
      <w:rPr>
        <w:b/>
      </w:rPr>
    </w:lvl>
    <w:lvl w:ilvl="7">
      <w:start w:val="1"/>
      <w:numFmt w:val="decimal"/>
      <w:lvlText w:val="%1.%2-%3.%4.%5.%6.%7.%8."/>
      <w:lvlJc w:val="left"/>
      <w:pPr>
        <w:tabs>
          <w:tab w:val="num" w:pos="11922"/>
        </w:tabs>
        <w:ind w:left="11922" w:hanging="1800"/>
      </w:pPr>
      <w:rPr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3368"/>
        </w:tabs>
        <w:ind w:left="13368" w:hanging="1800"/>
      </w:pPr>
      <w:rPr>
        <w:b/>
      </w:rPr>
    </w:lvl>
  </w:abstractNum>
  <w:abstractNum w:abstractNumId="10">
    <w:nsid w:val="58655833"/>
    <w:multiLevelType w:val="hybridMultilevel"/>
    <w:tmpl w:val="E884A8AE"/>
    <w:lvl w:ilvl="0" w:tplc="480ECFD0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9554BBD"/>
    <w:multiLevelType w:val="hybridMultilevel"/>
    <w:tmpl w:val="BE926BCA"/>
    <w:lvl w:ilvl="0" w:tplc="0416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810862"/>
    <w:multiLevelType w:val="hybridMultilevel"/>
    <w:tmpl w:val="400C5A56"/>
    <w:lvl w:ilvl="0" w:tplc="46B8831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D813EB8"/>
    <w:multiLevelType w:val="multilevel"/>
    <w:tmpl w:val="C568CFC4"/>
    <w:lvl w:ilvl="0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</w:num>
  <w:num w:numId="4">
    <w:abstractNumId w:val="6"/>
  </w:num>
  <w:num w:numId="5">
    <w:abstractNumId w:val="11"/>
  </w:num>
  <w:num w:numId="6">
    <w:abstractNumId w:val="13"/>
  </w:num>
  <w:num w:numId="7">
    <w:abstractNumId w:val="3"/>
  </w:num>
  <w:num w:numId="8">
    <w:abstractNumId w:val="1"/>
  </w:num>
  <w:num w:numId="9">
    <w:abstractNumId w:val="2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5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pt-BR" w:vendorID="1" w:dllVersion="513" w:checkStyle="1"/>
  <w:activeWritingStyle w:appName="MSWord" w:lang="pt-PT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4505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A3"/>
    <w:rsid w:val="00000A29"/>
    <w:rsid w:val="00001787"/>
    <w:rsid w:val="00002399"/>
    <w:rsid w:val="00002404"/>
    <w:rsid w:val="00002CDA"/>
    <w:rsid w:val="0000434C"/>
    <w:rsid w:val="00006A7F"/>
    <w:rsid w:val="000075FC"/>
    <w:rsid w:val="00007D86"/>
    <w:rsid w:val="00010982"/>
    <w:rsid w:val="000207E9"/>
    <w:rsid w:val="000237A8"/>
    <w:rsid w:val="000249F3"/>
    <w:rsid w:val="000300E2"/>
    <w:rsid w:val="000309EB"/>
    <w:rsid w:val="000365CF"/>
    <w:rsid w:val="00042244"/>
    <w:rsid w:val="00052BE1"/>
    <w:rsid w:val="00053439"/>
    <w:rsid w:val="00056D5E"/>
    <w:rsid w:val="00064B25"/>
    <w:rsid w:val="00067B0F"/>
    <w:rsid w:val="0007302E"/>
    <w:rsid w:val="0008556F"/>
    <w:rsid w:val="000904CC"/>
    <w:rsid w:val="00090857"/>
    <w:rsid w:val="00090B5C"/>
    <w:rsid w:val="00091B55"/>
    <w:rsid w:val="00093EF2"/>
    <w:rsid w:val="0009701B"/>
    <w:rsid w:val="000A0B2B"/>
    <w:rsid w:val="000A4B94"/>
    <w:rsid w:val="000A504F"/>
    <w:rsid w:val="000A6410"/>
    <w:rsid w:val="000A6999"/>
    <w:rsid w:val="000A6AA6"/>
    <w:rsid w:val="000A78F6"/>
    <w:rsid w:val="000A7C3F"/>
    <w:rsid w:val="000B44B8"/>
    <w:rsid w:val="000B542F"/>
    <w:rsid w:val="000B789D"/>
    <w:rsid w:val="000C010F"/>
    <w:rsid w:val="000C1063"/>
    <w:rsid w:val="000C2B79"/>
    <w:rsid w:val="000C4A4C"/>
    <w:rsid w:val="000D1AE6"/>
    <w:rsid w:val="000D568A"/>
    <w:rsid w:val="000D6AFA"/>
    <w:rsid w:val="000E41BC"/>
    <w:rsid w:val="000F10C0"/>
    <w:rsid w:val="000F420D"/>
    <w:rsid w:val="000F50D7"/>
    <w:rsid w:val="00101BD6"/>
    <w:rsid w:val="001021F7"/>
    <w:rsid w:val="00102F09"/>
    <w:rsid w:val="00104629"/>
    <w:rsid w:val="0010609B"/>
    <w:rsid w:val="00106464"/>
    <w:rsid w:val="00106FFA"/>
    <w:rsid w:val="00113F36"/>
    <w:rsid w:val="00113F8D"/>
    <w:rsid w:val="0013550A"/>
    <w:rsid w:val="00144F58"/>
    <w:rsid w:val="00147A2E"/>
    <w:rsid w:val="00150B70"/>
    <w:rsid w:val="0015103D"/>
    <w:rsid w:val="00152D7F"/>
    <w:rsid w:val="00157D36"/>
    <w:rsid w:val="00162083"/>
    <w:rsid w:val="0016223A"/>
    <w:rsid w:val="00162804"/>
    <w:rsid w:val="0016439F"/>
    <w:rsid w:val="0016531A"/>
    <w:rsid w:val="00167D1F"/>
    <w:rsid w:val="0017028A"/>
    <w:rsid w:val="0017051B"/>
    <w:rsid w:val="00170713"/>
    <w:rsid w:val="00180038"/>
    <w:rsid w:val="00184A92"/>
    <w:rsid w:val="001865CA"/>
    <w:rsid w:val="0018750B"/>
    <w:rsid w:val="00192830"/>
    <w:rsid w:val="0019285C"/>
    <w:rsid w:val="00192910"/>
    <w:rsid w:val="001957F4"/>
    <w:rsid w:val="00195E5D"/>
    <w:rsid w:val="00196029"/>
    <w:rsid w:val="001A0401"/>
    <w:rsid w:val="001A0603"/>
    <w:rsid w:val="001A1867"/>
    <w:rsid w:val="001B49DE"/>
    <w:rsid w:val="001B54E1"/>
    <w:rsid w:val="001B5C04"/>
    <w:rsid w:val="001B6545"/>
    <w:rsid w:val="001B7404"/>
    <w:rsid w:val="001C09C7"/>
    <w:rsid w:val="001C0AE2"/>
    <w:rsid w:val="001C414C"/>
    <w:rsid w:val="001C548E"/>
    <w:rsid w:val="001C611D"/>
    <w:rsid w:val="001C6DA3"/>
    <w:rsid w:val="001C7670"/>
    <w:rsid w:val="001D177D"/>
    <w:rsid w:val="001D6A2C"/>
    <w:rsid w:val="001D6AAF"/>
    <w:rsid w:val="001D7198"/>
    <w:rsid w:val="001E637B"/>
    <w:rsid w:val="001E724C"/>
    <w:rsid w:val="001F0097"/>
    <w:rsid w:val="002015A2"/>
    <w:rsid w:val="00202936"/>
    <w:rsid w:val="0020658F"/>
    <w:rsid w:val="00214C94"/>
    <w:rsid w:val="00216758"/>
    <w:rsid w:val="00232FA6"/>
    <w:rsid w:val="00233541"/>
    <w:rsid w:val="002347C5"/>
    <w:rsid w:val="00234A8A"/>
    <w:rsid w:val="00241707"/>
    <w:rsid w:val="002471D3"/>
    <w:rsid w:val="002478EF"/>
    <w:rsid w:val="00247EB2"/>
    <w:rsid w:val="002560E8"/>
    <w:rsid w:val="00256824"/>
    <w:rsid w:val="00264EF3"/>
    <w:rsid w:val="00265B6C"/>
    <w:rsid w:val="00266A4D"/>
    <w:rsid w:val="002715D2"/>
    <w:rsid w:val="00277155"/>
    <w:rsid w:val="002803BA"/>
    <w:rsid w:val="00281F43"/>
    <w:rsid w:val="0028273F"/>
    <w:rsid w:val="00282D36"/>
    <w:rsid w:val="002838EC"/>
    <w:rsid w:val="002908D7"/>
    <w:rsid w:val="0029099A"/>
    <w:rsid w:val="00290CC3"/>
    <w:rsid w:val="0029389C"/>
    <w:rsid w:val="00293ED2"/>
    <w:rsid w:val="002A36FB"/>
    <w:rsid w:val="002A53A1"/>
    <w:rsid w:val="002A6442"/>
    <w:rsid w:val="002B06A3"/>
    <w:rsid w:val="002B0F9C"/>
    <w:rsid w:val="002B75BE"/>
    <w:rsid w:val="002B7C78"/>
    <w:rsid w:val="002C0EC7"/>
    <w:rsid w:val="002C3FE6"/>
    <w:rsid w:val="002C4BC9"/>
    <w:rsid w:val="002C5A6B"/>
    <w:rsid w:val="002D5065"/>
    <w:rsid w:val="002E1967"/>
    <w:rsid w:val="002E6239"/>
    <w:rsid w:val="002E65B0"/>
    <w:rsid w:val="002E68C2"/>
    <w:rsid w:val="002F0428"/>
    <w:rsid w:val="002F4A7F"/>
    <w:rsid w:val="002F5F77"/>
    <w:rsid w:val="002F7C0C"/>
    <w:rsid w:val="0030170E"/>
    <w:rsid w:val="00302349"/>
    <w:rsid w:val="00303151"/>
    <w:rsid w:val="00304D3C"/>
    <w:rsid w:val="003067CE"/>
    <w:rsid w:val="003072AF"/>
    <w:rsid w:val="00310F39"/>
    <w:rsid w:val="003111FB"/>
    <w:rsid w:val="0031232A"/>
    <w:rsid w:val="0031300B"/>
    <w:rsid w:val="0033367C"/>
    <w:rsid w:val="003336BE"/>
    <w:rsid w:val="00337717"/>
    <w:rsid w:val="00337AD3"/>
    <w:rsid w:val="00343948"/>
    <w:rsid w:val="00346429"/>
    <w:rsid w:val="00347358"/>
    <w:rsid w:val="003478A5"/>
    <w:rsid w:val="003506AB"/>
    <w:rsid w:val="0035164A"/>
    <w:rsid w:val="00351915"/>
    <w:rsid w:val="00353718"/>
    <w:rsid w:val="00355054"/>
    <w:rsid w:val="003557AD"/>
    <w:rsid w:val="00356F2B"/>
    <w:rsid w:val="003574DF"/>
    <w:rsid w:val="003621EB"/>
    <w:rsid w:val="00370422"/>
    <w:rsid w:val="003747FC"/>
    <w:rsid w:val="003751CF"/>
    <w:rsid w:val="0037705A"/>
    <w:rsid w:val="00377461"/>
    <w:rsid w:val="00377570"/>
    <w:rsid w:val="003829EB"/>
    <w:rsid w:val="00383B19"/>
    <w:rsid w:val="003844A4"/>
    <w:rsid w:val="00384E77"/>
    <w:rsid w:val="00384F20"/>
    <w:rsid w:val="00387608"/>
    <w:rsid w:val="00393263"/>
    <w:rsid w:val="0039532F"/>
    <w:rsid w:val="003A0C4F"/>
    <w:rsid w:val="003A1453"/>
    <w:rsid w:val="003A23A1"/>
    <w:rsid w:val="003B2FBB"/>
    <w:rsid w:val="003B3A56"/>
    <w:rsid w:val="003B4037"/>
    <w:rsid w:val="003B4DCB"/>
    <w:rsid w:val="003C1A3A"/>
    <w:rsid w:val="003C2AA5"/>
    <w:rsid w:val="003C74CE"/>
    <w:rsid w:val="003D4AAC"/>
    <w:rsid w:val="003D5498"/>
    <w:rsid w:val="003E07E7"/>
    <w:rsid w:val="003E2A18"/>
    <w:rsid w:val="003E5331"/>
    <w:rsid w:val="003E5C0C"/>
    <w:rsid w:val="003F3C3E"/>
    <w:rsid w:val="003F5AF7"/>
    <w:rsid w:val="004013CC"/>
    <w:rsid w:val="004018C0"/>
    <w:rsid w:val="004031CE"/>
    <w:rsid w:val="00403D7E"/>
    <w:rsid w:val="00404017"/>
    <w:rsid w:val="0041011B"/>
    <w:rsid w:val="00413B4F"/>
    <w:rsid w:val="0042015A"/>
    <w:rsid w:val="004206C8"/>
    <w:rsid w:val="00425534"/>
    <w:rsid w:val="00426CE4"/>
    <w:rsid w:val="004303E5"/>
    <w:rsid w:val="00431822"/>
    <w:rsid w:val="0043419D"/>
    <w:rsid w:val="00437336"/>
    <w:rsid w:val="004374F3"/>
    <w:rsid w:val="00437931"/>
    <w:rsid w:val="00440081"/>
    <w:rsid w:val="004434F0"/>
    <w:rsid w:val="00443BD6"/>
    <w:rsid w:val="0044446A"/>
    <w:rsid w:val="00450BEB"/>
    <w:rsid w:val="00451876"/>
    <w:rsid w:val="00453C45"/>
    <w:rsid w:val="00453F94"/>
    <w:rsid w:val="00456185"/>
    <w:rsid w:val="004604F5"/>
    <w:rsid w:val="00467581"/>
    <w:rsid w:val="00467B77"/>
    <w:rsid w:val="00474861"/>
    <w:rsid w:val="00477433"/>
    <w:rsid w:val="00477AF0"/>
    <w:rsid w:val="00485096"/>
    <w:rsid w:val="004879D1"/>
    <w:rsid w:val="00491CBC"/>
    <w:rsid w:val="00494B5E"/>
    <w:rsid w:val="0049584E"/>
    <w:rsid w:val="00495A98"/>
    <w:rsid w:val="004A2A61"/>
    <w:rsid w:val="004A3F77"/>
    <w:rsid w:val="004A41E2"/>
    <w:rsid w:val="004A4D4F"/>
    <w:rsid w:val="004A6412"/>
    <w:rsid w:val="004B00E2"/>
    <w:rsid w:val="004B1C53"/>
    <w:rsid w:val="004B3D1D"/>
    <w:rsid w:val="004B4626"/>
    <w:rsid w:val="004B62E4"/>
    <w:rsid w:val="004B7298"/>
    <w:rsid w:val="004B76F8"/>
    <w:rsid w:val="004C2006"/>
    <w:rsid w:val="004C2638"/>
    <w:rsid w:val="004C36F0"/>
    <w:rsid w:val="004C52E3"/>
    <w:rsid w:val="004C5F84"/>
    <w:rsid w:val="004D1B41"/>
    <w:rsid w:val="004D2279"/>
    <w:rsid w:val="004D3133"/>
    <w:rsid w:val="004E37BE"/>
    <w:rsid w:val="004E4D27"/>
    <w:rsid w:val="004E5131"/>
    <w:rsid w:val="004E7EF8"/>
    <w:rsid w:val="004F01A5"/>
    <w:rsid w:val="004F1F47"/>
    <w:rsid w:val="004F3C91"/>
    <w:rsid w:val="004F59CA"/>
    <w:rsid w:val="004F760E"/>
    <w:rsid w:val="005012C9"/>
    <w:rsid w:val="00501359"/>
    <w:rsid w:val="0050295B"/>
    <w:rsid w:val="00502F4C"/>
    <w:rsid w:val="00503F4F"/>
    <w:rsid w:val="00504ED2"/>
    <w:rsid w:val="00507B7C"/>
    <w:rsid w:val="00507DE0"/>
    <w:rsid w:val="00512577"/>
    <w:rsid w:val="00512CC3"/>
    <w:rsid w:val="00515FE2"/>
    <w:rsid w:val="00517D28"/>
    <w:rsid w:val="005244AA"/>
    <w:rsid w:val="005302BF"/>
    <w:rsid w:val="0053169C"/>
    <w:rsid w:val="00536DA1"/>
    <w:rsid w:val="00537956"/>
    <w:rsid w:val="005419F9"/>
    <w:rsid w:val="00542007"/>
    <w:rsid w:val="0054339D"/>
    <w:rsid w:val="005479C2"/>
    <w:rsid w:val="0055065F"/>
    <w:rsid w:val="00551E2C"/>
    <w:rsid w:val="00552D12"/>
    <w:rsid w:val="00555465"/>
    <w:rsid w:val="005556AB"/>
    <w:rsid w:val="00555B2D"/>
    <w:rsid w:val="00561F63"/>
    <w:rsid w:val="005746D3"/>
    <w:rsid w:val="00575FAB"/>
    <w:rsid w:val="00583F8C"/>
    <w:rsid w:val="00584D98"/>
    <w:rsid w:val="00585599"/>
    <w:rsid w:val="005856E7"/>
    <w:rsid w:val="0059418D"/>
    <w:rsid w:val="00594355"/>
    <w:rsid w:val="00597523"/>
    <w:rsid w:val="005A7586"/>
    <w:rsid w:val="005A771D"/>
    <w:rsid w:val="005B5D75"/>
    <w:rsid w:val="005B6205"/>
    <w:rsid w:val="005B7394"/>
    <w:rsid w:val="005C0504"/>
    <w:rsid w:val="005C2EE3"/>
    <w:rsid w:val="005C3439"/>
    <w:rsid w:val="005C36DF"/>
    <w:rsid w:val="005C686D"/>
    <w:rsid w:val="005C6F25"/>
    <w:rsid w:val="005E140E"/>
    <w:rsid w:val="005E4B6E"/>
    <w:rsid w:val="005E52DA"/>
    <w:rsid w:val="005E66E6"/>
    <w:rsid w:val="005F7620"/>
    <w:rsid w:val="00600E26"/>
    <w:rsid w:val="00604FE6"/>
    <w:rsid w:val="00606310"/>
    <w:rsid w:val="006105A6"/>
    <w:rsid w:val="0061067E"/>
    <w:rsid w:val="006113D3"/>
    <w:rsid w:val="0061372C"/>
    <w:rsid w:val="00615155"/>
    <w:rsid w:val="006162CC"/>
    <w:rsid w:val="0062431C"/>
    <w:rsid w:val="006351BE"/>
    <w:rsid w:val="00637B98"/>
    <w:rsid w:val="0064007F"/>
    <w:rsid w:val="00642348"/>
    <w:rsid w:val="006428E2"/>
    <w:rsid w:val="00643883"/>
    <w:rsid w:val="00652DD2"/>
    <w:rsid w:val="00656476"/>
    <w:rsid w:val="00657416"/>
    <w:rsid w:val="006601F2"/>
    <w:rsid w:val="00660EAA"/>
    <w:rsid w:val="00660EBE"/>
    <w:rsid w:val="006644A2"/>
    <w:rsid w:val="00673EC6"/>
    <w:rsid w:val="00674174"/>
    <w:rsid w:val="00675FB8"/>
    <w:rsid w:val="006768E1"/>
    <w:rsid w:val="006770D3"/>
    <w:rsid w:val="0068529E"/>
    <w:rsid w:val="0068722D"/>
    <w:rsid w:val="0069002E"/>
    <w:rsid w:val="00690424"/>
    <w:rsid w:val="00690A9D"/>
    <w:rsid w:val="00690DC4"/>
    <w:rsid w:val="00691404"/>
    <w:rsid w:val="00695CBA"/>
    <w:rsid w:val="006A0C86"/>
    <w:rsid w:val="006A599C"/>
    <w:rsid w:val="006A7108"/>
    <w:rsid w:val="006B1BBC"/>
    <w:rsid w:val="006B2605"/>
    <w:rsid w:val="006B49D7"/>
    <w:rsid w:val="006B6B82"/>
    <w:rsid w:val="006B7F85"/>
    <w:rsid w:val="006C1BAE"/>
    <w:rsid w:val="006C43CC"/>
    <w:rsid w:val="006C7DDA"/>
    <w:rsid w:val="006D1972"/>
    <w:rsid w:val="006D2B4C"/>
    <w:rsid w:val="006D36E2"/>
    <w:rsid w:val="006D382C"/>
    <w:rsid w:val="006D59F6"/>
    <w:rsid w:val="006D606D"/>
    <w:rsid w:val="006E2199"/>
    <w:rsid w:val="006E3BCE"/>
    <w:rsid w:val="006E5B5F"/>
    <w:rsid w:val="006E642F"/>
    <w:rsid w:val="006F2C16"/>
    <w:rsid w:val="006F48FF"/>
    <w:rsid w:val="006F5ED8"/>
    <w:rsid w:val="006F60BA"/>
    <w:rsid w:val="006F61C6"/>
    <w:rsid w:val="006F72EA"/>
    <w:rsid w:val="007064E3"/>
    <w:rsid w:val="00707789"/>
    <w:rsid w:val="007115D9"/>
    <w:rsid w:val="00712967"/>
    <w:rsid w:val="00726653"/>
    <w:rsid w:val="007320F3"/>
    <w:rsid w:val="00735021"/>
    <w:rsid w:val="0073668C"/>
    <w:rsid w:val="007403D6"/>
    <w:rsid w:val="00741569"/>
    <w:rsid w:val="00741DB5"/>
    <w:rsid w:val="0074586E"/>
    <w:rsid w:val="007466F6"/>
    <w:rsid w:val="00747F8F"/>
    <w:rsid w:val="00751605"/>
    <w:rsid w:val="0075298E"/>
    <w:rsid w:val="00752D31"/>
    <w:rsid w:val="0076124D"/>
    <w:rsid w:val="00767FDF"/>
    <w:rsid w:val="007729CE"/>
    <w:rsid w:val="00773203"/>
    <w:rsid w:val="00773294"/>
    <w:rsid w:val="0077351F"/>
    <w:rsid w:val="00773612"/>
    <w:rsid w:val="00775F52"/>
    <w:rsid w:val="00777170"/>
    <w:rsid w:val="00780E62"/>
    <w:rsid w:val="007822D1"/>
    <w:rsid w:val="00782950"/>
    <w:rsid w:val="0078376F"/>
    <w:rsid w:val="00783C52"/>
    <w:rsid w:val="00785A2E"/>
    <w:rsid w:val="007863D3"/>
    <w:rsid w:val="00786DE6"/>
    <w:rsid w:val="007914CB"/>
    <w:rsid w:val="00797C66"/>
    <w:rsid w:val="00797DDB"/>
    <w:rsid w:val="007A07F6"/>
    <w:rsid w:val="007A24A8"/>
    <w:rsid w:val="007A2DF5"/>
    <w:rsid w:val="007A3C46"/>
    <w:rsid w:val="007A4C4F"/>
    <w:rsid w:val="007B03C1"/>
    <w:rsid w:val="007B2A62"/>
    <w:rsid w:val="007B71B0"/>
    <w:rsid w:val="007C05FB"/>
    <w:rsid w:val="007C5136"/>
    <w:rsid w:val="007C515F"/>
    <w:rsid w:val="007C695D"/>
    <w:rsid w:val="007C7000"/>
    <w:rsid w:val="007C7B17"/>
    <w:rsid w:val="007C7D07"/>
    <w:rsid w:val="007D6E7F"/>
    <w:rsid w:val="007D72C9"/>
    <w:rsid w:val="007E0A0D"/>
    <w:rsid w:val="007E4B35"/>
    <w:rsid w:val="007E6097"/>
    <w:rsid w:val="007F080F"/>
    <w:rsid w:val="007F153C"/>
    <w:rsid w:val="007F3A29"/>
    <w:rsid w:val="007F4804"/>
    <w:rsid w:val="007F74A9"/>
    <w:rsid w:val="00801D58"/>
    <w:rsid w:val="008045D8"/>
    <w:rsid w:val="008065CF"/>
    <w:rsid w:val="00816F64"/>
    <w:rsid w:val="008179C5"/>
    <w:rsid w:val="00823C1A"/>
    <w:rsid w:val="00826328"/>
    <w:rsid w:val="0083485A"/>
    <w:rsid w:val="00835FD9"/>
    <w:rsid w:val="00836D21"/>
    <w:rsid w:val="008407DB"/>
    <w:rsid w:val="00840D3B"/>
    <w:rsid w:val="0084152E"/>
    <w:rsid w:val="008419F8"/>
    <w:rsid w:val="00843329"/>
    <w:rsid w:val="008467A9"/>
    <w:rsid w:val="0084791D"/>
    <w:rsid w:val="008504E1"/>
    <w:rsid w:val="00850644"/>
    <w:rsid w:val="00850E73"/>
    <w:rsid w:val="00851715"/>
    <w:rsid w:val="00853312"/>
    <w:rsid w:val="00856506"/>
    <w:rsid w:val="00862499"/>
    <w:rsid w:val="008639C2"/>
    <w:rsid w:val="00865CA3"/>
    <w:rsid w:val="00866996"/>
    <w:rsid w:val="00872AB5"/>
    <w:rsid w:val="00874769"/>
    <w:rsid w:val="00877F87"/>
    <w:rsid w:val="00882270"/>
    <w:rsid w:val="00886051"/>
    <w:rsid w:val="00890ED6"/>
    <w:rsid w:val="00891577"/>
    <w:rsid w:val="008A2B94"/>
    <w:rsid w:val="008A3239"/>
    <w:rsid w:val="008A3747"/>
    <w:rsid w:val="008A4417"/>
    <w:rsid w:val="008A5C2F"/>
    <w:rsid w:val="008B0486"/>
    <w:rsid w:val="008B0A4A"/>
    <w:rsid w:val="008B17F8"/>
    <w:rsid w:val="008B4F22"/>
    <w:rsid w:val="008B5D6D"/>
    <w:rsid w:val="008C221D"/>
    <w:rsid w:val="008C4BE5"/>
    <w:rsid w:val="008C6A0A"/>
    <w:rsid w:val="008D1E45"/>
    <w:rsid w:val="008D5655"/>
    <w:rsid w:val="008D7B53"/>
    <w:rsid w:val="008E1172"/>
    <w:rsid w:val="008E1566"/>
    <w:rsid w:val="008E53AE"/>
    <w:rsid w:val="008F01BC"/>
    <w:rsid w:val="008F7469"/>
    <w:rsid w:val="00901B64"/>
    <w:rsid w:val="009043B5"/>
    <w:rsid w:val="00906415"/>
    <w:rsid w:val="009105EC"/>
    <w:rsid w:val="00914D3A"/>
    <w:rsid w:val="00914EA3"/>
    <w:rsid w:val="00916405"/>
    <w:rsid w:val="0091712B"/>
    <w:rsid w:val="009207A2"/>
    <w:rsid w:val="0092450D"/>
    <w:rsid w:val="0092632D"/>
    <w:rsid w:val="00930ABB"/>
    <w:rsid w:val="00932BAD"/>
    <w:rsid w:val="00933723"/>
    <w:rsid w:val="0093776D"/>
    <w:rsid w:val="00937BFA"/>
    <w:rsid w:val="00942E95"/>
    <w:rsid w:val="00943FD0"/>
    <w:rsid w:val="0094695E"/>
    <w:rsid w:val="009469C4"/>
    <w:rsid w:val="00946D52"/>
    <w:rsid w:val="0095032E"/>
    <w:rsid w:val="00950A8C"/>
    <w:rsid w:val="0095608C"/>
    <w:rsid w:val="00956B47"/>
    <w:rsid w:val="00962579"/>
    <w:rsid w:val="00962648"/>
    <w:rsid w:val="00972EB9"/>
    <w:rsid w:val="009741F8"/>
    <w:rsid w:val="00977AF8"/>
    <w:rsid w:val="00981C7C"/>
    <w:rsid w:val="00983D76"/>
    <w:rsid w:val="00985DF2"/>
    <w:rsid w:val="009877C0"/>
    <w:rsid w:val="00991397"/>
    <w:rsid w:val="00992515"/>
    <w:rsid w:val="009945D7"/>
    <w:rsid w:val="00995538"/>
    <w:rsid w:val="009962C7"/>
    <w:rsid w:val="009A050E"/>
    <w:rsid w:val="009A74FA"/>
    <w:rsid w:val="009B0DE9"/>
    <w:rsid w:val="009B2183"/>
    <w:rsid w:val="009B3B27"/>
    <w:rsid w:val="009B4CAD"/>
    <w:rsid w:val="009B5A6A"/>
    <w:rsid w:val="009C1E05"/>
    <w:rsid w:val="009C1FA5"/>
    <w:rsid w:val="009C2B6F"/>
    <w:rsid w:val="009C341E"/>
    <w:rsid w:val="009C5BE8"/>
    <w:rsid w:val="009D073A"/>
    <w:rsid w:val="009D34B5"/>
    <w:rsid w:val="009D3F09"/>
    <w:rsid w:val="009D4952"/>
    <w:rsid w:val="009D532F"/>
    <w:rsid w:val="009D549F"/>
    <w:rsid w:val="009D5675"/>
    <w:rsid w:val="009E2151"/>
    <w:rsid w:val="009E2972"/>
    <w:rsid w:val="009E4E03"/>
    <w:rsid w:val="009E54B8"/>
    <w:rsid w:val="009E5DF0"/>
    <w:rsid w:val="009F0682"/>
    <w:rsid w:val="009F2A02"/>
    <w:rsid w:val="009F3AB0"/>
    <w:rsid w:val="009F7A8F"/>
    <w:rsid w:val="00A01DAA"/>
    <w:rsid w:val="00A07EDB"/>
    <w:rsid w:val="00A1504D"/>
    <w:rsid w:val="00A15408"/>
    <w:rsid w:val="00A251B1"/>
    <w:rsid w:val="00A26A9D"/>
    <w:rsid w:val="00A3085A"/>
    <w:rsid w:val="00A35705"/>
    <w:rsid w:val="00A35F50"/>
    <w:rsid w:val="00A36D45"/>
    <w:rsid w:val="00A407FF"/>
    <w:rsid w:val="00A40DC3"/>
    <w:rsid w:val="00A4238C"/>
    <w:rsid w:val="00A4477D"/>
    <w:rsid w:val="00A44A43"/>
    <w:rsid w:val="00A45B08"/>
    <w:rsid w:val="00A472F7"/>
    <w:rsid w:val="00A51008"/>
    <w:rsid w:val="00A544A1"/>
    <w:rsid w:val="00A54AE4"/>
    <w:rsid w:val="00A56586"/>
    <w:rsid w:val="00A56828"/>
    <w:rsid w:val="00A60529"/>
    <w:rsid w:val="00A62ED7"/>
    <w:rsid w:val="00A66B9F"/>
    <w:rsid w:val="00A66DAC"/>
    <w:rsid w:val="00A70140"/>
    <w:rsid w:val="00A730B2"/>
    <w:rsid w:val="00A7760C"/>
    <w:rsid w:val="00A82936"/>
    <w:rsid w:val="00A82CC6"/>
    <w:rsid w:val="00A82F42"/>
    <w:rsid w:val="00A851C9"/>
    <w:rsid w:val="00A85554"/>
    <w:rsid w:val="00A91356"/>
    <w:rsid w:val="00A9155C"/>
    <w:rsid w:val="00A91BE3"/>
    <w:rsid w:val="00A952BB"/>
    <w:rsid w:val="00AA27B6"/>
    <w:rsid w:val="00AA4E51"/>
    <w:rsid w:val="00AA6107"/>
    <w:rsid w:val="00AA7149"/>
    <w:rsid w:val="00AB167E"/>
    <w:rsid w:val="00AB43BF"/>
    <w:rsid w:val="00AB5F75"/>
    <w:rsid w:val="00AB6882"/>
    <w:rsid w:val="00AC0A49"/>
    <w:rsid w:val="00AC24D2"/>
    <w:rsid w:val="00AD0C33"/>
    <w:rsid w:val="00AE371B"/>
    <w:rsid w:val="00AE438A"/>
    <w:rsid w:val="00AE5F84"/>
    <w:rsid w:val="00AF208A"/>
    <w:rsid w:val="00AF62FE"/>
    <w:rsid w:val="00B008DA"/>
    <w:rsid w:val="00B02402"/>
    <w:rsid w:val="00B02E68"/>
    <w:rsid w:val="00B02FEB"/>
    <w:rsid w:val="00B0432B"/>
    <w:rsid w:val="00B05631"/>
    <w:rsid w:val="00B07351"/>
    <w:rsid w:val="00B0767B"/>
    <w:rsid w:val="00B10762"/>
    <w:rsid w:val="00B1129F"/>
    <w:rsid w:val="00B16123"/>
    <w:rsid w:val="00B245AB"/>
    <w:rsid w:val="00B25F62"/>
    <w:rsid w:val="00B3583B"/>
    <w:rsid w:val="00B402A8"/>
    <w:rsid w:val="00B40743"/>
    <w:rsid w:val="00B44647"/>
    <w:rsid w:val="00B47086"/>
    <w:rsid w:val="00B51926"/>
    <w:rsid w:val="00B549BA"/>
    <w:rsid w:val="00B645D6"/>
    <w:rsid w:val="00B66AB4"/>
    <w:rsid w:val="00B678CA"/>
    <w:rsid w:val="00B726BC"/>
    <w:rsid w:val="00B7409F"/>
    <w:rsid w:val="00B74734"/>
    <w:rsid w:val="00B75104"/>
    <w:rsid w:val="00B75363"/>
    <w:rsid w:val="00B758D5"/>
    <w:rsid w:val="00B75F49"/>
    <w:rsid w:val="00B77CAE"/>
    <w:rsid w:val="00B81979"/>
    <w:rsid w:val="00B87381"/>
    <w:rsid w:val="00B909C2"/>
    <w:rsid w:val="00B91BCC"/>
    <w:rsid w:val="00B92D48"/>
    <w:rsid w:val="00B94063"/>
    <w:rsid w:val="00B95D7B"/>
    <w:rsid w:val="00B96BB9"/>
    <w:rsid w:val="00BA12C1"/>
    <w:rsid w:val="00BA2383"/>
    <w:rsid w:val="00BA3684"/>
    <w:rsid w:val="00BA43AD"/>
    <w:rsid w:val="00BA4FB3"/>
    <w:rsid w:val="00BB390B"/>
    <w:rsid w:val="00BB45BA"/>
    <w:rsid w:val="00BB4D17"/>
    <w:rsid w:val="00BB6638"/>
    <w:rsid w:val="00BC5A1B"/>
    <w:rsid w:val="00BD0DAC"/>
    <w:rsid w:val="00BE0DE6"/>
    <w:rsid w:val="00BE488E"/>
    <w:rsid w:val="00BE6F15"/>
    <w:rsid w:val="00BF0875"/>
    <w:rsid w:val="00BF0A7A"/>
    <w:rsid w:val="00BF2DC4"/>
    <w:rsid w:val="00BF44D9"/>
    <w:rsid w:val="00BF6DCF"/>
    <w:rsid w:val="00BF6E47"/>
    <w:rsid w:val="00C0387B"/>
    <w:rsid w:val="00C04DA8"/>
    <w:rsid w:val="00C16169"/>
    <w:rsid w:val="00C16A02"/>
    <w:rsid w:val="00C223CA"/>
    <w:rsid w:val="00C405B2"/>
    <w:rsid w:val="00C41675"/>
    <w:rsid w:val="00C45948"/>
    <w:rsid w:val="00C46767"/>
    <w:rsid w:val="00C47BCA"/>
    <w:rsid w:val="00C47DC1"/>
    <w:rsid w:val="00C55731"/>
    <w:rsid w:val="00C56B05"/>
    <w:rsid w:val="00C602C8"/>
    <w:rsid w:val="00C61449"/>
    <w:rsid w:val="00C660E4"/>
    <w:rsid w:val="00C701BD"/>
    <w:rsid w:val="00C701F2"/>
    <w:rsid w:val="00C71518"/>
    <w:rsid w:val="00C753A8"/>
    <w:rsid w:val="00C76E8D"/>
    <w:rsid w:val="00C812B4"/>
    <w:rsid w:val="00C84F1C"/>
    <w:rsid w:val="00C8705A"/>
    <w:rsid w:val="00C87793"/>
    <w:rsid w:val="00C910E4"/>
    <w:rsid w:val="00C9170E"/>
    <w:rsid w:val="00C91D17"/>
    <w:rsid w:val="00CA067D"/>
    <w:rsid w:val="00CA0AA9"/>
    <w:rsid w:val="00CA1F2D"/>
    <w:rsid w:val="00CA2088"/>
    <w:rsid w:val="00CA23C2"/>
    <w:rsid w:val="00CA420B"/>
    <w:rsid w:val="00CA44AB"/>
    <w:rsid w:val="00CA643E"/>
    <w:rsid w:val="00CB13FF"/>
    <w:rsid w:val="00CB6332"/>
    <w:rsid w:val="00CC217A"/>
    <w:rsid w:val="00CD45B3"/>
    <w:rsid w:val="00CE03B8"/>
    <w:rsid w:val="00CE2DA3"/>
    <w:rsid w:val="00CE631C"/>
    <w:rsid w:val="00CE65BB"/>
    <w:rsid w:val="00CF5A8A"/>
    <w:rsid w:val="00CF5C3F"/>
    <w:rsid w:val="00CF5E18"/>
    <w:rsid w:val="00D03144"/>
    <w:rsid w:val="00D03950"/>
    <w:rsid w:val="00D03A2A"/>
    <w:rsid w:val="00D060B9"/>
    <w:rsid w:val="00D115EF"/>
    <w:rsid w:val="00D1617A"/>
    <w:rsid w:val="00D20669"/>
    <w:rsid w:val="00D22077"/>
    <w:rsid w:val="00D2468F"/>
    <w:rsid w:val="00D247AD"/>
    <w:rsid w:val="00D258B5"/>
    <w:rsid w:val="00D27D95"/>
    <w:rsid w:val="00D30C21"/>
    <w:rsid w:val="00D31EDF"/>
    <w:rsid w:val="00D34400"/>
    <w:rsid w:val="00D34421"/>
    <w:rsid w:val="00D35BB9"/>
    <w:rsid w:val="00D37E59"/>
    <w:rsid w:val="00D40465"/>
    <w:rsid w:val="00D500CD"/>
    <w:rsid w:val="00D5256A"/>
    <w:rsid w:val="00D578CD"/>
    <w:rsid w:val="00D57C7F"/>
    <w:rsid w:val="00D612A1"/>
    <w:rsid w:val="00D633D7"/>
    <w:rsid w:val="00D63FA8"/>
    <w:rsid w:val="00D65709"/>
    <w:rsid w:val="00D74CB3"/>
    <w:rsid w:val="00D80C3B"/>
    <w:rsid w:val="00D81420"/>
    <w:rsid w:val="00D836F3"/>
    <w:rsid w:val="00D844E5"/>
    <w:rsid w:val="00D86D75"/>
    <w:rsid w:val="00D90E05"/>
    <w:rsid w:val="00D9130E"/>
    <w:rsid w:val="00D91A32"/>
    <w:rsid w:val="00D936A6"/>
    <w:rsid w:val="00D95E62"/>
    <w:rsid w:val="00D9784C"/>
    <w:rsid w:val="00D97CCC"/>
    <w:rsid w:val="00DA29BD"/>
    <w:rsid w:val="00DA31FD"/>
    <w:rsid w:val="00DA3393"/>
    <w:rsid w:val="00DA37DE"/>
    <w:rsid w:val="00DA380B"/>
    <w:rsid w:val="00DB4756"/>
    <w:rsid w:val="00DB5DC6"/>
    <w:rsid w:val="00DC2A51"/>
    <w:rsid w:val="00DC4132"/>
    <w:rsid w:val="00DC49D9"/>
    <w:rsid w:val="00DC5388"/>
    <w:rsid w:val="00DC731E"/>
    <w:rsid w:val="00DD5D90"/>
    <w:rsid w:val="00DD6A1B"/>
    <w:rsid w:val="00DD7D90"/>
    <w:rsid w:val="00DE10CD"/>
    <w:rsid w:val="00DE4CAD"/>
    <w:rsid w:val="00DE60BE"/>
    <w:rsid w:val="00E013DD"/>
    <w:rsid w:val="00E01925"/>
    <w:rsid w:val="00E033E3"/>
    <w:rsid w:val="00E1177D"/>
    <w:rsid w:val="00E133E2"/>
    <w:rsid w:val="00E15FA6"/>
    <w:rsid w:val="00E163C9"/>
    <w:rsid w:val="00E21A65"/>
    <w:rsid w:val="00E2249F"/>
    <w:rsid w:val="00E2501B"/>
    <w:rsid w:val="00E27A23"/>
    <w:rsid w:val="00E27C27"/>
    <w:rsid w:val="00E305D8"/>
    <w:rsid w:val="00E33C1E"/>
    <w:rsid w:val="00E34184"/>
    <w:rsid w:val="00E36F5F"/>
    <w:rsid w:val="00E40BF5"/>
    <w:rsid w:val="00E40CEA"/>
    <w:rsid w:val="00E421CF"/>
    <w:rsid w:val="00E43331"/>
    <w:rsid w:val="00E433BE"/>
    <w:rsid w:val="00E53C5B"/>
    <w:rsid w:val="00E54836"/>
    <w:rsid w:val="00E569F7"/>
    <w:rsid w:val="00E5737B"/>
    <w:rsid w:val="00E62695"/>
    <w:rsid w:val="00E62D71"/>
    <w:rsid w:val="00E6515E"/>
    <w:rsid w:val="00E75A0C"/>
    <w:rsid w:val="00E77FA3"/>
    <w:rsid w:val="00E8579C"/>
    <w:rsid w:val="00E92BD3"/>
    <w:rsid w:val="00E95124"/>
    <w:rsid w:val="00E96351"/>
    <w:rsid w:val="00EA0F5F"/>
    <w:rsid w:val="00EA1A9F"/>
    <w:rsid w:val="00EA1E21"/>
    <w:rsid w:val="00EA2917"/>
    <w:rsid w:val="00EA40B8"/>
    <w:rsid w:val="00EA4A74"/>
    <w:rsid w:val="00EB01A8"/>
    <w:rsid w:val="00EB1282"/>
    <w:rsid w:val="00EC01B4"/>
    <w:rsid w:val="00EC0BFC"/>
    <w:rsid w:val="00EC162D"/>
    <w:rsid w:val="00EC276D"/>
    <w:rsid w:val="00EC3F11"/>
    <w:rsid w:val="00EC42A4"/>
    <w:rsid w:val="00EC78A4"/>
    <w:rsid w:val="00ED039D"/>
    <w:rsid w:val="00ED04AE"/>
    <w:rsid w:val="00ED47EC"/>
    <w:rsid w:val="00EE0360"/>
    <w:rsid w:val="00EE0ACA"/>
    <w:rsid w:val="00EE1379"/>
    <w:rsid w:val="00EE3850"/>
    <w:rsid w:val="00EE4440"/>
    <w:rsid w:val="00EE554A"/>
    <w:rsid w:val="00EF0B74"/>
    <w:rsid w:val="00EF12D6"/>
    <w:rsid w:val="00EF47C9"/>
    <w:rsid w:val="00EF50F1"/>
    <w:rsid w:val="00EF5972"/>
    <w:rsid w:val="00EF6819"/>
    <w:rsid w:val="00EF6A34"/>
    <w:rsid w:val="00F076A8"/>
    <w:rsid w:val="00F07A8D"/>
    <w:rsid w:val="00F11510"/>
    <w:rsid w:val="00F2295A"/>
    <w:rsid w:val="00F23B97"/>
    <w:rsid w:val="00F23E84"/>
    <w:rsid w:val="00F257B2"/>
    <w:rsid w:val="00F259C3"/>
    <w:rsid w:val="00F301B6"/>
    <w:rsid w:val="00F411EF"/>
    <w:rsid w:val="00F41AD6"/>
    <w:rsid w:val="00F52FDD"/>
    <w:rsid w:val="00F53861"/>
    <w:rsid w:val="00F53A5A"/>
    <w:rsid w:val="00F547E5"/>
    <w:rsid w:val="00F57012"/>
    <w:rsid w:val="00F6051D"/>
    <w:rsid w:val="00F61052"/>
    <w:rsid w:val="00F619BF"/>
    <w:rsid w:val="00F715FF"/>
    <w:rsid w:val="00F7448D"/>
    <w:rsid w:val="00F75D43"/>
    <w:rsid w:val="00F80F73"/>
    <w:rsid w:val="00F810F3"/>
    <w:rsid w:val="00F83BC7"/>
    <w:rsid w:val="00F9335C"/>
    <w:rsid w:val="00F96822"/>
    <w:rsid w:val="00FA2FCA"/>
    <w:rsid w:val="00FA6C3C"/>
    <w:rsid w:val="00FB00FD"/>
    <w:rsid w:val="00FB0C1F"/>
    <w:rsid w:val="00FB0EEF"/>
    <w:rsid w:val="00FB0F1F"/>
    <w:rsid w:val="00FB1AE2"/>
    <w:rsid w:val="00FB6B5B"/>
    <w:rsid w:val="00FB7755"/>
    <w:rsid w:val="00FC4EDC"/>
    <w:rsid w:val="00FC6E8D"/>
    <w:rsid w:val="00FC72AF"/>
    <w:rsid w:val="00FC7A09"/>
    <w:rsid w:val="00FD13EC"/>
    <w:rsid w:val="00FE0864"/>
    <w:rsid w:val="00FE4683"/>
    <w:rsid w:val="00FE6871"/>
    <w:rsid w:val="00FE6B21"/>
    <w:rsid w:val="00FF31B1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72C"/>
    <w:pPr>
      <w:spacing w:after="120"/>
    </w:pPr>
    <w:rPr>
      <w:rFonts w:eastAsia="Times New Roman"/>
    </w:rPr>
  </w:style>
  <w:style w:type="paragraph" w:styleId="Ttulo1">
    <w:name w:val="heading 1"/>
    <w:basedOn w:val="Normal"/>
    <w:next w:val="Normal"/>
    <w:qFormat/>
    <w:rsid w:val="00B74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8">
    <w:name w:val="heading 8"/>
    <w:basedOn w:val="Normal"/>
    <w:next w:val="Normal"/>
    <w:link w:val="Ttulo8Char"/>
    <w:qFormat/>
    <w:rsid w:val="007C515F"/>
    <w:pPr>
      <w:keepNext/>
      <w:outlineLvl w:val="7"/>
    </w:pPr>
    <w:rPr>
      <w:b/>
      <w:i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"/>
    <w:basedOn w:val="Normal"/>
    <w:link w:val="CabealhoChar"/>
    <w:uiPriority w:val="99"/>
    <w:rsid w:val="00D344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D344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"/>
    <w:link w:val="Cabealho"/>
    <w:uiPriority w:val="99"/>
    <w:locked/>
    <w:rsid w:val="00D34400"/>
    <w:rPr>
      <w:lang w:val="pt-BR" w:eastAsia="pt-BR" w:bidi="ar-SA"/>
    </w:rPr>
  </w:style>
  <w:style w:type="character" w:styleId="Hyperlink">
    <w:name w:val="Hyperlink"/>
    <w:rsid w:val="002838EC"/>
    <w:rPr>
      <w:color w:val="0000FF"/>
      <w:u w:val="single"/>
    </w:rPr>
  </w:style>
  <w:style w:type="character" w:styleId="HiperlinkVisitado">
    <w:name w:val="FollowedHyperlink"/>
    <w:rsid w:val="00A40DC3"/>
    <w:rPr>
      <w:color w:val="800080"/>
      <w:u w:val="single"/>
    </w:rPr>
  </w:style>
  <w:style w:type="paragraph" w:customStyle="1" w:styleId="PargrafodaLista1">
    <w:name w:val="Parágrafo da Lista1"/>
    <w:aliases w:val="Estilo 1"/>
    <w:basedOn w:val="Ttulo1"/>
    <w:next w:val="TextosemFormatao"/>
    <w:link w:val="ListParagraphChar"/>
    <w:rsid w:val="00B7409F"/>
    <w:pPr>
      <w:numPr>
        <w:numId w:val="2"/>
      </w:numPr>
      <w:spacing w:after="120"/>
      <w:contextualSpacing/>
    </w:pPr>
    <w:rPr>
      <w:rFonts w:ascii="Times New Roman" w:hAnsi="Times New Roman" w:cs="Times New Roman"/>
      <w:bCs w:val="0"/>
      <w:noProof/>
      <w:kern w:val="0"/>
      <w:sz w:val="20"/>
      <w:szCs w:val="20"/>
    </w:rPr>
  </w:style>
  <w:style w:type="character" w:customStyle="1" w:styleId="ListParagraphChar">
    <w:name w:val="List Paragraph Char"/>
    <w:aliases w:val="Estilo 1 Char"/>
    <w:link w:val="PargrafodaLista1"/>
    <w:locked/>
    <w:rsid w:val="00B7409F"/>
    <w:rPr>
      <w:b/>
      <w:noProof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B7409F"/>
    <w:rPr>
      <w:rFonts w:ascii="Courier New" w:hAnsi="Courier New" w:cs="Courier New"/>
    </w:rPr>
  </w:style>
  <w:style w:type="character" w:customStyle="1" w:styleId="TextosemFormataoChar">
    <w:name w:val="Texto sem Formatação Char"/>
    <w:link w:val="TextosemFormatao"/>
    <w:locked/>
    <w:rsid w:val="001C414C"/>
    <w:rPr>
      <w:rFonts w:ascii="Courier New" w:hAnsi="Courier New" w:cs="Courier New"/>
      <w:lang w:val="pt-BR" w:eastAsia="pt-BR" w:bidi="ar-SA"/>
    </w:rPr>
  </w:style>
  <w:style w:type="paragraph" w:styleId="Corpodetexto3">
    <w:name w:val="Body Text 3"/>
    <w:basedOn w:val="Normal"/>
    <w:link w:val="Corpodetexto3Char"/>
    <w:rsid w:val="00B726BC"/>
    <w:pPr>
      <w:spacing w:after="0"/>
      <w:jc w:val="both"/>
    </w:pPr>
    <w:rPr>
      <w:sz w:val="24"/>
    </w:rPr>
  </w:style>
  <w:style w:type="character" w:customStyle="1" w:styleId="Corpodetexto3Char">
    <w:name w:val="Corpo de texto 3 Char"/>
    <w:link w:val="Corpodetexto3"/>
    <w:semiHidden/>
    <w:locked/>
    <w:rsid w:val="00B726BC"/>
    <w:rPr>
      <w:sz w:val="24"/>
      <w:lang w:val="pt-BR" w:eastAsia="pt-BR" w:bidi="ar-SA"/>
    </w:rPr>
  </w:style>
  <w:style w:type="character" w:styleId="Nmerodepgina">
    <w:name w:val="page number"/>
    <w:basedOn w:val="Fontepargpadro"/>
    <w:rsid w:val="00B40743"/>
  </w:style>
  <w:style w:type="table" w:styleId="Tabelacomgrade">
    <w:name w:val="Table Grid"/>
    <w:basedOn w:val="Tabelanormal"/>
    <w:rsid w:val="00AE371B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mrio1Char">
    <w:name w:val="Sumário 1 Char"/>
    <w:link w:val="Sumrio1"/>
    <w:locked/>
    <w:rsid w:val="00AE371B"/>
    <w:rPr>
      <w:noProof/>
      <w:sz w:val="24"/>
      <w:szCs w:val="24"/>
      <w:lang w:bidi="ar-SA"/>
    </w:rPr>
  </w:style>
  <w:style w:type="paragraph" w:styleId="Sumrio1">
    <w:name w:val="toc 1"/>
    <w:basedOn w:val="Normal"/>
    <w:next w:val="Normal"/>
    <w:link w:val="Sumrio1Char"/>
    <w:autoRedefine/>
    <w:rsid w:val="00AE371B"/>
    <w:pPr>
      <w:tabs>
        <w:tab w:val="left" w:pos="440"/>
        <w:tab w:val="right" w:leader="dot" w:pos="8494"/>
      </w:tabs>
      <w:spacing w:line="276" w:lineRule="auto"/>
    </w:pPr>
    <w:rPr>
      <w:noProof/>
      <w:sz w:val="24"/>
      <w:szCs w:val="24"/>
    </w:rPr>
  </w:style>
  <w:style w:type="paragraph" w:customStyle="1" w:styleId="CabealhodoSumrio1">
    <w:name w:val="Cabeçalho do Sumário1"/>
    <w:basedOn w:val="Ttulo1"/>
    <w:next w:val="Normal"/>
    <w:rsid w:val="00AE371B"/>
    <w:pPr>
      <w:keepLines/>
      <w:spacing w:before="480" w:after="0" w:line="276" w:lineRule="auto"/>
      <w:outlineLvl w:val="9"/>
    </w:pPr>
    <w:rPr>
      <w:rFonts w:ascii="Cambria" w:eastAsia="Calibri" w:hAnsi="Cambria" w:cs="Times New Roman"/>
      <w:color w:val="365F91"/>
      <w:kern w:val="0"/>
      <w:sz w:val="28"/>
      <w:szCs w:val="28"/>
    </w:rPr>
  </w:style>
  <w:style w:type="paragraph" w:styleId="NormalWeb">
    <w:name w:val="Normal (Web)"/>
    <w:basedOn w:val="Normal"/>
    <w:uiPriority w:val="99"/>
    <w:rsid w:val="005244AA"/>
    <w:pPr>
      <w:spacing w:before="100" w:beforeAutospacing="1" w:after="100" w:afterAutospacing="1"/>
    </w:pPr>
    <w:rPr>
      <w:sz w:val="24"/>
      <w:szCs w:val="24"/>
    </w:rPr>
  </w:style>
  <w:style w:type="character" w:customStyle="1" w:styleId="Ttulo8Char">
    <w:name w:val="Título 8 Char"/>
    <w:link w:val="Ttulo8"/>
    <w:semiHidden/>
    <w:locked/>
    <w:rsid w:val="007C515F"/>
    <w:rPr>
      <w:b/>
      <w:i/>
      <w:sz w:val="24"/>
      <w:lang w:val="pt-BR" w:eastAsia="pt-BR" w:bidi="ar-SA"/>
    </w:rPr>
  </w:style>
  <w:style w:type="character" w:customStyle="1" w:styleId="CharChar2">
    <w:name w:val="Char Char2"/>
    <w:locked/>
    <w:rsid w:val="005E140E"/>
    <w:rPr>
      <w:rFonts w:ascii="Courier New" w:hAnsi="Courier New" w:cs="Courier New"/>
      <w:lang w:val="pt-BR" w:eastAsia="pt-BR" w:bidi="ar-SA"/>
    </w:rPr>
  </w:style>
  <w:style w:type="paragraph" w:styleId="PargrafodaLista">
    <w:name w:val="List Paragraph"/>
    <w:basedOn w:val="Normal"/>
    <w:uiPriority w:val="34"/>
    <w:qFormat/>
    <w:rsid w:val="00BD0DAC"/>
    <w:pPr>
      <w:ind w:left="720"/>
      <w:contextualSpacing/>
    </w:pPr>
  </w:style>
  <w:style w:type="paragraph" w:customStyle="1" w:styleId="wzfontsize">
    <w:name w:val="wzfontsize"/>
    <w:basedOn w:val="Normal"/>
    <w:rsid w:val="00AE438A"/>
    <w:pPr>
      <w:spacing w:after="135" w:line="270" w:lineRule="atLeast"/>
    </w:pPr>
    <w:rPr>
      <w:rFonts w:ascii="Helvetica" w:hAnsi="Helvetica" w:cs="Helvetica"/>
    </w:rPr>
  </w:style>
  <w:style w:type="character" w:customStyle="1" w:styleId="wzfontsize1">
    <w:name w:val="wzfontsize1"/>
    <w:basedOn w:val="Fontepargpadro"/>
    <w:rsid w:val="00AE438A"/>
  </w:style>
  <w:style w:type="character" w:customStyle="1" w:styleId="high">
    <w:name w:val="high"/>
    <w:basedOn w:val="Fontepargpadro"/>
    <w:rsid w:val="00AE438A"/>
  </w:style>
  <w:style w:type="paragraph" w:customStyle="1" w:styleId="TCU-RelVoto-demais">
    <w:name w:val="TCU - Rel/Voto - demais §§"/>
    <w:basedOn w:val="Normal"/>
    <w:qFormat/>
    <w:rsid w:val="00BA2383"/>
    <w:pPr>
      <w:tabs>
        <w:tab w:val="left" w:pos="1134"/>
      </w:tabs>
      <w:spacing w:after="160"/>
      <w:jc w:val="both"/>
    </w:pPr>
    <w:rPr>
      <w:sz w:val="24"/>
      <w:szCs w:val="22"/>
      <w:lang w:eastAsia="en-US"/>
    </w:rPr>
  </w:style>
  <w:style w:type="paragraph" w:customStyle="1" w:styleId="TCU-Transcrio">
    <w:name w:val="TCU - Transcrição"/>
    <w:basedOn w:val="Normal"/>
    <w:qFormat/>
    <w:rsid w:val="00BA2383"/>
    <w:pPr>
      <w:ind w:left="284" w:firstLine="567"/>
      <w:jc w:val="both"/>
    </w:pPr>
    <w:rPr>
      <w:i/>
      <w:sz w:val="24"/>
      <w:szCs w:val="22"/>
      <w:lang w:eastAsia="en-US"/>
    </w:rPr>
  </w:style>
  <w:style w:type="paragraph" w:customStyle="1" w:styleId="Default">
    <w:name w:val="Default"/>
    <w:rsid w:val="000F10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enter-3pt">
    <w:name w:val="enter-3pt"/>
    <w:basedOn w:val="Normal"/>
    <w:rsid w:val="00113F36"/>
    <w:pPr>
      <w:autoSpaceDE w:val="0"/>
      <w:autoSpaceDN w:val="0"/>
      <w:adjustRightInd w:val="0"/>
      <w:spacing w:after="0" w:line="60" w:lineRule="atLeast"/>
      <w:jc w:val="both"/>
    </w:pPr>
    <w:rPr>
      <w:sz w:val="8"/>
      <w:szCs w:val="8"/>
    </w:rPr>
  </w:style>
  <w:style w:type="character" w:customStyle="1" w:styleId="RodapChar">
    <w:name w:val="Rodapé Char"/>
    <w:basedOn w:val="Fontepargpadro"/>
    <w:link w:val="Rodap"/>
    <w:uiPriority w:val="99"/>
    <w:rsid w:val="00A35F50"/>
    <w:rPr>
      <w:rFonts w:eastAsia="Times New Roman"/>
    </w:rPr>
  </w:style>
  <w:style w:type="paragraph" w:styleId="Textodebalo">
    <w:name w:val="Balloon Text"/>
    <w:basedOn w:val="Normal"/>
    <w:link w:val="TextodebaloChar"/>
    <w:rsid w:val="00A35F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35F50"/>
    <w:rPr>
      <w:rFonts w:ascii="Tahoma" w:eastAsia="Times New Roman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rsid w:val="00A35F50"/>
    <w:pPr>
      <w:spacing w:after="0"/>
    </w:pPr>
  </w:style>
  <w:style w:type="character" w:customStyle="1" w:styleId="TextodenotaderodapChar">
    <w:name w:val="Texto de nota de rodapé Char"/>
    <w:basedOn w:val="Fontepargpadro"/>
    <w:link w:val="Textodenotaderodap"/>
    <w:rsid w:val="00A35F50"/>
    <w:rPr>
      <w:rFonts w:eastAsia="Times New Roman"/>
    </w:rPr>
  </w:style>
  <w:style w:type="character" w:styleId="Refdenotaderodap">
    <w:name w:val="footnote reference"/>
    <w:basedOn w:val="Fontepargpadro"/>
    <w:rsid w:val="00A35F50"/>
    <w:rPr>
      <w:vertAlign w:val="superscript"/>
    </w:rPr>
  </w:style>
  <w:style w:type="paragraph" w:styleId="Textodenotadefim">
    <w:name w:val="endnote text"/>
    <w:basedOn w:val="Normal"/>
    <w:link w:val="TextodenotadefimChar"/>
    <w:rsid w:val="002B75BE"/>
    <w:pPr>
      <w:spacing w:after="0"/>
    </w:pPr>
  </w:style>
  <w:style w:type="character" w:customStyle="1" w:styleId="TextodenotadefimChar">
    <w:name w:val="Texto de nota de fim Char"/>
    <w:basedOn w:val="Fontepargpadro"/>
    <w:link w:val="Textodenotadefim"/>
    <w:rsid w:val="002B75BE"/>
    <w:rPr>
      <w:rFonts w:eastAsia="Times New Roman"/>
    </w:rPr>
  </w:style>
  <w:style w:type="character" w:styleId="Refdenotadefim">
    <w:name w:val="endnote reference"/>
    <w:basedOn w:val="Fontepargpadro"/>
    <w:rsid w:val="002B75BE"/>
    <w:rPr>
      <w:vertAlign w:val="superscript"/>
    </w:rPr>
  </w:style>
  <w:style w:type="character" w:customStyle="1" w:styleId="apple-converted-space">
    <w:name w:val="apple-converted-space"/>
    <w:basedOn w:val="Fontepargpadro"/>
    <w:rsid w:val="00B91B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72C"/>
    <w:pPr>
      <w:spacing w:after="120"/>
    </w:pPr>
    <w:rPr>
      <w:rFonts w:eastAsia="Times New Roman"/>
    </w:rPr>
  </w:style>
  <w:style w:type="paragraph" w:styleId="Ttulo1">
    <w:name w:val="heading 1"/>
    <w:basedOn w:val="Normal"/>
    <w:next w:val="Normal"/>
    <w:qFormat/>
    <w:rsid w:val="00B74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8">
    <w:name w:val="heading 8"/>
    <w:basedOn w:val="Normal"/>
    <w:next w:val="Normal"/>
    <w:link w:val="Ttulo8Char"/>
    <w:qFormat/>
    <w:rsid w:val="007C515F"/>
    <w:pPr>
      <w:keepNext/>
      <w:outlineLvl w:val="7"/>
    </w:pPr>
    <w:rPr>
      <w:b/>
      <w:i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"/>
    <w:basedOn w:val="Normal"/>
    <w:link w:val="CabealhoChar"/>
    <w:uiPriority w:val="99"/>
    <w:rsid w:val="00D344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D344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"/>
    <w:link w:val="Cabealho"/>
    <w:uiPriority w:val="99"/>
    <w:locked/>
    <w:rsid w:val="00D34400"/>
    <w:rPr>
      <w:lang w:val="pt-BR" w:eastAsia="pt-BR" w:bidi="ar-SA"/>
    </w:rPr>
  </w:style>
  <w:style w:type="character" w:styleId="Hyperlink">
    <w:name w:val="Hyperlink"/>
    <w:rsid w:val="002838EC"/>
    <w:rPr>
      <w:color w:val="0000FF"/>
      <w:u w:val="single"/>
    </w:rPr>
  </w:style>
  <w:style w:type="character" w:styleId="HiperlinkVisitado">
    <w:name w:val="FollowedHyperlink"/>
    <w:rsid w:val="00A40DC3"/>
    <w:rPr>
      <w:color w:val="800080"/>
      <w:u w:val="single"/>
    </w:rPr>
  </w:style>
  <w:style w:type="paragraph" w:customStyle="1" w:styleId="PargrafodaLista1">
    <w:name w:val="Parágrafo da Lista1"/>
    <w:aliases w:val="Estilo 1"/>
    <w:basedOn w:val="Ttulo1"/>
    <w:next w:val="TextosemFormatao"/>
    <w:link w:val="ListParagraphChar"/>
    <w:rsid w:val="00B7409F"/>
    <w:pPr>
      <w:numPr>
        <w:numId w:val="2"/>
      </w:numPr>
      <w:spacing w:after="120"/>
      <w:contextualSpacing/>
    </w:pPr>
    <w:rPr>
      <w:rFonts w:ascii="Times New Roman" w:hAnsi="Times New Roman" w:cs="Times New Roman"/>
      <w:bCs w:val="0"/>
      <w:noProof/>
      <w:kern w:val="0"/>
      <w:sz w:val="20"/>
      <w:szCs w:val="20"/>
    </w:rPr>
  </w:style>
  <w:style w:type="character" w:customStyle="1" w:styleId="ListParagraphChar">
    <w:name w:val="List Paragraph Char"/>
    <w:aliases w:val="Estilo 1 Char"/>
    <w:link w:val="PargrafodaLista1"/>
    <w:locked/>
    <w:rsid w:val="00B7409F"/>
    <w:rPr>
      <w:b/>
      <w:noProof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B7409F"/>
    <w:rPr>
      <w:rFonts w:ascii="Courier New" w:hAnsi="Courier New" w:cs="Courier New"/>
    </w:rPr>
  </w:style>
  <w:style w:type="character" w:customStyle="1" w:styleId="TextosemFormataoChar">
    <w:name w:val="Texto sem Formatação Char"/>
    <w:link w:val="TextosemFormatao"/>
    <w:locked/>
    <w:rsid w:val="001C414C"/>
    <w:rPr>
      <w:rFonts w:ascii="Courier New" w:hAnsi="Courier New" w:cs="Courier New"/>
      <w:lang w:val="pt-BR" w:eastAsia="pt-BR" w:bidi="ar-SA"/>
    </w:rPr>
  </w:style>
  <w:style w:type="paragraph" w:styleId="Corpodetexto3">
    <w:name w:val="Body Text 3"/>
    <w:basedOn w:val="Normal"/>
    <w:link w:val="Corpodetexto3Char"/>
    <w:rsid w:val="00B726BC"/>
    <w:pPr>
      <w:spacing w:after="0"/>
      <w:jc w:val="both"/>
    </w:pPr>
    <w:rPr>
      <w:sz w:val="24"/>
    </w:rPr>
  </w:style>
  <w:style w:type="character" w:customStyle="1" w:styleId="Corpodetexto3Char">
    <w:name w:val="Corpo de texto 3 Char"/>
    <w:link w:val="Corpodetexto3"/>
    <w:semiHidden/>
    <w:locked/>
    <w:rsid w:val="00B726BC"/>
    <w:rPr>
      <w:sz w:val="24"/>
      <w:lang w:val="pt-BR" w:eastAsia="pt-BR" w:bidi="ar-SA"/>
    </w:rPr>
  </w:style>
  <w:style w:type="character" w:styleId="Nmerodepgina">
    <w:name w:val="page number"/>
    <w:basedOn w:val="Fontepargpadro"/>
    <w:rsid w:val="00B40743"/>
  </w:style>
  <w:style w:type="table" w:styleId="Tabelacomgrade">
    <w:name w:val="Table Grid"/>
    <w:basedOn w:val="Tabelanormal"/>
    <w:rsid w:val="00AE371B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mrio1Char">
    <w:name w:val="Sumário 1 Char"/>
    <w:link w:val="Sumrio1"/>
    <w:locked/>
    <w:rsid w:val="00AE371B"/>
    <w:rPr>
      <w:noProof/>
      <w:sz w:val="24"/>
      <w:szCs w:val="24"/>
      <w:lang w:bidi="ar-SA"/>
    </w:rPr>
  </w:style>
  <w:style w:type="paragraph" w:styleId="Sumrio1">
    <w:name w:val="toc 1"/>
    <w:basedOn w:val="Normal"/>
    <w:next w:val="Normal"/>
    <w:link w:val="Sumrio1Char"/>
    <w:autoRedefine/>
    <w:rsid w:val="00AE371B"/>
    <w:pPr>
      <w:tabs>
        <w:tab w:val="left" w:pos="440"/>
        <w:tab w:val="right" w:leader="dot" w:pos="8494"/>
      </w:tabs>
      <w:spacing w:line="276" w:lineRule="auto"/>
    </w:pPr>
    <w:rPr>
      <w:noProof/>
      <w:sz w:val="24"/>
      <w:szCs w:val="24"/>
    </w:rPr>
  </w:style>
  <w:style w:type="paragraph" w:customStyle="1" w:styleId="CabealhodoSumrio1">
    <w:name w:val="Cabeçalho do Sumário1"/>
    <w:basedOn w:val="Ttulo1"/>
    <w:next w:val="Normal"/>
    <w:rsid w:val="00AE371B"/>
    <w:pPr>
      <w:keepLines/>
      <w:spacing w:before="480" w:after="0" w:line="276" w:lineRule="auto"/>
      <w:outlineLvl w:val="9"/>
    </w:pPr>
    <w:rPr>
      <w:rFonts w:ascii="Cambria" w:eastAsia="Calibri" w:hAnsi="Cambria" w:cs="Times New Roman"/>
      <w:color w:val="365F91"/>
      <w:kern w:val="0"/>
      <w:sz w:val="28"/>
      <w:szCs w:val="28"/>
    </w:rPr>
  </w:style>
  <w:style w:type="paragraph" w:styleId="NormalWeb">
    <w:name w:val="Normal (Web)"/>
    <w:basedOn w:val="Normal"/>
    <w:uiPriority w:val="99"/>
    <w:rsid w:val="005244AA"/>
    <w:pPr>
      <w:spacing w:before="100" w:beforeAutospacing="1" w:after="100" w:afterAutospacing="1"/>
    </w:pPr>
    <w:rPr>
      <w:sz w:val="24"/>
      <w:szCs w:val="24"/>
    </w:rPr>
  </w:style>
  <w:style w:type="character" w:customStyle="1" w:styleId="Ttulo8Char">
    <w:name w:val="Título 8 Char"/>
    <w:link w:val="Ttulo8"/>
    <w:semiHidden/>
    <w:locked/>
    <w:rsid w:val="007C515F"/>
    <w:rPr>
      <w:b/>
      <w:i/>
      <w:sz w:val="24"/>
      <w:lang w:val="pt-BR" w:eastAsia="pt-BR" w:bidi="ar-SA"/>
    </w:rPr>
  </w:style>
  <w:style w:type="character" w:customStyle="1" w:styleId="CharChar2">
    <w:name w:val="Char Char2"/>
    <w:locked/>
    <w:rsid w:val="005E140E"/>
    <w:rPr>
      <w:rFonts w:ascii="Courier New" w:hAnsi="Courier New" w:cs="Courier New"/>
      <w:lang w:val="pt-BR" w:eastAsia="pt-BR" w:bidi="ar-SA"/>
    </w:rPr>
  </w:style>
  <w:style w:type="paragraph" w:styleId="PargrafodaLista">
    <w:name w:val="List Paragraph"/>
    <w:basedOn w:val="Normal"/>
    <w:uiPriority w:val="34"/>
    <w:qFormat/>
    <w:rsid w:val="00BD0DAC"/>
    <w:pPr>
      <w:ind w:left="720"/>
      <w:contextualSpacing/>
    </w:pPr>
  </w:style>
  <w:style w:type="paragraph" w:customStyle="1" w:styleId="wzfontsize">
    <w:name w:val="wzfontsize"/>
    <w:basedOn w:val="Normal"/>
    <w:rsid w:val="00AE438A"/>
    <w:pPr>
      <w:spacing w:after="135" w:line="270" w:lineRule="atLeast"/>
    </w:pPr>
    <w:rPr>
      <w:rFonts w:ascii="Helvetica" w:hAnsi="Helvetica" w:cs="Helvetica"/>
    </w:rPr>
  </w:style>
  <w:style w:type="character" w:customStyle="1" w:styleId="wzfontsize1">
    <w:name w:val="wzfontsize1"/>
    <w:basedOn w:val="Fontepargpadro"/>
    <w:rsid w:val="00AE438A"/>
  </w:style>
  <w:style w:type="character" w:customStyle="1" w:styleId="high">
    <w:name w:val="high"/>
    <w:basedOn w:val="Fontepargpadro"/>
    <w:rsid w:val="00AE438A"/>
  </w:style>
  <w:style w:type="paragraph" w:customStyle="1" w:styleId="TCU-RelVoto-demais">
    <w:name w:val="TCU - Rel/Voto - demais §§"/>
    <w:basedOn w:val="Normal"/>
    <w:qFormat/>
    <w:rsid w:val="00BA2383"/>
    <w:pPr>
      <w:tabs>
        <w:tab w:val="left" w:pos="1134"/>
      </w:tabs>
      <w:spacing w:after="160"/>
      <w:jc w:val="both"/>
    </w:pPr>
    <w:rPr>
      <w:sz w:val="24"/>
      <w:szCs w:val="22"/>
      <w:lang w:eastAsia="en-US"/>
    </w:rPr>
  </w:style>
  <w:style w:type="paragraph" w:customStyle="1" w:styleId="TCU-Transcrio">
    <w:name w:val="TCU - Transcrição"/>
    <w:basedOn w:val="Normal"/>
    <w:qFormat/>
    <w:rsid w:val="00BA2383"/>
    <w:pPr>
      <w:ind w:left="284" w:firstLine="567"/>
      <w:jc w:val="both"/>
    </w:pPr>
    <w:rPr>
      <w:i/>
      <w:sz w:val="24"/>
      <w:szCs w:val="22"/>
      <w:lang w:eastAsia="en-US"/>
    </w:rPr>
  </w:style>
  <w:style w:type="paragraph" w:customStyle="1" w:styleId="Default">
    <w:name w:val="Default"/>
    <w:rsid w:val="000F10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enter-3pt">
    <w:name w:val="enter-3pt"/>
    <w:basedOn w:val="Normal"/>
    <w:rsid w:val="00113F36"/>
    <w:pPr>
      <w:autoSpaceDE w:val="0"/>
      <w:autoSpaceDN w:val="0"/>
      <w:adjustRightInd w:val="0"/>
      <w:spacing w:after="0" w:line="60" w:lineRule="atLeast"/>
      <w:jc w:val="both"/>
    </w:pPr>
    <w:rPr>
      <w:sz w:val="8"/>
      <w:szCs w:val="8"/>
    </w:rPr>
  </w:style>
  <w:style w:type="character" w:customStyle="1" w:styleId="RodapChar">
    <w:name w:val="Rodapé Char"/>
    <w:basedOn w:val="Fontepargpadro"/>
    <w:link w:val="Rodap"/>
    <w:uiPriority w:val="99"/>
    <w:rsid w:val="00A35F50"/>
    <w:rPr>
      <w:rFonts w:eastAsia="Times New Roman"/>
    </w:rPr>
  </w:style>
  <w:style w:type="paragraph" w:styleId="Textodebalo">
    <w:name w:val="Balloon Text"/>
    <w:basedOn w:val="Normal"/>
    <w:link w:val="TextodebaloChar"/>
    <w:rsid w:val="00A35F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35F50"/>
    <w:rPr>
      <w:rFonts w:ascii="Tahoma" w:eastAsia="Times New Roman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rsid w:val="00A35F50"/>
    <w:pPr>
      <w:spacing w:after="0"/>
    </w:pPr>
  </w:style>
  <w:style w:type="character" w:customStyle="1" w:styleId="TextodenotaderodapChar">
    <w:name w:val="Texto de nota de rodapé Char"/>
    <w:basedOn w:val="Fontepargpadro"/>
    <w:link w:val="Textodenotaderodap"/>
    <w:rsid w:val="00A35F50"/>
    <w:rPr>
      <w:rFonts w:eastAsia="Times New Roman"/>
    </w:rPr>
  </w:style>
  <w:style w:type="character" w:styleId="Refdenotaderodap">
    <w:name w:val="footnote reference"/>
    <w:basedOn w:val="Fontepargpadro"/>
    <w:rsid w:val="00A35F50"/>
    <w:rPr>
      <w:vertAlign w:val="superscript"/>
    </w:rPr>
  </w:style>
  <w:style w:type="paragraph" w:styleId="Textodenotadefim">
    <w:name w:val="endnote text"/>
    <w:basedOn w:val="Normal"/>
    <w:link w:val="TextodenotadefimChar"/>
    <w:rsid w:val="002B75BE"/>
    <w:pPr>
      <w:spacing w:after="0"/>
    </w:pPr>
  </w:style>
  <w:style w:type="character" w:customStyle="1" w:styleId="TextodenotadefimChar">
    <w:name w:val="Texto de nota de fim Char"/>
    <w:basedOn w:val="Fontepargpadro"/>
    <w:link w:val="Textodenotadefim"/>
    <w:rsid w:val="002B75BE"/>
    <w:rPr>
      <w:rFonts w:eastAsia="Times New Roman"/>
    </w:rPr>
  </w:style>
  <w:style w:type="character" w:styleId="Refdenotadefim">
    <w:name w:val="endnote reference"/>
    <w:basedOn w:val="Fontepargpadro"/>
    <w:rsid w:val="002B75BE"/>
    <w:rPr>
      <w:vertAlign w:val="superscript"/>
    </w:rPr>
  </w:style>
  <w:style w:type="character" w:customStyle="1" w:styleId="apple-converted-space">
    <w:name w:val="apple-converted-space"/>
    <w:basedOn w:val="Fontepargpadro"/>
    <w:rsid w:val="00B91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4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9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2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85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9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11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3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205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677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45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1988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5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6474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7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8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659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1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3044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4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2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929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6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25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52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56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20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82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5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56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13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3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64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8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3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1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8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9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14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5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29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6BD73-8F7B-43AC-B669-0BBAF0084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3366</Words>
  <Characters>20130</Characters>
  <Application>Microsoft Office Word</Application>
  <DocSecurity>0</DocSecurity>
  <Lines>167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PRELIMINAR DE AUDITORIA DE FISCALIZAÇÃO PROCESSO DE CONCESSÃO, APLICAÇÃO E COMPROVAÇÃO DE SUPRIMENTO DE FUNDOS NO 1º SEMESTRE DE 2014</vt:lpstr>
    </vt:vector>
  </TitlesOfParts>
  <Company>Justiça Eleitoral</Company>
  <LinksUpToDate>false</LinksUpToDate>
  <CharactersWithSpaces>23450</CharactersWithSpaces>
  <SharedDoc>false</SharedDoc>
  <HLinks>
    <vt:vector size="24" baseType="variant">
      <vt:variant>
        <vt:i4>1048638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_Toc396482383</vt:lpwstr>
      </vt:variant>
      <vt:variant>
        <vt:i4>1048638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_Toc396482382</vt:lpwstr>
      </vt:variant>
      <vt:variant>
        <vt:i4>1048638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_Toc396482381</vt:lpwstr>
      </vt:variant>
      <vt:variant>
        <vt:i4>2031678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_Toc396482379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PRELIMINAR DE AUDITORIA DE FISCALIZAÇÃO PROCESSO DE CONCESSÃO, APLICAÇÃO E COMPROVAÇÃO DE SUPRIMENTO DE FUNDOS NO 1º SEMESTRE DE 2014</dc:title>
  <dc:creator>009821230566</dc:creator>
  <cp:lastModifiedBy>Geraldo Majella Nunes de Moura</cp:lastModifiedBy>
  <cp:revision>2</cp:revision>
  <cp:lastPrinted>2015-10-02T18:45:00Z</cp:lastPrinted>
  <dcterms:created xsi:type="dcterms:W3CDTF">2021-05-11T20:52:00Z</dcterms:created>
  <dcterms:modified xsi:type="dcterms:W3CDTF">2021-05-11T20:52:00Z</dcterms:modified>
</cp:coreProperties>
</file>