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group style="position:absolute;margin-left:354.5pt;margin-top:791.539978pt;width:236pt;height:46pt;mso-position-horizontal-relative:page;mso-position-vertical-relative:page;z-index:15729152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line="360" w:lineRule="auto" w:before="230"/>
        <w:ind w:left="710" w:right="853" w:firstLine="0"/>
        <w:jc w:val="center"/>
      </w:pPr>
      <w:r>
        <w:rPr/>
        <w:t>RELATÓRIO DE FISCALIZAÇÃO DOS PROCEDIMENTOS LICITATÓRIOS RELATIVOS AO BIMESTRE NOVEMBRO/DEZEMBRO DE 2015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5"/>
        <w:rPr>
          <w:b/>
          <w:sz w:val="34"/>
        </w:rPr>
      </w:pPr>
    </w:p>
    <w:p>
      <w:pPr>
        <w:spacing w:before="0"/>
        <w:ind w:left="4691" w:right="4834" w:firstLine="6"/>
        <w:jc w:val="center"/>
        <w:rPr>
          <w:b/>
          <w:sz w:val="24"/>
        </w:rPr>
      </w:pPr>
      <w:r>
        <w:rPr/>
        <w:pict>
          <v:shape style="position:absolute;margin-left:570.947266pt;margin-top:42.427124pt;width:13.2pt;height:47pt;mso-position-horizontal-relative:page;mso-position-vertical-relative:paragraph;z-index:15729664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  <w:r>
        <w:rPr>
          <w:b/>
          <w:sz w:val="24"/>
        </w:rPr>
        <w:t>Salvador - BA Dezembro/2016</w:t>
      </w:r>
    </w:p>
    <w:p>
      <w:pPr>
        <w:spacing w:after="0"/>
        <w:jc w:val="center"/>
        <w:rPr>
          <w:sz w:val="24"/>
        </w:rPr>
        <w:sectPr>
          <w:headerReference w:type="default" r:id="rId5"/>
          <w:type w:val="continuous"/>
          <w:pgSz w:w="11910" w:h="16850"/>
          <w:pgMar w:header="756" w:top="2800" w:bottom="0" w:left="460" w:right="320"/>
        </w:sectPr>
      </w:pPr>
    </w:p>
    <w:p>
      <w:pPr>
        <w:pStyle w:val="BodyText"/>
        <w:rPr>
          <w:b/>
          <w:sz w:val="20"/>
        </w:rPr>
      </w:pPr>
      <w:r>
        <w:rPr/>
        <w:pict>
          <v:group style="position:absolute;margin-left:354.5pt;margin-top:791.539978pt;width:236pt;height:46pt;mso-position-horizontal-relative:page;mso-position-vertical-relative:page;z-index:15730688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</w:rPr>
      </w:pPr>
    </w:p>
    <w:p>
      <w:pPr>
        <w:spacing w:line="360" w:lineRule="auto" w:before="90"/>
        <w:ind w:left="709" w:right="853" w:firstLine="0"/>
        <w:jc w:val="center"/>
        <w:rPr>
          <w:b/>
          <w:sz w:val="24"/>
        </w:rPr>
      </w:pPr>
      <w:r>
        <w:rPr>
          <w:b/>
          <w:sz w:val="24"/>
        </w:rPr>
        <w:t>RELATÓRIO DE FISCALIZAÇÃO DOS PROCEDIMENTOS LICITATÓRIOS RELATIVOS AO BIMESTRE NOVEMBRO/DEZEMBRO DE 2015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</w:rPr>
      </w:pPr>
    </w:p>
    <w:p>
      <w:pPr>
        <w:pStyle w:val="BodyText"/>
        <w:ind w:left="3873" w:right="816"/>
        <w:jc w:val="both"/>
      </w:pPr>
      <w:r>
        <w:rPr/>
        <w:t>Relatório de fiscalização dos Procedimentos Licitatórios relativos ao bimestre novembro/dezembro de 2015, consoante previsão inserta no Plano Anual de Atividades 2015 (PAA 2015), aprovado por meio da Portaria da Presidência do TRE-BA nº 482, de 26 de novembro de 2014.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31"/>
        <w:ind w:left="3873" w:right="813"/>
        <w:jc w:val="both"/>
      </w:pPr>
      <w:r>
        <w:rPr/>
        <w:t>Elaboração: Seção de Acompanhamento e Orientação à Gestão Administrativa (SEAGES)</w:t>
      </w:r>
    </w:p>
    <w:p>
      <w:pPr>
        <w:pStyle w:val="BodyText"/>
        <w:ind w:left="3873"/>
        <w:jc w:val="both"/>
      </w:pPr>
      <w:r>
        <w:rPr/>
        <w:t>Auditores Internos: Ana Carolina Marques Valente Iunes</w:t>
      </w:r>
    </w:p>
    <w:p>
      <w:pPr>
        <w:pStyle w:val="BodyText"/>
        <w:ind w:left="5793" w:right="2704"/>
      </w:pPr>
      <w:r>
        <w:rPr/>
        <w:t>Eduardo Machado Oliveira Patrícia Caleffi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4"/>
        </w:rPr>
      </w:pPr>
    </w:p>
    <w:p>
      <w:pPr>
        <w:pStyle w:val="BodyText"/>
        <w:ind w:left="4720" w:right="4858" w:hanging="4"/>
        <w:jc w:val="center"/>
      </w:pPr>
      <w:r>
        <w:rPr/>
        <w:pict>
          <v:shape style="position:absolute;margin-left:570.947266pt;margin-top:50.947128pt;width:13.2pt;height:47pt;mso-position-horizontal-relative:page;mso-position-vertical-relative:paragraph;z-index:15731200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  <w:r>
        <w:rPr/>
        <w:t>Salvador - BA Dezembro/2016</w:t>
      </w:r>
    </w:p>
    <w:p>
      <w:pPr>
        <w:spacing w:after="0"/>
        <w:jc w:val="center"/>
        <w:sectPr>
          <w:pgSz w:w="11910" w:h="16850"/>
          <w:pgMar w:header="756" w:footer="0" w:top="2800" w:bottom="0" w:left="460" w:right="320"/>
        </w:sectPr>
      </w:pPr>
    </w:p>
    <w:p>
      <w:pPr>
        <w:pStyle w:val="BodyText"/>
        <w:spacing w:before="6"/>
        <w:rPr>
          <w:sz w:val="12"/>
        </w:rPr>
      </w:pPr>
      <w:r>
        <w:rPr/>
        <w:pict>
          <v:group style="position:absolute;margin-left:354.5pt;margin-top:791.539978pt;width:236pt;height:46pt;mso-position-horizontal-relative:page;mso-position-vertical-relative:page;z-index:15732224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70.947266pt;margin-top:791.039978pt;width:13.2pt;height:47pt;mso-position-horizontal-relative:page;mso-position-vertical-relative:page;z-index:15732736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</w:p>
    <w:p>
      <w:pPr>
        <w:pStyle w:val="Heading1"/>
        <w:ind w:left="712" w:right="853" w:firstLine="0"/>
        <w:jc w:val="center"/>
      </w:pPr>
      <w:r>
        <w:rPr/>
        <w:t>SUMÁRIO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112" w:val="left" w:leader="none"/>
          <w:tab w:pos="1113" w:val="left" w:leader="none"/>
          <w:tab w:pos="9120" w:val="right" w:leader="dot"/>
        </w:tabs>
        <w:spacing w:line="240" w:lineRule="auto" w:before="0" w:after="0"/>
        <w:ind w:left="1112" w:right="0" w:hanging="441"/>
        <w:jc w:val="left"/>
        <w:rPr>
          <w:sz w:val="24"/>
        </w:rPr>
      </w:pPr>
      <w:r>
        <w:rPr>
          <w:sz w:val="24"/>
        </w:rPr>
        <w:t>INTRODUÇÃO</w:t>
        <w:tab/>
        <w:t>4</w:t>
      </w:r>
    </w:p>
    <w:p>
      <w:pPr>
        <w:pStyle w:val="ListParagraph"/>
        <w:numPr>
          <w:ilvl w:val="0"/>
          <w:numId w:val="1"/>
        </w:numPr>
        <w:tabs>
          <w:tab w:pos="1112" w:val="left" w:leader="none"/>
          <w:tab w:pos="1113" w:val="left" w:leader="none"/>
          <w:tab w:pos="9168" w:val="right" w:leader="dot"/>
        </w:tabs>
        <w:spacing w:line="240" w:lineRule="auto" w:before="162" w:after="0"/>
        <w:ind w:left="1112" w:right="0" w:hanging="441"/>
        <w:jc w:val="left"/>
        <w:rPr>
          <w:sz w:val="24"/>
        </w:rPr>
      </w:pPr>
      <w:r>
        <w:rPr>
          <w:sz w:val="24"/>
        </w:rPr>
        <w:t>ACHADOS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FISCALIZAÇÃO</w:t>
        <w:tab/>
        <w:t>5</w:t>
      </w:r>
    </w:p>
    <w:p>
      <w:pPr>
        <w:pStyle w:val="ListParagraph"/>
        <w:numPr>
          <w:ilvl w:val="0"/>
          <w:numId w:val="1"/>
        </w:numPr>
        <w:tabs>
          <w:tab w:pos="1113" w:val="left" w:leader="none"/>
          <w:tab w:pos="9168" w:val="right" w:leader="dot"/>
        </w:tabs>
        <w:spacing w:line="240" w:lineRule="auto" w:before="161" w:after="0"/>
        <w:ind w:left="1112" w:right="0" w:hanging="441"/>
        <w:jc w:val="left"/>
        <w:rPr>
          <w:sz w:val="24"/>
        </w:rPr>
      </w:pPr>
      <w:r>
        <w:rPr>
          <w:sz w:val="24"/>
        </w:rPr>
        <w:t>CONCLUSÃO</w:t>
        <w:tab/>
        <w:t>11</w:t>
      </w:r>
    </w:p>
    <w:p>
      <w:pPr>
        <w:pStyle w:val="ListParagraph"/>
        <w:numPr>
          <w:ilvl w:val="0"/>
          <w:numId w:val="1"/>
        </w:numPr>
        <w:tabs>
          <w:tab w:pos="1105" w:val="left" w:leader="none"/>
          <w:tab w:pos="9182" w:val="right" w:leader="dot"/>
        </w:tabs>
        <w:spacing w:line="240" w:lineRule="auto" w:before="160" w:after="0"/>
        <w:ind w:left="1104" w:right="0" w:hanging="433"/>
        <w:jc w:val="left"/>
        <w:rPr>
          <w:sz w:val="24"/>
        </w:rPr>
      </w:pPr>
      <w:r>
        <w:rPr>
          <w:sz w:val="24"/>
        </w:rPr>
        <w:t>RECOMENDAÇÕES</w:t>
        <w:tab/>
        <w:t>12</w:t>
      </w:r>
    </w:p>
    <w:p>
      <w:pPr>
        <w:spacing w:after="0" w:line="240" w:lineRule="auto"/>
        <w:jc w:val="left"/>
        <w:rPr>
          <w:sz w:val="24"/>
        </w:rPr>
        <w:sectPr>
          <w:pgSz w:w="11910" w:h="16850"/>
          <w:pgMar w:header="756" w:footer="0" w:top="2800" w:bottom="0" w:left="460" w:right="320"/>
        </w:sectPr>
      </w:pPr>
    </w:p>
    <w:p>
      <w:pPr>
        <w:pStyle w:val="BodyText"/>
        <w:spacing w:before="4"/>
        <w:rPr>
          <w:sz w:val="12"/>
        </w:rPr>
      </w:pPr>
      <w:r>
        <w:rPr/>
        <w:pict>
          <v:group style="position:absolute;margin-left:354.5pt;margin-top:791.539978pt;width:236pt;height:46pt;mso-position-horizontal-relative:page;mso-position-vertical-relative:page;z-index:15733760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ListParagraph"/>
        <w:numPr>
          <w:ilvl w:val="0"/>
          <w:numId w:val="2"/>
        </w:numPr>
        <w:tabs>
          <w:tab w:pos="914" w:val="left" w:leader="none"/>
        </w:tabs>
        <w:spacing w:line="240" w:lineRule="auto" w:before="90" w:after="0"/>
        <w:ind w:left="913" w:right="0" w:hanging="242"/>
        <w:jc w:val="left"/>
        <w:rPr>
          <w:b/>
          <w:sz w:val="24"/>
        </w:rPr>
      </w:pPr>
      <w:r>
        <w:rPr>
          <w:b/>
          <w:sz w:val="24"/>
        </w:rPr>
        <w:t>INTRODUÇÃO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212"/>
        <w:ind w:left="672" w:right="809"/>
        <w:jc w:val="both"/>
      </w:pPr>
      <w:r>
        <w:rPr/>
        <w:t>A Secretaria de Controle Interno e Auditoria (SCI), por intermédio da Seção de Acompanhamento e Orientação à Gestão Administrativa (SEAGES) realizou fiscalização do tipo acompanhamento, dos procedimentos licitatórios finalizados no último bimestre de 2015.</w:t>
      </w:r>
    </w:p>
    <w:p>
      <w:pPr>
        <w:pStyle w:val="BodyText"/>
        <w:spacing w:before="120"/>
        <w:ind w:left="672" w:right="808"/>
        <w:jc w:val="both"/>
      </w:pPr>
      <w:r>
        <w:rPr/>
        <w:t>O presente trabalho de fiscalização foi objeto do Comunicado de Fiscalização nº 01/2016/SCI/COGES, encaminhado por meio do PAD n. 2143/2016, em trâmite colaborativo, às Secretarias de Gestão Administrativa (SGA), de Gestão de Serviços (SGS), de Tecnologia da Informação (STI) e a Assessoria de Comunicação Social e Cerimonial (ASCOM), e teve por objetivo avaliar a conformidade dos procedimentos licitatórios homologados no bimestre novembro/dezembro de 2015.</w:t>
      </w:r>
    </w:p>
    <w:p>
      <w:pPr>
        <w:pStyle w:val="BodyText"/>
        <w:spacing w:before="121"/>
        <w:ind w:left="672" w:right="808"/>
        <w:jc w:val="both"/>
      </w:pPr>
      <w:r>
        <w:rPr/>
        <w:t>Com base no Plano Anual de Fiscalização, integrante do Plano Anual de Atividades 2015 (PAA2015), encaminhou-se à Diretoria Geral desta Casa o Memorando nº 01/2015/SCI/COGES/SEAGES, solicitando que, ao final de cada bimestre, fosse enviada a esta Unidade a relação dos procedimentos concluídos no período de referência. Nesse documento foram informados os parâmetros que seriam adotados para a seleção das amostras, quais sejam:</w:t>
      </w:r>
    </w:p>
    <w:p>
      <w:pPr>
        <w:pStyle w:val="ListParagraph"/>
        <w:numPr>
          <w:ilvl w:val="0"/>
          <w:numId w:val="3"/>
        </w:numPr>
        <w:tabs>
          <w:tab w:pos="1381" w:val="left" w:leader="none"/>
          <w:tab w:pos="1382" w:val="left" w:leader="none"/>
        </w:tabs>
        <w:spacing w:line="240" w:lineRule="auto" w:before="120" w:after="0"/>
        <w:ind w:left="672" w:right="816" w:firstLine="0"/>
        <w:jc w:val="left"/>
        <w:rPr>
          <w:sz w:val="24"/>
        </w:rPr>
      </w:pPr>
      <w:r>
        <w:rPr>
          <w:sz w:val="24"/>
        </w:rPr>
        <w:t>100% (cem por cento) dos procedimentos licitatórios que tenham por objeto obras e serviços de</w:t>
      </w:r>
      <w:r>
        <w:rPr>
          <w:spacing w:val="-2"/>
          <w:sz w:val="24"/>
        </w:rPr>
        <w:t> </w:t>
      </w:r>
      <w:r>
        <w:rPr>
          <w:sz w:val="24"/>
        </w:rPr>
        <w:t>engenharia;</w:t>
      </w:r>
    </w:p>
    <w:p>
      <w:pPr>
        <w:pStyle w:val="ListParagraph"/>
        <w:numPr>
          <w:ilvl w:val="0"/>
          <w:numId w:val="3"/>
        </w:numPr>
        <w:tabs>
          <w:tab w:pos="1381" w:val="left" w:leader="none"/>
          <w:tab w:pos="1382" w:val="left" w:leader="none"/>
        </w:tabs>
        <w:spacing w:line="240" w:lineRule="auto" w:before="120" w:after="0"/>
        <w:ind w:left="672" w:right="820" w:firstLine="0"/>
        <w:jc w:val="left"/>
        <w:rPr>
          <w:sz w:val="24"/>
        </w:rPr>
      </w:pPr>
      <w:r>
        <w:rPr>
          <w:sz w:val="24"/>
        </w:rPr>
        <w:t>100% (cem por cento) dos procedimentos licitatórios para contratação de serviços contínuos com alocação exclusiva de mão de</w:t>
      </w:r>
      <w:r>
        <w:rPr>
          <w:spacing w:val="-3"/>
          <w:sz w:val="24"/>
        </w:rPr>
        <w:t> </w:t>
      </w:r>
      <w:r>
        <w:rPr>
          <w:sz w:val="24"/>
        </w:rPr>
        <w:t>obra;</w:t>
      </w:r>
    </w:p>
    <w:p>
      <w:pPr>
        <w:pStyle w:val="ListParagraph"/>
        <w:numPr>
          <w:ilvl w:val="0"/>
          <w:numId w:val="3"/>
        </w:numPr>
        <w:tabs>
          <w:tab w:pos="1381" w:val="left" w:leader="none"/>
          <w:tab w:pos="1382" w:val="left" w:leader="none"/>
        </w:tabs>
        <w:spacing w:line="240" w:lineRule="auto" w:before="120" w:after="0"/>
        <w:ind w:left="672" w:right="816" w:firstLine="0"/>
        <w:jc w:val="left"/>
        <w:rPr>
          <w:sz w:val="24"/>
        </w:rPr>
      </w:pPr>
      <w:r>
        <w:rPr>
          <w:sz w:val="24"/>
        </w:rPr>
        <w:t>50% (cinquenta por cento) dos procedimentos licitatórios não enquadrados nas alíneas anteriores, escolhidos em função de sua relevância e materialidade.</w:t>
      </w:r>
    </w:p>
    <w:p>
      <w:pPr>
        <w:pStyle w:val="BodyText"/>
        <w:spacing w:before="120"/>
        <w:ind w:left="672" w:right="813"/>
        <w:jc w:val="both"/>
      </w:pPr>
      <w:r>
        <w:rPr/>
        <w:t>A partir da relação dos certames homologados no referido bimestre, encaminhada pela Assessoria Especial do Diretor-Geral (ASSESD) em atenção ao Memorando nº 01/2015/SCI/COGES/SEAGES procedeu-se a seleção da amostra dos processos a serem analisados.</w:t>
      </w:r>
    </w:p>
    <w:p>
      <w:pPr>
        <w:pStyle w:val="BodyText"/>
        <w:spacing w:before="121"/>
        <w:ind w:left="672" w:right="808"/>
        <w:jc w:val="both"/>
      </w:pPr>
      <w:r>
        <w:rPr/>
        <w:t>Considerando a concentração dos procedimentos licitatórios no último bimestre do ano e a capacidade operacional da SEAGES foram adotadas duas providências com vistas ao cumprimento do programa da fiscalização estabelecido: a) A composição da amostra foi reduzida para 6  conforme pode ser observado na nota referente a tabela 2, constante do Anexo </w:t>
      </w:r>
      <w:r>
        <w:rPr>
          <w:spacing w:val="-3"/>
        </w:rPr>
        <w:t>I, </w:t>
      </w:r>
      <w:r>
        <w:rPr/>
        <w:t>que elenca </w:t>
      </w:r>
      <w:r>
        <w:rPr>
          <w:spacing w:val="-3"/>
        </w:rPr>
        <w:t>os </w:t>
      </w:r>
      <w:r>
        <w:rPr/>
        <w:t>processos selecionados; b) Estabeleceu-se critérios para seleção que resultou na escolha de 4 processos por materialidade, dentre os processos não enquadrados como “obras ou serviços de engenharia” ou “contratação de serviços contínuos com alocação exclusiva de mão-de-obra”, 2 concernentes a serviços de engenharia e 1 procedimento de contratação de serviços</w:t>
      </w:r>
      <w:r>
        <w:rPr>
          <w:spacing w:val="-11"/>
        </w:rPr>
        <w:t> </w:t>
      </w:r>
      <w:r>
        <w:rPr/>
        <w:t>contínuos.</w:t>
      </w:r>
    </w:p>
    <w:p>
      <w:pPr>
        <w:pStyle w:val="BodyText"/>
        <w:spacing w:before="120"/>
        <w:ind w:left="672" w:right="812"/>
        <w:jc w:val="both"/>
      </w:pPr>
      <w:r>
        <w:rPr/>
        <w:t>Em harmonia com princípios gerais orientadores da auditoria governamental, notadamente aqueles afetos à delimitação de foco do procedimento investigativo, de modo a compatibilizar a extensão dos testes a serem realizados com os prazos e recursos disponíveis, optou-se pela verificação da conformidade dos procedimentos licitatórios visando assegurar a efetividade ao controle</w:t>
      </w:r>
      <w:r>
        <w:rPr>
          <w:spacing w:val="-14"/>
        </w:rPr>
        <w:t> </w:t>
      </w:r>
      <w:r>
        <w:rPr/>
        <w:t>executado.</w:t>
      </w:r>
    </w:p>
    <w:p>
      <w:pPr>
        <w:pStyle w:val="BodyText"/>
        <w:spacing w:before="120"/>
        <w:ind w:left="672" w:right="812"/>
        <w:jc w:val="both"/>
      </w:pPr>
      <w:r>
        <w:rPr/>
        <w:pict>
          <v:shape style="position:absolute;margin-left:570.947266pt;margin-top:68.943123pt;width:13.2pt;height:47pt;mso-position-horizontal-relative:page;mso-position-vertical-relative:paragraph;z-index:15734272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  <w:r>
        <w:rPr/>
        <w:t>Entre as questões de auditoria levantadas durante a fase de planejamento, buscou-se verificar se os procedimentos licitatórios foram realizados em conformidade com a Lei nº 8.666/1993, especialmente no que pertine à correta e suficiente especificação do objeto/serviço no termo de referência, justificativa para a contratação, avaliação das pesquisas de preços realizadas, prévio</w:t>
      </w:r>
    </w:p>
    <w:p>
      <w:pPr>
        <w:spacing w:after="0"/>
        <w:jc w:val="both"/>
        <w:sectPr>
          <w:pgSz w:w="11910" w:h="16850"/>
          <w:pgMar w:header="756" w:footer="0" w:top="2800" w:bottom="0" w:left="460" w:right="320"/>
        </w:sectPr>
      </w:pPr>
    </w:p>
    <w:p>
      <w:pPr>
        <w:pStyle w:val="BodyText"/>
        <w:spacing w:before="10"/>
        <w:rPr>
          <w:sz w:val="11"/>
        </w:rPr>
      </w:pPr>
      <w:r>
        <w:rPr/>
        <w:pict>
          <v:group style="position:absolute;margin-left:354.5pt;margin-top:791.539978pt;width:236pt;height:46pt;mso-position-horizontal-relative:page;mso-position-vertical-relative:page;z-index:15735296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90"/>
        <w:ind w:left="672" w:right="814"/>
        <w:jc w:val="both"/>
      </w:pPr>
      <w:r>
        <w:rPr/>
        <w:t>exame e aprovação das minutas dos editais de licitação e dos contratos pela Assessoria Jurídica, verificação da existência de prévia disponibilidade orçamentária pelo Tribunal, autorização para a instauração do processo pela autoridade competente, além da lisura da fase externa dos pregões.</w:t>
      </w:r>
    </w:p>
    <w:p>
      <w:pPr>
        <w:pStyle w:val="BodyText"/>
        <w:spacing w:before="121"/>
        <w:ind w:left="672" w:right="816"/>
        <w:jc w:val="both"/>
      </w:pPr>
      <w:r>
        <w:rPr/>
        <w:t>Registre-se, por oportuno, que nenhum óbice foi imposto ao desenvolvimento dos trabalhos da presente fiscalização. Não obstante, suas conclusões podem ter sido limitadas, tendo em vista a necessidade de capacitação dos membros da equipe de fiscalização designada.</w:t>
      </w:r>
    </w:p>
    <w:p>
      <w:pPr>
        <w:pStyle w:val="BodyText"/>
        <w:spacing w:before="120"/>
        <w:ind w:left="672" w:right="809"/>
        <w:jc w:val="both"/>
      </w:pPr>
      <w:r>
        <w:rPr/>
        <w:t>Espera-se que o presente diagnóstico acerca dos procedimentos licitatórios resulte nos seguintes benefícios: a) a implementação de melhorias nos processos de licitações e, b) o aperfeiçoamento contínuo da gestão do Tribunal nesta matéria.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2"/>
        </w:numPr>
        <w:tabs>
          <w:tab w:pos="914" w:val="left" w:leader="none"/>
        </w:tabs>
        <w:spacing w:line="240" w:lineRule="auto" w:before="222" w:after="0"/>
        <w:ind w:left="913" w:right="0" w:hanging="242"/>
        <w:jc w:val="both"/>
      </w:pPr>
      <w:r>
        <w:rPr/>
        <w:t>ACHADOS DA FISCALIZAÇÃO</w:t>
      </w:r>
    </w:p>
    <w:p>
      <w:pPr>
        <w:pStyle w:val="BodyText"/>
        <w:spacing w:before="115"/>
        <w:ind w:left="672" w:right="818"/>
        <w:jc w:val="both"/>
      </w:pPr>
      <w:r>
        <w:rPr/>
        <w:t>Das análises dos processos selecionados, após confronto com os critérios e legislação aplicáveis para elucidação das questões de fiscalização propostas restaram evidenciados os seguintes</w:t>
      </w:r>
      <w:r>
        <w:rPr>
          <w:spacing w:val="-15"/>
        </w:rPr>
        <w:t> </w:t>
      </w:r>
      <w:r>
        <w:rPr/>
        <w:t>achados:</w:t>
      </w:r>
    </w:p>
    <w:p>
      <w:pPr>
        <w:pStyle w:val="Heading1"/>
        <w:numPr>
          <w:ilvl w:val="1"/>
          <w:numId w:val="2"/>
        </w:numPr>
        <w:tabs>
          <w:tab w:pos="1093" w:val="left" w:leader="none"/>
        </w:tabs>
        <w:spacing w:line="240" w:lineRule="auto" w:before="125" w:after="0"/>
        <w:ind w:left="1092" w:right="0" w:hanging="421"/>
        <w:jc w:val="both"/>
      </w:pPr>
      <w:r>
        <w:rPr/>
        <w:t>Exigência de qualificação técnica sem a adequada</w:t>
      </w:r>
      <w:r>
        <w:rPr>
          <w:spacing w:val="-6"/>
        </w:rPr>
        <w:t> </w:t>
      </w:r>
      <w:r>
        <w:rPr/>
        <w:t>fundamentação.</w:t>
      </w:r>
    </w:p>
    <w:p>
      <w:pPr>
        <w:pStyle w:val="BodyText"/>
        <w:spacing w:before="115"/>
        <w:ind w:left="672" w:right="810"/>
        <w:jc w:val="both"/>
      </w:pPr>
      <w:r>
        <w:rPr>
          <w:b/>
          <w:i/>
        </w:rPr>
        <w:t>Situação Encontrada: </w:t>
      </w:r>
      <w:r>
        <w:rPr/>
        <w:t>Na licitação para contratação de empresa para elaboração do projeto executivo destinado à construção do Fórum Eleitoral do Município de Itabuna verificou-se a existência de questionamentos por parte das empresas interessadas acerca da abrangência, pertinência e necessidade dos documentos de habilitação técnica exigidos pelo edital.</w:t>
      </w:r>
    </w:p>
    <w:p>
      <w:pPr>
        <w:pStyle w:val="BodyText"/>
        <w:spacing w:before="121"/>
        <w:ind w:left="672"/>
        <w:jc w:val="both"/>
      </w:pPr>
      <w:r>
        <w:rPr>
          <w:b/>
          <w:i/>
        </w:rPr>
        <w:t>Critério: </w:t>
      </w:r>
      <w:r>
        <w:rPr/>
        <w:t>art. 37, XXI da CF/88; art. 6, IX e 30 da Lei nº 8.666/1993.</w:t>
      </w:r>
    </w:p>
    <w:p>
      <w:pPr>
        <w:pStyle w:val="BodyText"/>
        <w:spacing w:before="120"/>
        <w:ind w:left="672" w:right="808"/>
        <w:jc w:val="both"/>
      </w:pPr>
      <w:r>
        <w:rPr>
          <w:b/>
          <w:i/>
        </w:rPr>
        <w:t>Evidência(s): </w:t>
      </w:r>
      <w:r>
        <w:rPr/>
        <w:t>PAD nº 3.111/2015 – Pregão Eletrônico nº 061/2015 (Contratação de empresa para elaboração do projeto executivo destinado à construção do Fórum Eleitoral do Município de Itabuna), item 5.1.5 do Edital; Doc. PAD nº 155.799/2015.</w:t>
      </w:r>
    </w:p>
    <w:p>
      <w:pPr>
        <w:pStyle w:val="BodyText"/>
        <w:spacing w:before="120"/>
        <w:ind w:left="672" w:right="808"/>
        <w:jc w:val="both"/>
      </w:pPr>
      <w:r>
        <w:rPr>
          <w:b/>
          <w:i/>
        </w:rPr>
        <w:t>Causa: </w:t>
      </w:r>
      <w:r>
        <w:rPr/>
        <w:t>insuficiência de capacitação dos servidores responsáveis pela elaboração dos termos de referência.</w:t>
      </w:r>
    </w:p>
    <w:p>
      <w:pPr>
        <w:pStyle w:val="BodyText"/>
        <w:spacing w:before="120"/>
        <w:ind w:left="672" w:right="813"/>
        <w:jc w:val="both"/>
      </w:pPr>
      <w:r>
        <w:rPr>
          <w:b/>
          <w:i/>
        </w:rPr>
        <w:t>Efeito(s</w:t>
      </w:r>
      <w:r>
        <w:rPr/>
        <w:t>): Possibilidade de restrição ao caráter competitivo do certame e potencial paralisação do certame.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1"/>
          <w:numId w:val="2"/>
        </w:numPr>
        <w:tabs>
          <w:tab w:pos="1094" w:val="left" w:leader="none"/>
        </w:tabs>
        <w:spacing w:line="240" w:lineRule="auto" w:before="222" w:after="0"/>
        <w:ind w:left="1093" w:right="0" w:hanging="422"/>
        <w:jc w:val="both"/>
      </w:pPr>
      <w:r>
        <w:rPr/>
        <w:t>Pesquisa de preços insuficiente, contando com menos de três propostas</w:t>
      </w:r>
      <w:r>
        <w:rPr>
          <w:spacing w:val="-5"/>
        </w:rPr>
        <w:t> </w:t>
      </w:r>
      <w:r>
        <w:rPr/>
        <w:t>válidas.</w:t>
      </w:r>
    </w:p>
    <w:p>
      <w:pPr>
        <w:pStyle w:val="BodyText"/>
        <w:spacing w:before="116"/>
        <w:ind w:left="672" w:right="807"/>
        <w:jc w:val="both"/>
      </w:pPr>
      <w:r>
        <w:rPr>
          <w:b/>
          <w:i/>
        </w:rPr>
        <w:t>Situação Encontrada: </w:t>
      </w:r>
      <w:r>
        <w:rPr/>
        <w:t>1) A aquisição, objeto do processo analisado, não foi devidamente instrumentalizada de modo a assegurar a isonomia e seleção da proposta mais vantajosa tendo em vista que para a formação do preço de referência do item 10 – “lâmpada dicróica” observou-se apenas uma oferta de valor por um único fornecedor, sem justificativa adequada para esta situação;</w:t>
      </w:r>
    </w:p>
    <w:p>
      <w:pPr>
        <w:pStyle w:val="BodyText"/>
        <w:ind w:left="672" w:right="810"/>
        <w:jc w:val="both"/>
      </w:pPr>
      <w:r>
        <w:rPr/>
        <w:t>2) Para a contratação de empresa especializada em serviços de comunicação social o resultado da pesquisa de preços não se mostrou seguro, pois valores muito díspares foram encontrados, tendo ainda o pregão eletrônico auferido uma economia superior a 30%, considerando o critério e parâmetros utilizados para fixação do preço médio e consequente julgamento da proposta.</w:t>
      </w:r>
    </w:p>
    <w:p>
      <w:pPr>
        <w:pStyle w:val="BodyText"/>
        <w:spacing w:before="120"/>
        <w:ind w:left="672" w:right="812"/>
        <w:jc w:val="both"/>
      </w:pPr>
      <w:r>
        <w:rPr/>
        <w:pict>
          <v:shape style="position:absolute;margin-left:570.947266pt;margin-top:58.747124pt;width:13.2pt;height:47pt;mso-position-horizontal-relative:page;mso-position-vertical-relative:paragraph;z-index:15735808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  <w:r>
        <w:rPr>
          <w:b/>
          <w:i/>
        </w:rPr>
        <w:t>Critério: </w:t>
      </w:r>
      <w:r>
        <w:rPr/>
        <w:t>Art. 43, IV, da Lei nº. 8.666/93 e entendimento do item 9.1.2 do Acórdão TCU nº 1.547/2007 do Tribunal de Contas da União e Portaria TRE-BA nº 144/2015.</w:t>
      </w:r>
    </w:p>
    <w:p>
      <w:pPr>
        <w:spacing w:after="0"/>
        <w:jc w:val="both"/>
        <w:sectPr>
          <w:pgSz w:w="11910" w:h="16850"/>
          <w:pgMar w:header="756" w:footer="0" w:top="2800" w:bottom="0" w:left="460" w:right="320"/>
        </w:sectPr>
      </w:pPr>
    </w:p>
    <w:p>
      <w:pPr>
        <w:pStyle w:val="BodyText"/>
        <w:spacing w:before="10"/>
        <w:rPr>
          <w:sz w:val="11"/>
        </w:rPr>
      </w:pPr>
      <w:r>
        <w:rPr/>
        <w:pict>
          <v:group style="position:absolute;margin-left:354.5pt;margin-top:791.539978pt;width:236pt;height:46pt;mso-position-horizontal-relative:page;mso-position-vertical-relative:page;z-index:15736832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90"/>
        <w:ind w:left="672" w:right="811"/>
        <w:jc w:val="both"/>
      </w:pPr>
      <w:r>
        <w:rPr>
          <w:b/>
          <w:i/>
        </w:rPr>
        <w:t>Evidência(s): </w:t>
      </w:r>
      <w:r>
        <w:rPr/>
        <w:t>PAD nº 2.119/2015; Doc. PAD nº 29.289/2015; Doc. PAD nº 111.543/2015; PAD nº 140/2015, Docs. nºs 88.065/2015, 90.950/2015, 93.201/2015 e 142.118/2015.</w:t>
      </w:r>
    </w:p>
    <w:p>
      <w:pPr>
        <w:pStyle w:val="BodyText"/>
        <w:spacing w:before="121"/>
        <w:ind w:left="672" w:right="808"/>
        <w:jc w:val="both"/>
      </w:pPr>
      <w:r>
        <w:rPr>
          <w:b/>
          <w:i/>
        </w:rPr>
        <w:t>Causa: </w:t>
      </w:r>
      <w:r>
        <w:rPr/>
        <w:t>insuficiência de capacitação dos servidores responsáveis pela realização de pesquisa de preços junto ao mercado fornecedor; ausência de sistematização e padronização ou manualização de procedimentos; ausência de refinamento da pesquisa de preços e dificuldade em se obter respostas de empresas consultadas.</w:t>
      </w:r>
    </w:p>
    <w:p>
      <w:pPr>
        <w:pStyle w:val="BodyText"/>
        <w:spacing w:before="120"/>
        <w:ind w:left="672" w:right="810"/>
        <w:jc w:val="both"/>
      </w:pPr>
      <w:r>
        <w:rPr>
          <w:b/>
          <w:i/>
        </w:rPr>
        <w:t>Efeito(s): </w:t>
      </w:r>
      <w:r>
        <w:rPr/>
        <w:t>Potencial prejuízo da Administração na aquisição de produto/serviço com preço superior ao do mercado. Licitação deserta. Contratações com preços acima do mercado em razão do valor de referência fixado.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1"/>
          <w:numId w:val="2"/>
        </w:numPr>
        <w:tabs>
          <w:tab w:pos="1094" w:val="left" w:leader="none"/>
        </w:tabs>
        <w:spacing w:line="240" w:lineRule="auto" w:before="222" w:after="0"/>
        <w:ind w:left="1093" w:right="0" w:hanging="422"/>
        <w:jc w:val="both"/>
      </w:pPr>
      <w:r>
        <w:rPr/>
        <w:t>Deficiência no planejamento de aquisição do</w:t>
      </w:r>
      <w:r>
        <w:rPr>
          <w:spacing w:val="-1"/>
        </w:rPr>
        <w:t> </w:t>
      </w:r>
      <w:r>
        <w:rPr/>
        <w:t>Órgão.</w:t>
      </w:r>
    </w:p>
    <w:p>
      <w:pPr>
        <w:pStyle w:val="BodyText"/>
        <w:spacing w:before="115"/>
        <w:ind w:left="672" w:right="809"/>
        <w:jc w:val="both"/>
      </w:pPr>
      <w:r>
        <w:rPr>
          <w:b/>
          <w:i/>
        </w:rPr>
        <w:t>Situação Encontrada: </w:t>
      </w:r>
      <w:r>
        <w:rPr/>
        <w:t>O objeto do pregão constituiu aquisição de fita cassete para utilização nas sessões do Tribunal, para fins de gravação. O suprimento revelou-se ultrapassado, próximo a obsolescência, dada a escassez verificada no mercado, situação que eleva o preço de aquisição, que entrega resultados de baixa qualidade e segurança e que pode levar à descontinuidade da solução antes de se conseguir outro que o substitua.</w:t>
      </w:r>
    </w:p>
    <w:p>
      <w:pPr>
        <w:spacing w:before="120"/>
        <w:ind w:left="672" w:right="0" w:firstLine="0"/>
        <w:jc w:val="both"/>
        <w:rPr>
          <w:sz w:val="24"/>
        </w:rPr>
      </w:pPr>
      <w:r>
        <w:rPr>
          <w:b/>
          <w:i/>
          <w:sz w:val="24"/>
        </w:rPr>
        <w:t>Critério: </w:t>
      </w:r>
      <w:r>
        <w:rPr>
          <w:sz w:val="24"/>
        </w:rPr>
        <w:t>art. 37, </w:t>
      </w:r>
      <w:r>
        <w:rPr>
          <w:i/>
          <w:sz w:val="24"/>
        </w:rPr>
        <w:t>caput, </w:t>
      </w:r>
      <w:r>
        <w:rPr>
          <w:sz w:val="24"/>
        </w:rPr>
        <w:t>da CF/88.</w:t>
      </w:r>
    </w:p>
    <w:p>
      <w:pPr>
        <w:pStyle w:val="BodyText"/>
        <w:spacing w:before="120"/>
        <w:ind w:left="672" w:right="813"/>
        <w:jc w:val="both"/>
      </w:pPr>
      <w:r>
        <w:rPr>
          <w:b/>
          <w:i/>
        </w:rPr>
        <w:t>Evidência(s): </w:t>
      </w:r>
      <w:r>
        <w:rPr/>
        <w:t>PAD 2119/2015 – Pregão 41/2015 – Doc. PAD nº 91.775/2015, anexo I, item 001, fl. 28.</w:t>
      </w:r>
    </w:p>
    <w:p>
      <w:pPr>
        <w:pStyle w:val="BodyText"/>
        <w:spacing w:before="121"/>
        <w:ind w:left="672" w:right="812"/>
        <w:jc w:val="both"/>
      </w:pPr>
      <w:r>
        <w:rPr>
          <w:b/>
          <w:i/>
        </w:rPr>
        <w:t>Causa: </w:t>
      </w:r>
      <w:r>
        <w:rPr/>
        <w:t>Ausência de estudos visando o amadurecimento de cada tipo de aquisição do Tribunal, descartando aquelas consideradas obsoletas ou próximo da obsolescência, com as devidas substituições. Deficiência no planejamento do Órgão.</w:t>
      </w:r>
    </w:p>
    <w:p>
      <w:pPr>
        <w:pStyle w:val="BodyText"/>
        <w:spacing w:before="120"/>
        <w:ind w:left="672"/>
        <w:jc w:val="both"/>
      </w:pPr>
      <w:r>
        <w:rPr>
          <w:b/>
          <w:i/>
        </w:rPr>
        <w:t>Efeito(s</w:t>
      </w:r>
      <w:r>
        <w:rPr/>
        <w:t>): Aquisição com elevado preço, fracasso da contratação, interrupção das atividades.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1"/>
          <w:numId w:val="2"/>
        </w:numPr>
        <w:tabs>
          <w:tab w:pos="1094" w:val="left" w:leader="none"/>
        </w:tabs>
        <w:spacing w:line="240" w:lineRule="auto" w:before="222" w:after="0"/>
        <w:ind w:left="1093" w:right="0" w:hanging="422"/>
        <w:jc w:val="both"/>
      </w:pPr>
      <w:r>
        <w:rPr/>
        <w:t>Falhas na instrução dos processos da contratação</w:t>
      </w:r>
    </w:p>
    <w:p>
      <w:pPr>
        <w:pStyle w:val="BodyText"/>
        <w:spacing w:before="115"/>
        <w:ind w:left="672" w:right="808"/>
        <w:jc w:val="both"/>
      </w:pPr>
      <w:r>
        <w:rPr/>
        <w:pict>
          <v:shape style="position:absolute;margin-left:570.947266pt;margin-top:228.32312pt;width:13.2pt;height:47pt;mso-position-horizontal-relative:page;mso-position-vertical-relative:paragraph;z-index:15737344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  <w:r>
        <w:rPr>
          <w:b/>
          <w:i/>
        </w:rPr>
        <w:t>Situações Encontradas: </w:t>
      </w:r>
      <w:r>
        <w:rPr/>
        <w:t>Verificou-se deficiência na instrução dos processos de contratação (documentos de habilitação) por intempestividade na juntada de documentos de habilitação exigidos pelo edital; juntada de documentos sem valor legal ou por não autenticação ou por omissão de registro da autenticação realizada, nas situações a seguir relatadas: 1) ausência de juntada aos autos, pelo pregoeiro, de dois documentos de habilitação da empresa vencedora do item 07 - “Pilhas 9v”: a)Certidão Negativa de Débitos Trabalhistas (CNDT) e b) Documento com data de validade regular que comprovasse a sua Qualificação Econômico-Financeira (PAD nº 2119/2015); 2) Juntada ao PAD nº 140/2015 (serviços de comunicação social), pelo pregoeiro, de certidão positiva do “ISS”, documento sem valor legal para a habilitação; 3) O escaneamento da página do Jornal Folha de São Paulo em que consta o aviso de licitação encontra-se totalmente ilegível, não podendo tal documento, portanto, ser considerado para aferição da sua conformidade. Da mesma forma, vários outros documentos anexados ao PAD nº 2.072/2015, encontram-se ilegíveis, com textos bastante apagados; 4) A pesquisa ao Cadastro Nacional de Condenações Cíveis por Ato de Improbidade Administrativa e Inelegibilidade - do CNJ - anexada ao PAD nº 140/2015 pelo Pregoeiro através do Doc. PAD nº 129.868/2015, fl. 01, foi apresentada em branco, demonstrando que o comando de</w:t>
      </w:r>
    </w:p>
    <w:p>
      <w:pPr>
        <w:spacing w:after="0"/>
        <w:jc w:val="both"/>
        <w:sectPr>
          <w:pgSz w:w="11910" w:h="16850"/>
          <w:pgMar w:header="756" w:footer="0" w:top="2800" w:bottom="0" w:left="460" w:right="320"/>
        </w:sectPr>
      </w:pPr>
    </w:p>
    <w:p>
      <w:pPr>
        <w:pStyle w:val="BodyText"/>
        <w:spacing w:before="10"/>
        <w:rPr>
          <w:sz w:val="11"/>
        </w:rPr>
      </w:pPr>
      <w:r>
        <w:rPr/>
        <w:pict>
          <v:group style="position:absolute;margin-left:354.5pt;margin-top:791.539978pt;width:236pt;height:46pt;mso-position-horizontal-relative:page;mso-position-vertical-relative:page;z-index:15738368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90"/>
        <w:ind w:left="672" w:right="555"/>
      </w:pPr>
      <w:r>
        <w:rPr/>
        <w:t>pesquisa não foi acionado. O pregoeiro não autenticou, ou não mencionou em seu relatório final a autenticação de documentos de habilitação.</w:t>
      </w:r>
    </w:p>
    <w:p>
      <w:pPr>
        <w:pStyle w:val="BodyText"/>
        <w:spacing w:before="121"/>
        <w:ind w:left="672" w:right="812"/>
        <w:jc w:val="both"/>
      </w:pPr>
      <w:r>
        <w:rPr>
          <w:b/>
          <w:i/>
        </w:rPr>
        <w:t>Critério: </w:t>
      </w:r>
      <w:r>
        <w:rPr/>
        <w:t>Art. 4º, XII, XIII, XV e XVI, da Lei nº 10.520/2002; art. 4º, XIII, XV e XVI e 8º da Lei nº 10.520/2002; edital do pregão nº 49/2015, cláusulas 6.1 e 6.2.</w:t>
      </w:r>
    </w:p>
    <w:p>
      <w:pPr>
        <w:pStyle w:val="BodyText"/>
        <w:spacing w:before="120"/>
        <w:ind w:left="672" w:right="810"/>
        <w:jc w:val="both"/>
      </w:pPr>
      <w:r>
        <w:rPr>
          <w:b/>
          <w:i/>
        </w:rPr>
        <w:t>Evidência(s): </w:t>
      </w:r>
      <w:r>
        <w:rPr/>
        <w:t>PAD nº 2119/2015 – Pregão 41/2015 – Docs. nºs 111.543/2015, item 11; 113.726/2015 e 127.245/2015, e, PAD nº 140/2015 - Pregão nº 47/2015 – Docs. nºs 135.153/2015 e</w:t>
      </w:r>
    </w:p>
    <w:p>
      <w:pPr>
        <w:pStyle w:val="BodyText"/>
        <w:ind w:left="672" w:right="811"/>
        <w:jc w:val="both"/>
      </w:pPr>
      <w:r>
        <w:rPr/>
        <w:t>139.993/2015; PAD nº. 2.072/2015, docs. nºs. 14.136/2015 – fls. 18/29 e 14.140/2015 - fl. 03 – e – PAD nº 140/2015, doc. nº 129.868/2015, fl. 01; PAD nº. 624/2015, Doc. nº 117.150/2015, fls. 01/02 e 10.</w:t>
      </w:r>
    </w:p>
    <w:p>
      <w:pPr>
        <w:pStyle w:val="BodyText"/>
        <w:spacing w:before="120"/>
        <w:ind w:left="672" w:right="811"/>
        <w:jc w:val="both"/>
      </w:pPr>
      <w:r>
        <w:rPr>
          <w:b/>
          <w:i/>
        </w:rPr>
        <w:t>Causa: </w:t>
      </w:r>
      <w:r>
        <w:rPr/>
        <w:t>insuficiência de capacitação dos pregoeiros e dos servidores responsáveis pela análise dos processos de pregão, sobrecarga de trabalho em razão do aumento de pregões e contratações no final o exercício financeiro; ausência de sistematização e, padronização de</w:t>
      </w:r>
      <w:r>
        <w:rPr>
          <w:spacing w:val="-4"/>
        </w:rPr>
        <w:t> </w:t>
      </w:r>
      <w:r>
        <w:rPr/>
        <w:t>procedimentos.</w:t>
      </w:r>
    </w:p>
    <w:p>
      <w:pPr>
        <w:pStyle w:val="BodyText"/>
        <w:spacing w:before="120"/>
        <w:ind w:left="672" w:right="811"/>
        <w:jc w:val="both"/>
      </w:pPr>
      <w:r>
        <w:rPr>
          <w:b/>
          <w:i/>
        </w:rPr>
        <w:t>Efeito(s</w:t>
      </w:r>
      <w:r>
        <w:rPr/>
        <w:t>): Convalidação dos atos irregulares; mácula na lisura dos procedimentos licitatórios, potencial contratação de empresa em situação irregular.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1"/>
          <w:numId w:val="2"/>
        </w:numPr>
        <w:tabs>
          <w:tab w:pos="1154" w:val="left" w:leader="none"/>
        </w:tabs>
        <w:spacing w:line="240" w:lineRule="auto" w:before="222" w:after="0"/>
        <w:ind w:left="1153" w:right="0" w:hanging="482"/>
        <w:jc w:val="both"/>
      </w:pPr>
      <w:r>
        <w:rPr/>
        <w:t>Morosidade na tramitação dos processos de contratação do</w:t>
      </w:r>
      <w:r>
        <w:rPr>
          <w:spacing w:val="-4"/>
        </w:rPr>
        <w:t> </w:t>
      </w:r>
      <w:r>
        <w:rPr/>
        <w:t>Tribunal</w:t>
      </w:r>
    </w:p>
    <w:p>
      <w:pPr>
        <w:pStyle w:val="BodyText"/>
        <w:spacing w:before="115"/>
        <w:ind w:left="672" w:right="808"/>
        <w:jc w:val="both"/>
      </w:pPr>
      <w:r>
        <w:rPr>
          <w:b/>
          <w:i/>
        </w:rPr>
        <w:t>Situações Encontradas: </w:t>
      </w:r>
      <w:r>
        <w:rPr/>
        <w:t>O Procedimento para contratação de empresa especializada em serviços de comunicação social demorou 34 meses desde o início até a homologação do certame, iniciando-se no dia 01.02.2013 e com a homologação ocorrida no dia</w:t>
      </w:r>
      <w:r>
        <w:rPr>
          <w:spacing w:val="-1"/>
        </w:rPr>
        <w:t> </w:t>
      </w:r>
      <w:r>
        <w:rPr/>
        <w:t>02.12.2015.</w:t>
      </w:r>
    </w:p>
    <w:p>
      <w:pPr>
        <w:pStyle w:val="BodyText"/>
        <w:spacing w:before="121"/>
        <w:ind w:left="672"/>
        <w:jc w:val="both"/>
      </w:pPr>
      <w:r>
        <w:rPr>
          <w:b/>
          <w:i/>
        </w:rPr>
        <w:t>Critério: </w:t>
      </w:r>
      <w:r>
        <w:rPr/>
        <w:t>Art. 37, </w:t>
      </w:r>
      <w:r>
        <w:rPr>
          <w:i/>
        </w:rPr>
        <w:t>caput</w:t>
      </w:r>
      <w:r>
        <w:rPr/>
        <w:t>, da CF/88; Portaria TRE-BA nº 487/2008, art. 30, VI.</w:t>
      </w:r>
    </w:p>
    <w:p>
      <w:pPr>
        <w:pStyle w:val="BodyText"/>
        <w:spacing w:before="120"/>
        <w:ind w:left="672" w:right="813"/>
        <w:jc w:val="both"/>
      </w:pPr>
      <w:r>
        <w:rPr>
          <w:b/>
          <w:i/>
        </w:rPr>
        <w:t>Evidência(s): </w:t>
      </w:r>
      <w:r>
        <w:rPr/>
        <w:t>Processo SADP nº 7.967/2013, atual PAD nº 140/2015 – Pregão Eletrônico nº 047/2015 – Docs. PAD nºs. 688/2015 e 142.118/2015.</w:t>
      </w:r>
    </w:p>
    <w:p>
      <w:pPr>
        <w:pStyle w:val="BodyText"/>
        <w:spacing w:before="120"/>
        <w:ind w:left="672"/>
        <w:jc w:val="both"/>
      </w:pPr>
      <w:r>
        <w:rPr>
          <w:b/>
          <w:i/>
        </w:rPr>
        <w:t>Causa: </w:t>
      </w:r>
      <w:r>
        <w:rPr/>
        <w:t>ineditismo do objeto a ser contratado.</w:t>
      </w:r>
    </w:p>
    <w:p>
      <w:pPr>
        <w:pStyle w:val="BodyText"/>
        <w:spacing w:before="120"/>
        <w:ind w:left="672" w:right="808"/>
        <w:jc w:val="both"/>
      </w:pPr>
      <w:r>
        <w:rPr>
          <w:b/>
          <w:i/>
        </w:rPr>
        <w:t>Efeito(s</w:t>
      </w:r>
      <w:r>
        <w:rPr/>
        <w:t>): Retardamento das contratações do Tribunal com a probabilidade de perda do objeto do processo e frustração das necessidades do Órgão, por aquisição de bens ou serviços que não atendem às expectativas das unidades demandantes.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1"/>
          <w:numId w:val="2"/>
        </w:numPr>
        <w:tabs>
          <w:tab w:pos="1094" w:val="left" w:leader="none"/>
        </w:tabs>
        <w:spacing w:line="240" w:lineRule="auto" w:before="222" w:after="0"/>
        <w:ind w:left="1093" w:right="0" w:hanging="422"/>
        <w:jc w:val="left"/>
      </w:pPr>
      <w:r>
        <w:rPr/>
        <w:t>Desclassificação de propostas em momento anterior à abertura dos</w:t>
      </w:r>
      <w:r>
        <w:rPr>
          <w:spacing w:val="-5"/>
        </w:rPr>
        <w:t> </w:t>
      </w:r>
      <w:r>
        <w:rPr/>
        <w:t>lances.</w:t>
      </w:r>
    </w:p>
    <w:p>
      <w:pPr>
        <w:pStyle w:val="BodyText"/>
        <w:spacing w:before="116"/>
        <w:ind w:left="672" w:right="555"/>
      </w:pPr>
      <w:r>
        <w:rPr>
          <w:b/>
          <w:i/>
        </w:rPr>
        <w:t>Situação Encontrada: </w:t>
      </w:r>
      <w:r>
        <w:rPr/>
        <w:t>Verificou-se desclassificação de proposta, pelo pregoeiro, antes do início da fase de lances, por motivos que poderiam ser supridos posteriormente.</w:t>
      </w:r>
    </w:p>
    <w:p>
      <w:pPr>
        <w:pStyle w:val="BodyText"/>
        <w:spacing w:before="120"/>
        <w:ind w:left="672"/>
      </w:pPr>
      <w:r>
        <w:rPr>
          <w:b/>
          <w:i/>
        </w:rPr>
        <w:t>Critério: </w:t>
      </w:r>
      <w:r>
        <w:rPr/>
        <w:t>Art. 37 da CF/88, </w:t>
      </w:r>
      <w:r>
        <w:rPr>
          <w:i/>
        </w:rPr>
        <w:t>caput</w:t>
      </w:r>
      <w:r>
        <w:rPr/>
        <w:t>, c/c inciso XXI e art. 3º da Lei nº 8.666/93.</w:t>
      </w:r>
    </w:p>
    <w:p>
      <w:pPr>
        <w:pStyle w:val="BodyText"/>
        <w:spacing w:before="120"/>
        <w:ind w:left="672" w:right="555"/>
      </w:pPr>
      <w:r>
        <w:rPr>
          <w:b/>
          <w:i/>
        </w:rPr>
        <w:t>Evidência(s): </w:t>
      </w:r>
      <w:r>
        <w:rPr/>
        <w:t>PAD nº. 624/2015, Doc. nº. 117.150/2015, fl. 01, primeiro parágrafo; Doc. nº. 118.317/2015.</w:t>
      </w:r>
    </w:p>
    <w:p>
      <w:pPr>
        <w:pStyle w:val="BodyText"/>
        <w:spacing w:before="120"/>
        <w:ind w:left="672" w:right="555"/>
      </w:pPr>
      <w:r>
        <w:rPr>
          <w:b/>
          <w:i/>
        </w:rPr>
        <w:t>Causa: </w:t>
      </w:r>
      <w:r>
        <w:rPr/>
        <w:t>Insuficiência de capacitação dos servidores que atuam como pregoeiros e dos servidores responsáveis pela análise dos processos de pregão.</w:t>
      </w:r>
    </w:p>
    <w:p>
      <w:pPr>
        <w:pStyle w:val="BodyText"/>
        <w:spacing w:before="120"/>
        <w:ind w:left="672" w:right="555"/>
      </w:pPr>
      <w:r>
        <w:rPr/>
        <w:pict>
          <v:shape style="position:absolute;margin-left:570.947266pt;margin-top:54.547127pt;width:13.2pt;height:47pt;mso-position-horizontal-relative:page;mso-position-vertical-relative:paragraph;z-index:15738880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  <w:r>
        <w:rPr>
          <w:b/>
          <w:i/>
        </w:rPr>
        <w:t>Efeito(s): </w:t>
      </w:r>
      <w:r>
        <w:rPr/>
        <w:t>impossibilidade de qualquer alteração futura, não podendo o procedimento retornar a sua fase anterior no sistema eletrônico.</w:t>
      </w:r>
    </w:p>
    <w:p>
      <w:pPr>
        <w:spacing w:after="0"/>
        <w:sectPr>
          <w:pgSz w:w="11910" w:h="16850"/>
          <w:pgMar w:header="756" w:footer="0" w:top="2800" w:bottom="0" w:left="460" w:right="32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354.5pt;margin-top:791.539978pt;width:236pt;height:46pt;mso-position-horizontal-relative:page;mso-position-vertical-relative:page;z-index:15739904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9"/>
        <w:rPr>
          <w:sz w:val="26"/>
        </w:rPr>
      </w:pPr>
    </w:p>
    <w:p>
      <w:pPr>
        <w:pStyle w:val="Heading1"/>
        <w:numPr>
          <w:ilvl w:val="0"/>
          <w:numId w:val="2"/>
        </w:numPr>
        <w:tabs>
          <w:tab w:pos="913" w:val="left" w:leader="none"/>
        </w:tabs>
        <w:spacing w:line="240" w:lineRule="auto" w:before="90" w:after="0"/>
        <w:ind w:left="912" w:right="0" w:hanging="241"/>
        <w:jc w:val="left"/>
      </w:pPr>
      <w:r>
        <w:rPr/>
        <w:t>CONCLUSÃO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212"/>
        <w:ind w:left="672" w:right="809"/>
        <w:jc w:val="both"/>
      </w:pPr>
      <w:r>
        <w:rPr/>
        <w:t>Finalizados os trabalhos de fiscalização dos processos licitatórios concluídos no último bimestre de 2015, restaram respondidas as questões de auditoria propostas. Verificou-se, então, as inconformidades relatadas na seção 2 deste relatório, tendo em vista os instrumentos normativos utilizados como parâmetros para a fiscalização e que são de observância obrigatória nos procedimentos licitatórios.</w:t>
      </w:r>
    </w:p>
    <w:p>
      <w:pPr>
        <w:pStyle w:val="BodyText"/>
        <w:spacing w:before="121"/>
        <w:ind w:left="672" w:right="811"/>
        <w:jc w:val="both"/>
      </w:pPr>
      <w:r>
        <w:rPr/>
        <w:t>A implementação das medidas adiante propostas, elaboradas a partir do resultado da análise dos certames ora fiscalizados, representa oportunidade de aperfeiçoamento dos procedimentos licitatórios deste Órgão, visando aumentar o êxito e a segurança dos mesmos.</w:t>
      </w:r>
    </w:p>
    <w:p>
      <w:pPr>
        <w:pStyle w:val="BodyText"/>
        <w:spacing w:before="120"/>
        <w:ind w:left="672" w:right="809"/>
        <w:jc w:val="both"/>
      </w:pPr>
      <w:r>
        <w:rPr/>
        <w:t>Registre-se que durante a fase de execução dos trabalhos a equipe de fiscalização verificou ocorrência no processo que teve por objeto o Registro de Preços para aquisição de material de áudio, vídeo, foto, pilhas e lâmpada dicróica (PAD n. 2119/2015), no qual a empresa NJV IMPORTAÇÃO E EXPORTAÇÃO LTDA. – EPP sagrou-se vencedora de três itens com idêntica descrição (fones de ouvido, integrantes dos itens 2, 11 e 12), tendo, entretanto, ofertado valores distintos para cada um deles, conforme “Resultado por Fornecedor” (Doc. PAD nº.</w:t>
      </w:r>
      <w:r>
        <w:rPr>
          <w:spacing w:val="-12"/>
        </w:rPr>
        <w:t> </w:t>
      </w:r>
      <w:r>
        <w:rPr/>
        <w:t>108.417/2015).</w:t>
      </w:r>
    </w:p>
    <w:p>
      <w:pPr>
        <w:pStyle w:val="BodyText"/>
        <w:spacing w:before="120"/>
        <w:ind w:left="672" w:right="810"/>
        <w:jc w:val="both"/>
      </w:pPr>
      <w:r>
        <w:rPr/>
        <w:t>A situação foi ocasionada pela inexistência de funcionalidade específica no sistema Comprasnet para atendimento das prescrições insertas no art. 48, III, da Lei Complementar nº. 123/2016, que determina, “em certames para aquisição de bens de natureza divisível”, o estabelecimento de cota de 25% (vinte e cinco por cento), para contratação de microempresas ou empresas de pequeno porte, quando a contratação envolver somas acima de R$ 80.000,00 (oitenta mil reais). No intuito  de obedecer ao ditame legal, a Administração utilizou como mecanismo a divisão do objeto em três itens, sendo dois exclusivos para participação de microempresas ou empresas de pequeno porte (modalidade que tem como fator limite o valor de R$ 80.000,00) e um aberto para a participação de qualquer</w:t>
      </w:r>
      <w:r>
        <w:rPr>
          <w:spacing w:val="-3"/>
        </w:rPr>
        <w:t> </w:t>
      </w:r>
      <w:r>
        <w:rPr/>
        <w:t>interessado.</w:t>
      </w:r>
    </w:p>
    <w:p>
      <w:pPr>
        <w:pStyle w:val="BodyText"/>
        <w:spacing w:before="121"/>
        <w:ind w:left="672" w:right="809"/>
        <w:jc w:val="both"/>
      </w:pPr>
      <w:r>
        <w:rPr/>
        <w:t>A Secretaria de Controle Interno e Auditoria, considerando que o processo ainda se encontrava na Coordenadoria de Gestão de Licitações e Contratos para assinatura da Ata de Registro de Preços, e tendo em vista o princípio da economicidade, eficiência e a boa versação do dinheiro público, e ainda diante da inexistência de norma que saneasse esta situação de inconformidade (norma que só veio a ser instrumentalizada com a publicação do regramento constante do Decreto nº. 8.538/2015, especialmente seu art. 8º, § 3º, que só então veio a determinar que “Se a mesma empresa vencer a cota reservada e a cota principal, a contratação das cotas deverá ocorrer pelo menor preço”), recomendou à unidade gestora (PAD nº 3859/2016) que, previamente à formalização do instrumento, convocasse a empresa para negociação, visando à contratação dos itens pelo menor preço adjudicado.</w:t>
      </w:r>
    </w:p>
    <w:p>
      <w:pPr>
        <w:pStyle w:val="BodyText"/>
        <w:spacing w:before="120"/>
        <w:ind w:left="672" w:right="813"/>
        <w:jc w:val="both"/>
      </w:pPr>
      <w:r>
        <w:rPr/>
        <w:pict>
          <v:shape style="position:absolute;margin-left:570.947266pt;margin-top:100.743118pt;width:13.2pt;height:47pt;mso-position-horizontal-relative:page;mso-position-vertical-relative:paragraph;z-index:15740416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  <w:r>
        <w:rPr/>
        <w:t>A gestora da Coordenadoria de Aquisições e licitações e Contratos, então, oficiou a empresa (Doc. PAD nº 47620/2016) para negociação do valor unitário, que aceitou a proposta deste Tribunal equiparando os preços dos itens ao de menor valor registrado, resultando numa economia de cerca de trinta e sete mil reais ao Tribunal.</w:t>
      </w:r>
    </w:p>
    <w:p>
      <w:pPr>
        <w:spacing w:after="0"/>
        <w:jc w:val="both"/>
        <w:sectPr>
          <w:pgSz w:w="11910" w:h="16850"/>
          <w:pgMar w:header="756" w:footer="0" w:top="2800" w:bottom="0" w:left="460" w:right="320"/>
        </w:sectPr>
      </w:pPr>
    </w:p>
    <w:p>
      <w:pPr>
        <w:pStyle w:val="BodyText"/>
        <w:spacing w:before="4"/>
        <w:rPr>
          <w:sz w:val="12"/>
        </w:rPr>
      </w:pPr>
      <w:r>
        <w:rPr/>
        <w:pict>
          <v:group style="position:absolute;margin-left:354.5pt;margin-top:791.539978pt;width:236pt;height:46pt;mso-position-horizontal-relative:page;mso-position-vertical-relative:page;z-index:15741440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Heading1"/>
        <w:numPr>
          <w:ilvl w:val="0"/>
          <w:numId w:val="2"/>
        </w:numPr>
        <w:tabs>
          <w:tab w:pos="914" w:val="left" w:leader="none"/>
        </w:tabs>
        <w:spacing w:line="240" w:lineRule="auto" w:before="90" w:after="0"/>
        <w:ind w:left="913" w:right="0" w:hanging="242"/>
        <w:jc w:val="both"/>
      </w:pPr>
      <w:r>
        <w:rPr/>
        <w:t>PROPOSTA DE</w:t>
      </w:r>
      <w:r>
        <w:rPr>
          <w:spacing w:val="-1"/>
        </w:rPr>
        <w:t> </w:t>
      </w:r>
      <w:r>
        <w:rPr/>
        <w:t>ENCAMINHAMENTO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212"/>
        <w:ind w:left="672" w:right="809"/>
        <w:jc w:val="both"/>
      </w:pPr>
      <w:r>
        <w:rPr/>
        <w:t>No tocante às vulnerabilidades evidenciadas na seção 2 deste relatório, submete-se ao exame superior, visando posterior apreciação pela Presidência desta Casa, as seguintes propostas de encaminhamento:</w:t>
      </w:r>
    </w:p>
    <w:p>
      <w:pPr>
        <w:pStyle w:val="ListParagraph"/>
        <w:numPr>
          <w:ilvl w:val="1"/>
          <w:numId w:val="2"/>
        </w:numPr>
        <w:tabs>
          <w:tab w:pos="1125" w:val="left" w:leader="none"/>
        </w:tabs>
        <w:spacing w:line="240" w:lineRule="auto" w:before="120" w:after="0"/>
        <w:ind w:left="672" w:right="810" w:firstLine="0"/>
        <w:jc w:val="both"/>
        <w:rPr>
          <w:sz w:val="24"/>
        </w:rPr>
      </w:pPr>
      <w:r>
        <w:rPr>
          <w:sz w:val="24"/>
        </w:rPr>
        <w:t>Recomendar às unidades demandantes, quando da elaboração dos termos de referência, que, quando necessário, façam constar apenas as exigências de qualificação técnica indispensáveis à garantia do cumprimento das obrigações pela contratada, devendo fundamentar detalhadamente esta necessidade, orientando-se sempre nos princípios da razoabilidade e proporcionalidade (ref. item 2.1);</w:t>
      </w:r>
    </w:p>
    <w:p>
      <w:pPr>
        <w:pStyle w:val="ListParagraph"/>
        <w:numPr>
          <w:ilvl w:val="1"/>
          <w:numId w:val="2"/>
        </w:numPr>
        <w:tabs>
          <w:tab w:pos="1187" w:val="left" w:leader="none"/>
        </w:tabs>
        <w:spacing w:line="240" w:lineRule="auto" w:before="121" w:after="0"/>
        <w:ind w:left="672" w:right="807" w:firstLine="0"/>
        <w:jc w:val="both"/>
        <w:rPr>
          <w:sz w:val="24"/>
        </w:rPr>
      </w:pPr>
      <w:r>
        <w:rPr>
          <w:sz w:val="24"/>
        </w:rPr>
        <w:t>Recomendar à Secretaria de Gestão de Pessoas (SGP), que implemente programa de capacitação periódica sobre a elaboração dos Termos de Referência do Órgão, que aborde detidamente as exigências para a habilitação das empresas em certames, em especial a habilitação técnica, envolvendo os servidores das diversas áreas demandantes e envolvidas no processo de contratação do Tribunal, tais como ASSESD, ASJUR1, SGA, SGS, STI; SOF, PREGOEIROS, ASCOM e COASA (ref. item 2.1);</w:t>
      </w:r>
    </w:p>
    <w:p>
      <w:pPr>
        <w:pStyle w:val="ListParagraph"/>
        <w:numPr>
          <w:ilvl w:val="1"/>
          <w:numId w:val="2"/>
        </w:numPr>
        <w:tabs>
          <w:tab w:pos="1183" w:val="left" w:leader="none"/>
        </w:tabs>
        <w:spacing w:line="240" w:lineRule="auto" w:before="120" w:after="0"/>
        <w:ind w:left="672" w:right="808" w:firstLine="0"/>
        <w:jc w:val="both"/>
        <w:rPr>
          <w:sz w:val="24"/>
        </w:rPr>
      </w:pPr>
      <w:r>
        <w:rPr>
          <w:sz w:val="24"/>
        </w:rPr>
        <w:t>Recomendar à Secretaria de Gestão Administrativa, por meio da Seção de Licitações (SGA/SELIC) que avalie a conveniência e oportunidade de atuar na orientação das unidades demandantes de bens e serviços quando da elaboração dos termos de referência/projetos básicos, funcionando como primeira linha de defesa e minimizando os riscos na elaboração da minuta do edital e seus anexos. (ref. item</w:t>
      </w:r>
      <w:r>
        <w:rPr>
          <w:spacing w:val="1"/>
          <w:sz w:val="24"/>
        </w:rPr>
        <w:t> </w:t>
      </w:r>
      <w:r>
        <w:rPr>
          <w:sz w:val="24"/>
        </w:rPr>
        <w:t>2.1);</w:t>
      </w:r>
    </w:p>
    <w:p>
      <w:pPr>
        <w:pStyle w:val="ListParagraph"/>
        <w:numPr>
          <w:ilvl w:val="1"/>
          <w:numId w:val="2"/>
        </w:numPr>
        <w:tabs>
          <w:tab w:pos="1099" w:val="left" w:leader="none"/>
        </w:tabs>
        <w:spacing w:line="240" w:lineRule="auto" w:before="120" w:after="0"/>
        <w:ind w:left="672" w:right="807" w:firstLine="0"/>
        <w:jc w:val="both"/>
        <w:rPr>
          <w:sz w:val="24"/>
        </w:rPr>
      </w:pPr>
      <w:r>
        <w:rPr>
          <w:sz w:val="24"/>
        </w:rPr>
        <w:t>Recomendar à SGA que os processos de contratação do Tribunal sejam instruídos com o maior número possível de propostas – contendo um mínimo de 3 cotações, salvo robusta justificativa, devendo, ainda, refinar a pesquisa de preços quando os valores obtidos forem díspares, visando obter um preço médio compatível com o praticado pelo mercado, nos termos da Portaria TRE-BA nº 144/2015. (ref. item</w:t>
      </w:r>
      <w:r>
        <w:rPr>
          <w:spacing w:val="-1"/>
          <w:sz w:val="24"/>
        </w:rPr>
        <w:t> </w:t>
      </w:r>
      <w:r>
        <w:rPr>
          <w:sz w:val="24"/>
        </w:rPr>
        <w:t>2.2);</w:t>
      </w:r>
    </w:p>
    <w:p>
      <w:pPr>
        <w:pStyle w:val="ListParagraph"/>
        <w:numPr>
          <w:ilvl w:val="1"/>
          <w:numId w:val="2"/>
        </w:numPr>
        <w:tabs>
          <w:tab w:pos="1115" w:val="left" w:leader="none"/>
        </w:tabs>
        <w:spacing w:line="240" w:lineRule="auto" w:before="121" w:after="0"/>
        <w:ind w:left="672" w:right="809" w:firstLine="0"/>
        <w:jc w:val="both"/>
        <w:rPr>
          <w:sz w:val="24"/>
        </w:rPr>
      </w:pPr>
      <w:r>
        <w:rPr>
          <w:sz w:val="24"/>
        </w:rPr>
        <w:t>Recomendar que seja designada Equipe de Planejamento de Contratações para verificação da perspectiva de amadurecimento das soluções consideradas ultrapassadas ou próximo da obsolescência, a exemplo da atualmente utilizada para as gravação das sessões deste Órgão (ref. item 2.3);</w:t>
      </w:r>
    </w:p>
    <w:p>
      <w:pPr>
        <w:pStyle w:val="ListParagraph"/>
        <w:numPr>
          <w:ilvl w:val="1"/>
          <w:numId w:val="2"/>
        </w:numPr>
        <w:tabs>
          <w:tab w:pos="1096" w:val="left" w:leader="none"/>
        </w:tabs>
        <w:spacing w:line="240" w:lineRule="auto" w:before="120" w:after="0"/>
        <w:ind w:left="672" w:right="809" w:firstLine="0"/>
        <w:jc w:val="both"/>
        <w:rPr>
          <w:sz w:val="24"/>
        </w:rPr>
      </w:pPr>
      <w:r>
        <w:rPr>
          <w:sz w:val="24"/>
        </w:rPr>
        <w:t>Recomendar à SGA que elabore lista de verificação do tipo “check list” ou outro mecanismo de controle, para utilização pelos pregoeiros na análise dos documentos de habilitação/seleção do fornecedor, exigindo dos Pregoeiros que sempre constem em seu relatório final a explicitação de quais documentos de habilitação tiveram a sua autenticidade atestada, devendo a ASSESD, por fim, em sua análise de conformidade antes da homologação da licitação, proceder a revisão dos mencionados documentos. (ref. item 2.4);</w:t>
      </w:r>
    </w:p>
    <w:p>
      <w:pPr>
        <w:pStyle w:val="ListParagraph"/>
        <w:numPr>
          <w:ilvl w:val="1"/>
          <w:numId w:val="2"/>
        </w:numPr>
        <w:tabs>
          <w:tab w:pos="1123" w:val="left" w:leader="none"/>
        </w:tabs>
        <w:spacing w:line="240" w:lineRule="auto" w:before="120" w:after="0"/>
        <w:ind w:left="672" w:right="808" w:firstLine="0"/>
        <w:jc w:val="both"/>
        <w:rPr>
          <w:sz w:val="24"/>
        </w:rPr>
      </w:pPr>
      <w:r>
        <w:rPr/>
        <w:pict>
          <v:shape style="position:absolute;margin-left:570.947266pt;margin-top:94.743118pt;width:13.2pt;height:47pt;mso-position-horizontal-relative:page;mso-position-vertical-relative:paragraph;z-index:15741952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Reiterar recomendação do relatório da Fiscalização de Procedimentos Licitatórios - bimestre Janeiro/Fevereiro/2015, no sentido de que as unidades administrativas, quando visualizada a complexidade e/ou ineditismo do objeto a ser licitado, procedam à elaboração de detalhado estudo prévio preliminar ao procedimento licitatório, ainda na fase de elaboração do PLANCONT, devendo</w:t>
      </w:r>
      <w:r>
        <w:rPr>
          <w:spacing w:val="20"/>
          <w:sz w:val="24"/>
        </w:rPr>
        <w:t> </w:t>
      </w:r>
      <w:r>
        <w:rPr>
          <w:sz w:val="24"/>
        </w:rPr>
        <w:t>ser</w:t>
      </w:r>
      <w:r>
        <w:rPr>
          <w:spacing w:val="21"/>
          <w:sz w:val="24"/>
        </w:rPr>
        <w:t> </w:t>
      </w:r>
      <w:r>
        <w:rPr>
          <w:sz w:val="24"/>
        </w:rPr>
        <w:t>autuado</w:t>
      </w:r>
      <w:r>
        <w:rPr>
          <w:spacing w:val="20"/>
          <w:sz w:val="24"/>
        </w:rPr>
        <w:t> </w:t>
      </w:r>
      <w:r>
        <w:rPr>
          <w:sz w:val="24"/>
        </w:rPr>
        <w:t>de</w:t>
      </w:r>
      <w:r>
        <w:rPr>
          <w:spacing w:val="21"/>
          <w:sz w:val="24"/>
        </w:rPr>
        <w:t> </w:t>
      </w:r>
      <w:r>
        <w:rPr>
          <w:sz w:val="24"/>
        </w:rPr>
        <w:t>forma</w:t>
      </w:r>
      <w:r>
        <w:rPr>
          <w:spacing w:val="19"/>
          <w:sz w:val="24"/>
        </w:rPr>
        <w:t> </w:t>
      </w:r>
      <w:r>
        <w:rPr>
          <w:sz w:val="24"/>
        </w:rPr>
        <w:t>autônoma,</w:t>
      </w:r>
      <w:r>
        <w:rPr>
          <w:spacing w:val="21"/>
          <w:sz w:val="24"/>
        </w:rPr>
        <w:t> </w:t>
      </w:r>
      <w:r>
        <w:rPr>
          <w:sz w:val="24"/>
        </w:rPr>
        <w:t>apartada</w:t>
      </w:r>
      <w:r>
        <w:rPr>
          <w:spacing w:val="19"/>
          <w:sz w:val="24"/>
        </w:rPr>
        <w:t> </w:t>
      </w:r>
      <w:r>
        <w:rPr>
          <w:sz w:val="24"/>
        </w:rPr>
        <w:t>dos</w:t>
      </w:r>
      <w:r>
        <w:rPr>
          <w:spacing w:val="21"/>
          <w:sz w:val="24"/>
        </w:rPr>
        <w:t> </w:t>
      </w:r>
      <w:r>
        <w:rPr>
          <w:sz w:val="24"/>
        </w:rPr>
        <w:t>autos</w:t>
      </w:r>
      <w:r>
        <w:rPr>
          <w:spacing w:val="21"/>
          <w:sz w:val="24"/>
        </w:rPr>
        <w:t> </w:t>
      </w:r>
      <w:r>
        <w:rPr>
          <w:sz w:val="24"/>
        </w:rPr>
        <w:t>que</w:t>
      </w:r>
      <w:r>
        <w:rPr>
          <w:spacing w:val="20"/>
          <w:sz w:val="24"/>
        </w:rPr>
        <w:t> </w:t>
      </w:r>
      <w:r>
        <w:rPr>
          <w:sz w:val="24"/>
        </w:rPr>
        <w:t>veicularão</w:t>
      </w:r>
      <w:r>
        <w:rPr>
          <w:spacing w:val="20"/>
          <w:sz w:val="24"/>
        </w:rPr>
        <w:t> </w:t>
      </w:r>
      <w:r>
        <w:rPr>
          <w:sz w:val="24"/>
        </w:rPr>
        <w:t>a</w:t>
      </w:r>
      <w:r>
        <w:rPr>
          <w:spacing w:val="20"/>
          <w:sz w:val="24"/>
        </w:rPr>
        <w:t> </w:t>
      </w:r>
      <w:r>
        <w:rPr>
          <w:sz w:val="24"/>
        </w:rPr>
        <w:t>licitação.</w:t>
      </w:r>
      <w:r>
        <w:rPr>
          <w:spacing w:val="20"/>
          <w:sz w:val="24"/>
        </w:rPr>
        <w:t> </w:t>
      </w:r>
      <w:r>
        <w:rPr>
          <w:sz w:val="24"/>
        </w:rPr>
        <w:t>Já</w:t>
      </w:r>
      <w:r>
        <w:rPr>
          <w:spacing w:val="20"/>
          <w:sz w:val="24"/>
        </w:rPr>
        <w:t> </w:t>
      </w:r>
      <w:r>
        <w:rPr>
          <w:sz w:val="24"/>
        </w:rPr>
        <w:t>no</w:t>
      </w:r>
      <w:r>
        <w:rPr>
          <w:spacing w:val="20"/>
          <w:sz w:val="24"/>
        </w:rPr>
        <w:t> </w:t>
      </w:r>
      <w:r>
        <w:rPr>
          <w:sz w:val="24"/>
        </w:rPr>
        <w:t>que</w:t>
      </w:r>
    </w:p>
    <w:p>
      <w:pPr>
        <w:spacing w:after="0" w:line="240" w:lineRule="auto"/>
        <w:jc w:val="both"/>
        <w:rPr>
          <w:sz w:val="24"/>
        </w:rPr>
        <w:sectPr>
          <w:pgSz w:w="11910" w:h="16850"/>
          <w:pgMar w:header="756" w:footer="0" w:top="2800" w:bottom="0" w:left="460" w:right="320"/>
        </w:sectPr>
      </w:pPr>
    </w:p>
    <w:p>
      <w:pPr>
        <w:pStyle w:val="BodyText"/>
        <w:spacing w:before="10"/>
        <w:rPr>
          <w:sz w:val="11"/>
        </w:rPr>
      </w:pPr>
      <w:r>
        <w:rPr/>
        <w:pict>
          <v:group style="position:absolute;margin-left:354.5pt;margin-top:791.539978pt;width:236pt;height:46pt;mso-position-horizontal-relative:page;mso-position-vertical-relative:page;z-index:15742976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70.947266pt;margin-top:791.039978pt;width:13.2pt;height:47pt;mso-position-horizontal-relative:page;mso-position-vertical-relative:page;z-index:15743488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</w:p>
    <w:p>
      <w:pPr>
        <w:pStyle w:val="BodyText"/>
        <w:spacing w:before="90"/>
        <w:ind w:left="672" w:right="810"/>
        <w:jc w:val="both"/>
      </w:pPr>
      <w:r>
        <w:rPr/>
        <w:t>pertine às contratações recorrentes, devem as áreas solicitantes avaliar a utilização dos termos de referência da última contratação para o mesmo objeto, ressaltando-se às modificações por ventura necessárias, consignando as respectivas justificativas para as alterações (ref. item 2.5);</w:t>
      </w:r>
    </w:p>
    <w:p>
      <w:pPr>
        <w:pStyle w:val="ListParagraph"/>
        <w:numPr>
          <w:ilvl w:val="1"/>
          <w:numId w:val="2"/>
        </w:numPr>
        <w:tabs>
          <w:tab w:pos="1113" w:val="left" w:leader="none"/>
        </w:tabs>
        <w:spacing w:line="240" w:lineRule="auto" w:before="121" w:after="0"/>
        <w:ind w:left="672" w:right="810" w:firstLine="0"/>
        <w:jc w:val="both"/>
        <w:rPr>
          <w:sz w:val="24"/>
        </w:rPr>
      </w:pPr>
      <w:r>
        <w:rPr>
          <w:sz w:val="24"/>
        </w:rPr>
        <w:t>Recomendar aos Pregoeiros que se abstenham de desclassificar propostas eletrônicas antes da abertura da fase de lances, devendo aguardar a fase de aceitação para fazê-lo, a não ser que as inconsistências apresentadas nas propostas sejam eminentemente incompatíveis com o certame, não podendo ser objeto de convalidação (ref. item</w:t>
      </w:r>
      <w:r>
        <w:rPr>
          <w:spacing w:val="2"/>
          <w:sz w:val="24"/>
        </w:rPr>
        <w:t> </w:t>
      </w:r>
      <w:r>
        <w:rPr>
          <w:sz w:val="24"/>
        </w:rPr>
        <w:t>2.6).</w:t>
      </w:r>
    </w:p>
    <w:p>
      <w:pPr>
        <w:pStyle w:val="BodyText"/>
        <w:spacing w:before="123"/>
        <w:ind w:left="6367"/>
      </w:pPr>
      <w:r>
        <w:rPr/>
        <w:t>Salvador (BA), 13 de dezembro de 2016.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p>
      <w:pPr>
        <w:pStyle w:val="BodyText"/>
        <w:ind w:left="1525"/>
      </w:pPr>
      <w:r>
        <w:rPr/>
        <w:t>Eduardo Machado Oliveira</w:t>
      </w:r>
    </w:p>
    <w:p>
      <w:pPr>
        <w:spacing w:before="2"/>
        <w:ind w:left="1525" w:right="0" w:firstLine="0"/>
        <w:jc w:val="left"/>
        <w:rPr>
          <w:i/>
          <w:sz w:val="20"/>
        </w:rPr>
      </w:pPr>
      <w:r>
        <w:rPr>
          <w:i/>
          <w:sz w:val="20"/>
        </w:rPr>
        <w:t>Auditor Interno</w:t>
      </w:r>
    </w:p>
    <w:p>
      <w:pPr>
        <w:pStyle w:val="BodyText"/>
        <w:spacing w:before="11"/>
        <w:rPr>
          <w:i/>
          <w:sz w:val="19"/>
        </w:rPr>
      </w:pPr>
    </w:p>
    <w:p>
      <w:pPr>
        <w:pStyle w:val="BodyText"/>
        <w:ind w:left="1525"/>
      </w:pPr>
      <w:r>
        <w:rPr/>
        <w:t>De acordo.</w:t>
      </w:r>
    </w:p>
    <w:p>
      <w:pPr>
        <w:pStyle w:val="BodyText"/>
        <w:spacing w:before="230"/>
        <w:ind w:left="1525"/>
      </w:pPr>
      <w:r>
        <w:rPr/>
        <w:t>Ana Rejane Catunda de Carvalho</w:t>
      </w:r>
    </w:p>
    <w:p>
      <w:pPr>
        <w:spacing w:before="2"/>
        <w:ind w:left="1525" w:right="0" w:firstLine="0"/>
        <w:jc w:val="left"/>
        <w:rPr>
          <w:i/>
          <w:sz w:val="20"/>
        </w:rPr>
      </w:pPr>
      <w:r>
        <w:rPr>
          <w:i/>
          <w:sz w:val="20"/>
        </w:rPr>
        <w:t>Coordenadora da COGES</w:t>
      </w:r>
    </w:p>
    <w:p>
      <w:pPr>
        <w:spacing w:after="0"/>
        <w:jc w:val="left"/>
        <w:rPr>
          <w:sz w:val="20"/>
        </w:rPr>
        <w:sectPr>
          <w:pgSz w:w="11910" w:h="16850"/>
          <w:pgMar w:header="756" w:footer="0" w:top="2800" w:bottom="0" w:left="460" w:right="320"/>
        </w:sectPr>
      </w:pPr>
    </w:p>
    <w:p>
      <w:pPr>
        <w:pStyle w:val="BodyText"/>
        <w:spacing w:before="6"/>
        <w:rPr>
          <w:i/>
          <w:sz w:val="12"/>
        </w:rPr>
      </w:pPr>
      <w:r>
        <w:rPr/>
        <w:pict>
          <v:group style="position:absolute;margin-left:354.5pt;margin-top:791.539978pt;width:236pt;height:46pt;mso-position-horizontal-relative:page;mso-position-vertical-relative:page;z-index:15744512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70.947266pt;margin-top:791.039978pt;width:13.2pt;height:47pt;mso-position-horizontal-relative:page;mso-position-vertical-relative:page;z-index:15745024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</w:p>
    <w:p>
      <w:pPr>
        <w:pStyle w:val="Heading1"/>
        <w:ind w:left="1306" w:right="595" w:firstLine="0"/>
        <w:jc w:val="center"/>
      </w:pPr>
      <w:r>
        <w:rPr/>
        <w:t>ANEXO I</w:t>
      </w:r>
    </w:p>
    <w:p>
      <w:pPr>
        <w:spacing w:before="117"/>
        <w:ind w:left="1306" w:right="539" w:firstLine="0"/>
        <w:jc w:val="center"/>
        <w:rPr>
          <w:sz w:val="22"/>
        </w:rPr>
      </w:pPr>
      <w:r>
        <w:rPr>
          <w:sz w:val="22"/>
        </w:rPr>
        <w:t>TABELA 1 – PROCESSOS DE LICITAÇÃO – BIMESTRE NOVEMBRO e DEZEMBRO/2015</w:t>
      </w: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"/>
        <w:gridCol w:w="1277"/>
        <w:gridCol w:w="1133"/>
        <w:gridCol w:w="1419"/>
        <w:gridCol w:w="4679"/>
        <w:gridCol w:w="1702"/>
      </w:tblGrid>
      <w:tr>
        <w:trPr>
          <w:trHeight w:val="230" w:hRule="atLeast"/>
        </w:trPr>
        <w:tc>
          <w:tcPr>
            <w:tcW w:w="425" w:type="dxa"/>
            <w:shd w:val="clear" w:color="auto" w:fill="B8CCE3"/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277" w:type="dxa"/>
            <w:shd w:val="clear" w:color="auto" w:fill="B8CCE3"/>
          </w:tcPr>
          <w:p>
            <w:pPr>
              <w:pStyle w:val="TableParagraph"/>
              <w:spacing w:line="210" w:lineRule="exact"/>
              <w:ind w:left="410" w:right="4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PAD</w:t>
            </w:r>
          </w:p>
        </w:tc>
        <w:tc>
          <w:tcPr>
            <w:tcW w:w="1133" w:type="dxa"/>
            <w:shd w:val="clear" w:color="auto" w:fill="B8CCE3"/>
          </w:tcPr>
          <w:p>
            <w:pPr>
              <w:pStyle w:val="TableParagraph"/>
              <w:spacing w:line="210" w:lineRule="exact"/>
              <w:ind w:right="12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PREGÃO</w:t>
            </w:r>
          </w:p>
        </w:tc>
        <w:tc>
          <w:tcPr>
            <w:tcW w:w="1419" w:type="dxa"/>
            <w:shd w:val="clear" w:color="auto" w:fill="B8CCE3"/>
          </w:tcPr>
          <w:p>
            <w:pPr>
              <w:pStyle w:val="TableParagraph"/>
              <w:spacing w:line="210" w:lineRule="exact"/>
              <w:ind w:left="347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</w:p>
        </w:tc>
        <w:tc>
          <w:tcPr>
            <w:tcW w:w="4679" w:type="dxa"/>
            <w:shd w:val="clear" w:color="auto" w:fill="B8CCE3"/>
          </w:tcPr>
          <w:p>
            <w:pPr>
              <w:pStyle w:val="TableParagraph"/>
              <w:spacing w:line="210" w:lineRule="exact"/>
              <w:ind w:left="1910" w:right="19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OBJETO</w:t>
            </w:r>
          </w:p>
        </w:tc>
        <w:tc>
          <w:tcPr>
            <w:tcW w:w="1702" w:type="dxa"/>
            <w:shd w:val="clear" w:color="auto" w:fill="B8CCE3"/>
          </w:tcPr>
          <w:p>
            <w:pPr>
              <w:pStyle w:val="TableParagraph"/>
              <w:spacing w:line="210" w:lineRule="exact"/>
              <w:ind w:left="121"/>
              <w:rPr>
                <w:b/>
                <w:sz w:val="20"/>
              </w:rPr>
            </w:pPr>
            <w:r>
              <w:rPr>
                <w:b/>
                <w:sz w:val="20"/>
              </w:rPr>
              <w:t>DEMANDANTE</w:t>
            </w:r>
          </w:p>
        </w:tc>
      </w:tr>
      <w:tr>
        <w:trPr>
          <w:trHeight w:val="1010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624/2015</w:t>
            </w:r>
          </w:p>
          <w:p>
            <w:pPr>
              <w:pStyle w:val="TableParagraph"/>
              <w:spacing w:line="240" w:lineRule="auto" w:before="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SRP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49/2015</w:t>
            </w:r>
          </w:p>
        </w:tc>
        <w:tc>
          <w:tcPr>
            <w:tcW w:w="1419" w:type="dxa"/>
          </w:tcPr>
          <w:p>
            <w:pPr>
              <w:pStyle w:val="TableParagraph"/>
              <w:ind w:right="17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1.097.891,39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280" w:right="149"/>
              <w:rPr>
                <w:sz w:val="20"/>
              </w:rPr>
            </w:pPr>
            <w:r>
              <w:rPr>
                <w:sz w:val="20"/>
              </w:rPr>
              <w:t>Registro de Preços para eventual aquisição de licenças de uso de software de correio eletrônico e colaboração Zimbra Network, com suporte técnico. Processo protocolizado no SADP sob nº 3.821/2015</w:t>
            </w:r>
          </w:p>
        </w:tc>
        <w:tc>
          <w:tcPr>
            <w:tcW w:w="1702" w:type="dxa"/>
          </w:tcPr>
          <w:p>
            <w:pPr>
              <w:pStyle w:val="TableParagraph"/>
              <w:ind w:left="451" w:right="442"/>
              <w:jc w:val="center"/>
              <w:rPr>
                <w:sz w:val="20"/>
              </w:rPr>
            </w:pPr>
            <w:r>
              <w:rPr>
                <w:sz w:val="20"/>
              </w:rPr>
              <w:t>STI</w:t>
            </w:r>
          </w:p>
        </w:tc>
      </w:tr>
      <w:tr>
        <w:trPr>
          <w:trHeight w:val="549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323/2015</w:t>
            </w:r>
          </w:p>
          <w:p>
            <w:pPr>
              <w:pStyle w:val="TableParagraph"/>
              <w:spacing w:line="240" w:lineRule="auto" w:before="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SRP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24/2015</w:t>
            </w:r>
          </w:p>
        </w:tc>
        <w:tc>
          <w:tcPr>
            <w:tcW w:w="1419" w:type="dxa"/>
          </w:tcPr>
          <w:p>
            <w:pPr>
              <w:pStyle w:val="TableParagraph"/>
              <w:ind w:left="309"/>
              <w:rPr>
                <w:sz w:val="20"/>
              </w:rPr>
            </w:pPr>
            <w:r>
              <w:rPr>
                <w:sz w:val="20"/>
              </w:rPr>
              <w:t>55.106,83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9"/>
              <w:ind w:left="280" w:right="149"/>
              <w:rPr>
                <w:sz w:val="20"/>
              </w:rPr>
            </w:pPr>
            <w:r>
              <w:rPr>
                <w:sz w:val="20"/>
              </w:rPr>
              <w:t>Registro de Preços para aquisição de material de copa e cozinha. PROCESSO SADP 8.224/2015</w:t>
            </w:r>
          </w:p>
        </w:tc>
        <w:tc>
          <w:tcPr>
            <w:tcW w:w="1702" w:type="dxa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sz w:val="20"/>
              </w:rPr>
              <w:t>SEGEA</w:t>
            </w:r>
          </w:p>
        </w:tc>
      </w:tr>
      <w:tr>
        <w:trPr>
          <w:trHeight w:val="551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535/2015</w:t>
            </w:r>
          </w:p>
          <w:p>
            <w:pPr>
              <w:pStyle w:val="TableParagraph"/>
              <w:spacing w:line="240" w:lineRule="auto" w:before="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SRP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44/2015</w:t>
            </w:r>
          </w:p>
        </w:tc>
        <w:tc>
          <w:tcPr>
            <w:tcW w:w="1419" w:type="dxa"/>
          </w:tcPr>
          <w:p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597.179,00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280" w:right="149"/>
              <w:rPr>
                <w:sz w:val="20"/>
              </w:rPr>
            </w:pPr>
            <w:r>
              <w:rPr>
                <w:sz w:val="20"/>
              </w:rPr>
              <w:t>Registro de Preços para aquisição de material de acondicionamento e embalagem</w:t>
            </w:r>
          </w:p>
        </w:tc>
        <w:tc>
          <w:tcPr>
            <w:tcW w:w="1702" w:type="dxa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sz w:val="20"/>
              </w:rPr>
              <w:t>SEGEA</w:t>
            </w:r>
          </w:p>
        </w:tc>
      </w:tr>
      <w:tr>
        <w:trPr>
          <w:trHeight w:val="549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4328/2015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50/2015</w:t>
            </w:r>
          </w:p>
        </w:tc>
        <w:tc>
          <w:tcPr>
            <w:tcW w:w="1419" w:type="dxa"/>
          </w:tcPr>
          <w:p>
            <w:pPr>
              <w:pStyle w:val="TableParagraph"/>
              <w:ind w:left="357"/>
              <w:rPr>
                <w:sz w:val="20"/>
              </w:rPr>
            </w:pPr>
            <w:r>
              <w:rPr>
                <w:sz w:val="20"/>
              </w:rPr>
              <w:t>6.950,00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6"/>
              <w:ind w:left="280" w:right="149"/>
              <w:rPr>
                <w:sz w:val="20"/>
              </w:rPr>
            </w:pPr>
            <w:r>
              <w:rPr>
                <w:sz w:val="20"/>
              </w:rPr>
              <w:t>Contratação de serviço de manutenção preventiva e corretiva de SCANPRO.</w:t>
            </w:r>
          </w:p>
        </w:tc>
        <w:tc>
          <w:tcPr>
            <w:tcW w:w="1702" w:type="dxa"/>
          </w:tcPr>
          <w:p>
            <w:pPr>
              <w:pStyle w:val="TableParagraph"/>
              <w:ind w:left="464"/>
              <w:rPr>
                <w:sz w:val="20"/>
              </w:rPr>
            </w:pPr>
            <w:r>
              <w:rPr>
                <w:sz w:val="20"/>
              </w:rPr>
              <w:t>SEPARQ</w:t>
            </w:r>
          </w:p>
        </w:tc>
      </w:tr>
      <w:tr>
        <w:trPr>
          <w:trHeight w:val="779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16/2015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16/2015</w:t>
            </w:r>
          </w:p>
        </w:tc>
        <w:tc>
          <w:tcPr>
            <w:tcW w:w="1419" w:type="dxa"/>
          </w:tcPr>
          <w:p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141.415,57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280" w:right="136"/>
              <w:rPr>
                <w:sz w:val="20"/>
              </w:rPr>
            </w:pPr>
            <w:r>
              <w:rPr>
                <w:sz w:val="20"/>
              </w:rPr>
              <w:t>Fornecimento de grades para os imóveis do interior - Expediente protocolizado no/ SADP sob nº 6.745/2015</w:t>
            </w:r>
          </w:p>
        </w:tc>
        <w:tc>
          <w:tcPr>
            <w:tcW w:w="1702" w:type="dxa"/>
          </w:tcPr>
          <w:p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SEMAI</w:t>
            </w:r>
          </w:p>
        </w:tc>
      </w:tr>
      <w:tr>
        <w:trPr>
          <w:trHeight w:val="1010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60/2015</w:t>
            </w:r>
          </w:p>
          <w:p>
            <w:pPr>
              <w:pStyle w:val="TableParagraph"/>
              <w:spacing w:line="240" w:lineRule="auto" w:before="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SRP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42/2015</w:t>
            </w:r>
          </w:p>
        </w:tc>
        <w:tc>
          <w:tcPr>
            <w:tcW w:w="1419" w:type="dxa"/>
          </w:tcPr>
          <w:p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193.567,40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280" w:right="208"/>
              <w:rPr>
                <w:sz w:val="20"/>
              </w:rPr>
            </w:pPr>
            <w:r>
              <w:rPr>
                <w:sz w:val="20"/>
              </w:rPr>
              <w:t>Registro de Preços para aquisição de Aparelhos e Equipamentos de Comunicação e Equipamentos para Áudio, vídeo e Foto. Processo SADP Nº 11.653/2015.</w:t>
            </w:r>
          </w:p>
        </w:tc>
        <w:tc>
          <w:tcPr>
            <w:tcW w:w="1702" w:type="dxa"/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SEGEP</w:t>
            </w:r>
          </w:p>
        </w:tc>
      </w:tr>
      <w:tr>
        <w:trPr>
          <w:trHeight w:val="549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165/2015</w:t>
            </w:r>
          </w:p>
          <w:p>
            <w:pPr>
              <w:pStyle w:val="TableParagraph"/>
              <w:spacing w:line="240" w:lineRule="auto" w:before="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SRP</w:t>
            </w:r>
          </w:p>
        </w:tc>
        <w:tc>
          <w:tcPr>
            <w:tcW w:w="1133" w:type="dxa"/>
          </w:tcPr>
          <w:p>
            <w:pPr>
              <w:pStyle w:val="TableParagraph"/>
              <w:ind w:right="177"/>
              <w:jc w:val="right"/>
              <w:rPr>
                <w:sz w:val="20"/>
              </w:rPr>
            </w:pPr>
            <w:r>
              <w:rPr>
                <w:sz w:val="20"/>
              </w:rPr>
              <w:t>26 / 2015</w:t>
            </w:r>
          </w:p>
        </w:tc>
        <w:tc>
          <w:tcPr>
            <w:tcW w:w="1419" w:type="dxa"/>
          </w:tcPr>
          <w:p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230.385,13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280" w:right="149"/>
              <w:rPr>
                <w:sz w:val="20"/>
              </w:rPr>
            </w:pPr>
            <w:r>
              <w:rPr>
                <w:sz w:val="20"/>
              </w:rPr>
              <w:t>Registro de Preços para aquisição de GÊNEROS ALIMENTÍCIOS.</w:t>
            </w:r>
          </w:p>
        </w:tc>
        <w:tc>
          <w:tcPr>
            <w:tcW w:w="1702" w:type="dxa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sz w:val="20"/>
              </w:rPr>
              <w:t>SEGEA</w:t>
            </w:r>
          </w:p>
        </w:tc>
      </w:tr>
      <w:tr>
        <w:trPr>
          <w:trHeight w:val="690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697/2015</w:t>
            </w:r>
          </w:p>
          <w:p>
            <w:pPr>
              <w:pStyle w:val="TableParagraph"/>
              <w:spacing w:line="240" w:lineRule="auto" w:before="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SRP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14/2015</w:t>
            </w:r>
          </w:p>
        </w:tc>
        <w:tc>
          <w:tcPr>
            <w:tcW w:w="1419" w:type="dxa"/>
          </w:tcPr>
          <w:p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113.207,00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280" w:right="208"/>
              <w:rPr>
                <w:sz w:val="20"/>
              </w:rPr>
            </w:pPr>
            <w:r>
              <w:rPr>
                <w:sz w:val="20"/>
              </w:rPr>
              <w:t>Registro de preços para aquisição de mobiliário geral (SADP 2.837/2015)</w:t>
            </w:r>
          </w:p>
        </w:tc>
        <w:tc>
          <w:tcPr>
            <w:tcW w:w="1702" w:type="dxa"/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SEGEP</w:t>
            </w:r>
          </w:p>
        </w:tc>
      </w:tr>
      <w:tr>
        <w:trPr>
          <w:trHeight w:val="549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2119/2015</w:t>
            </w:r>
          </w:p>
          <w:p>
            <w:pPr>
              <w:pStyle w:val="TableParagraph"/>
              <w:spacing w:line="240" w:lineRule="auto" w:before="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SRP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41/2015</w:t>
            </w:r>
          </w:p>
        </w:tc>
        <w:tc>
          <w:tcPr>
            <w:tcW w:w="1419" w:type="dxa"/>
          </w:tcPr>
          <w:p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331.346,84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280" w:right="409"/>
              <w:rPr>
                <w:sz w:val="20"/>
              </w:rPr>
            </w:pPr>
            <w:r>
              <w:rPr>
                <w:sz w:val="20"/>
              </w:rPr>
              <w:t>Registro de Preços para Aquisição de Material de Áudio, Vídeo, Foto, Pilhas e Lâmpada Dicróica.</w:t>
            </w:r>
          </w:p>
        </w:tc>
        <w:tc>
          <w:tcPr>
            <w:tcW w:w="1702" w:type="dxa"/>
          </w:tcPr>
          <w:p>
            <w:pPr>
              <w:pStyle w:val="TableParagraph"/>
              <w:ind w:left="527"/>
              <w:rPr>
                <w:sz w:val="20"/>
              </w:rPr>
            </w:pPr>
            <w:r>
              <w:rPr>
                <w:sz w:val="20"/>
              </w:rPr>
              <w:t>SEGEA</w:t>
            </w:r>
          </w:p>
        </w:tc>
      </w:tr>
      <w:tr>
        <w:trPr>
          <w:trHeight w:val="551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88" w:right="7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1786/2015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39/2015</w:t>
            </w:r>
          </w:p>
        </w:tc>
        <w:tc>
          <w:tcPr>
            <w:tcW w:w="1419" w:type="dxa"/>
          </w:tcPr>
          <w:p>
            <w:pPr>
              <w:pStyle w:val="TableParagraph"/>
              <w:ind w:left="309"/>
              <w:rPr>
                <w:sz w:val="20"/>
              </w:rPr>
            </w:pPr>
            <w:r>
              <w:rPr>
                <w:sz w:val="20"/>
              </w:rPr>
              <w:t>38.988,00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280" w:right="149"/>
              <w:rPr>
                <w:sz w:val="20"/>
              </w:rPr>
            </w:pPr>
            <w:r>
              <w:rPr>
                <w:sz w:val="20"/>
              </w:rPr>
              <w:t>Solicitação de Contratação de Agente de Integração para os estagiários.</w:t>
            </w:r>
          </w:p>
        </w:tc>
        <w:tc>
          <w:tcPr>
            <w:tcW w:w="1702" w:type="dxa"/>
          </w:tcPr>
          <w:p>
            <w:pPr>
              <w:pStyle w:val="TableParagraph"/>
              <w:ind w:left="515"/>
              <w:rPr>
                <w:sz w:val="20"/>
              </w:rPr>
            </w:pPr>
            <w:r>
              <w:rPr>
                <w:sz w:val="20"/>
              </w:rPr>
              <w:t>COEDE</w:t>
            </w:r>
          </w:p>
        </w:tc>
      </w:tr>
      <w:tr>
        <w:trPr>
          <w:trHeight w:val="458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15" w:lineRule="exact"/>
              <w:ind w:left="88" w:right="7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66/2015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52/2015</w:t>
            </w:r>
          </w:p>
        </w:tc>
        <w:tc>
          <w:tcPr>
            <w:tcW w:w="1419" w:type="dxa"/>
          </w:tcPr>
          <w:p>
            <w:pPr>
              <w:pStyle w:val="TableParagraph"/>
              <w:ind w:left="309"/>
              <w:rPr>
                <w:sz w:val="20"/>
              </w:rPr>
            </w:pPr>
            <w:r>
              <w:rPr>
                <w:sz w:val="20"/>
              </w:rPr>
              <w:t>48.200,00</w:t>
            </w:r>
          </w:p>
        </w:tc>
        <w:tc>
          <w:tcPr>
            <w:tcW w:w="4679" w:type="dxa"/>
          </w:tcPr>
          <w:p>
            <w:pPr>
              <w:pStyle w:val="TableParagraph"/>
              <w:ind w:left="330"/>
              <w:rPr>
                <w:sz w:val="20"/>
              </w:rPr>
            </w:pPr>
            <w:r>
              <w:rPr>
                <w:sz w:val="20"/>
              </w:rPr>
              <w:t>Contratação de serviço limpeza e desinfecção de</w:t>
            </w:r>
          </w:p>
          <w:p>
            <w:pPr>
              <w:pStyle w:val="TableParagraph"/>
              <w:spacing w:line="215" w:lineRule="exact"/>
              <w:ind w:left="330"/>
              <w:rPr>
                <w:sz w:val="20"/>
              </w:rPr>
            </w:pPr>
            <w:r>
              <w:rPr>
                <w:sz w:val="20"/>
              </w:rPr>
              <w:t>dutos de ar condicionado.</w:t>
            </w:r>
          </w:p>
        </w:tc>
        <w:tc>
          <w:tcPr>
            <w:tcW w:w="1702" w:type="dxa"/>
          </w:tcPr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t>SEMAC</w:t>
            </w:r>
          </w:p>
        </w:tc>
      </w:tr>
      <w:tr>
        <w:trPr>
          <w:trHeight w:val="460" w:hRule="atLeast"/>
        </w:trPr>
        <w:tc>
          <w:tcPr>
            <w:tcW w:w="425" w:type="dxa"/>
          </w:tcPr>
          <w:p>
            <w:pPr>
              <w:pStyle w:val="TableParagraph"/>
              <w:spacing w:line="225" w:lineRule="exact"/>
              <w:ind w:left="88" w:right="7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77" w:type="dxa"/>
          </w:tcPr>
          <w:p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4133/2015</w:t>
            </w:r>
          </w:p>
        </w:tc>
        <w:tc>
          <w:tcPr>
            <w:tcW w:w="1133" w:type="dxa"/>
          </w:tcPr>
          <w:p>
            <w:pPr>
              <w:pStyle w:val="TableParagraph"/>
              <w:spacing w:line="225" w:lineRule="exact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48/2015</w:t>
            </w:r>
          </w:p>
        </w:tc>
        <w:tc>
          <w:tcPr>
            <w:tcW w:w="1419" w:type="dxa"/>
          </w:tcPr>
          <w:p>
            <w:pPr>
              <w:pStyle w:val="TableParagraph"/>
              <w:spacing w:line="225" w:lineRule="exact"/>
              <w:ind w:left="309"/>
              <w:rPr>
                <w:sz w:val="20"/>
              </w:rPr>
            </w:pPr>
            <w:r>
              <w:rPr>
                <w:sz w:val="20"/>
              </w:rPr>
              <w:t>12.916,32</w:t>
            </w:r>
          </w:p>
        </w:tc>
        <w:tc>
          <w:tcPr>
            <w:tcW w:w="4679" w:type="dxa"/>
          </w:tcPr>
          <w:p>
            <w:pPr>
              <w:pStyle w:val="TableParagraph"/>
              <w:spacing w:line="225" w:lineRule="exact"/>
              <w:ind w:left="330"/>
              <w:rPr>
                <w:sz w:val="20"/>
              </w:rPr>
            </w:pPr>
            <w:r>
              <w:rPr>
                <w:sz w:val="20"/>
              </w:rPr>
              <w:t>Aquisição de material de consumo odontológico.</w:t>
            </w:r>
          </w:p>
        </w:tc>
        <w:tc>
          <w:tcPr>
            <w:tcW w:w="1702" w:type="dxa"/>
          </w:tcPr>
          <w:p>
            <w:pPr>
              <w:pStyle w:val="TableParagraph"/>
              <w:spacing w:line="225" w:lineRule="exact"/>
              <w:ind w:left="510"/>
              <w:rPr>
                <w:sz w:val="20"/>
              </w:rPr>
            </w:pPr>
            <w:r>
              <w:rPr>
                <w:sz w:val="20"/>
              </w:rPr>
              <w:t>COASA</w:t>
            </w:r>
          </w:p>
        </w:tc>
      </w:tr>
      <w:tr>
        <w:trPr>
          <w:trHeight w:val="549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88" w:right="77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140/2015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47/2015</w:t>
            </w:r>
          </w:p>
        </w:tc>
        <w:tc>
          <w:tcPr>
            <w:tcW w:w="1419" w:type="dxa"/>
          </w:tcPr>
          <w:p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188.998,70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333" w:right="149"/>
              <w:rPr>
                <w:sz w:val="20"/>
              </w:rPr>
            </w:pPr>
            <w:r>
              <w:rPr>
                <w:sz w:val="20"/>
              </w:rPr>
              <w:t>Contratação de empresa especializada em serviços de comunicação social.</w:t>
            </w:r>
          </w:p>
        </w:tc>
        <w:tc>
          <w:tcPr>
            <w:tcW w:w="1702" w:type="dxa"/>
          </w:tcPr>
          <w:p>
            <w:pPr>
              <w:pStyle w:val="TableParagraph"/>
              <w:ind w:left="606"/>
              <w:rPr>
                <w:sz w:val="20"/>
              </w:rPr>
            </w:pPr>
            <w:r>
              <w:rPr>
                <w:sz w:val="20"/>
              </w:rPr>
              <w:t>ASCOM</w:t>
            </w:r>
          </w:p>
        </w:tc>
      </w:tr>
      <w:tr>
        <w:trPr>
          <w:trHeight w:val="803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88" w:right="77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277" w:type="dxa"/>
          </w:tcPr>
          <w:p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491/2015</w:t>
            </w:r>
          </w:p>
        </w:tc>
        <w:tc>
          <w:tcPr>
            <w:tcW w:w="1133" w:type="dxa"/>
          </w:tcPr>
          <w:p>
            <w:pPr>
              <w:pStyle w:val="TableParagraph"/>
              <w:spacing w:line="225" w:lineRule="exact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21/2015</w:t>
            </w:r>
          </w:p>
        </w:tc>
        <w:tc>
          <w:tcPr>
            <w:tcW w:w="1419" w:type="dxa"/>
          </w:tcPr>
          <w:p>
            <w:pPr>
              <w:pStyle w:val="TableParagraph"/>
              <w:spacing w:line="225" w:lineRule="exact"/>
              <w:ind w:right="2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133.000,00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38"/>
              <w:ind w:left="280" w:right="208"/>
              <w:rPr>
                <w:sz w:val="20"/>
              </w:rPr>
            </w:pPr>
            <w:r>
              <w:rPr>
                <w:sz w:val="20"/>
              </w:rPr>
              <w:t>Elaboração de projetos executivos para reforma do centro de apoio técnico do TRE (</w:t>
            </w:r>
            <w:r>
              <w:rPr>
                <w:sz w:val="22"/>
              </w:rPr>
              <w:t>CAT</w:t>
            </w:r>
            <w:r>
              <w:rPr>
                <w:sz w:val="20"/>
              </w:rPr>
              <w:t>). Expediente protocolizado sob nº 32.447/2013.</w:t>
            </w:r>
          </w:p>
        </w:tc>
        <w:tc>
          <w:tcPr>
            <w:tcW w:w="1702" w:type="dxa"/>
          </w:tcPr>
          <w:p>
            <w:pPr>
              <w:pStyle w:val="TableParagraph"/>
              <w:spacing w:line="225" w:lineRule="exact"/>
              <w:ind w:left="498"/>
              <w:rPr>
                <w:sz w:val="20"/>
              </w:rPr>
            </w:pPr>
            <w:r>
              <w:rPr>
                <w:sz w:val="20"/>
              </w:rPr>
              <w:t>SEMAN</w:t>
            </w:r>
          </w:p>
        </w:tc>
      </w:tr>
      <w:tr>
        <w:trPr>
          <w:trHeight w:val="810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88" w:right="77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8002/2015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56/2015</w:t>
            </w:r>
          </w:p>
        </w:tc>
        <w:tc>
          <w:tcPr>
            <w:tcW w:w="1419" w:type="dxa"/>
          </w:tcPr>
          <w:p>
            <w:pPr>
              <w:pStyle w:val="TableParagraph"/>
              <w:ind w:left="309"/>
              <w:rPr>
                <w:sz w:val="20"/>
              </w:rPr>
            </w:pPr>
            <w:r>
              <w:rPr>
                <w:sz w:val="20"/>
              </w:rPr>
              <w:t>15.412,99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53"/>
              <w:ind w:left="249" w:right="149"/>
              <w:rPr>
                <w:sz w:val="20"/>
              </w:rPr>
            </w:pPr>
            <w:r>
              <w:rPr>
                <w:sz w:val="20"/>
              </w:rPr>
              <w:t>Aquisição e instalação de complemento dos corrimãos em aço inoxidável das escadas do prédio Anexo ao edifício Sede do TRE-BA.</w:t>
            </w:r>
          </w:p>
        </w:tc>
        <w:tc>
          <w:tcPr>
            <w:tcW w:w="1702" w:type="dxa"/>
          </w:tcPr>
          <w:p>
            <w:pPr>
              <w:pStyle w:val="TableParagraph"/>
              <w:ind w:left="481"/>
              <w:rPr>
                <w:sz w:val="20"/>
              </w:rPr>
            </w:pPr>
            <w:r>
              <w:rPr>
                <w:sz w:val="20"/>
              </w:rPr>
              <w:t>SEPROP</w:t>
            </w:r>
          </w:p>
        </w:tc>
      </w:tr>
      <w:tr>
        <w:trPr>
          <w:trHeight w:val="690" w:hRule="atLeast"/>
        </w:trPr>
        <w:tc>
          <w:tcPr>
            <w:tcW w:w="425" w:type="dxa"/>
          </w:tcPr>
          <w:p>
            <w:pPr>
              <w:pStyle w:val="TableParagraph"/>
              <w:spacing w:line="240" w:lineRule="auto" w:before="5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88" w:right="77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6524/2015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55/2015</w:t>
            </w:r>
          </w:p>
        </w:tc>
        <w:tc>
          <w:tcPr>
            <w:tcW w:w="1419" w:type="dxa"/>
          </w:tcPr>
          <w:p>
            <w:pPr>
              <w:pStyle w:val="TableParagraph"/>
              <w:ind w:left="309"/>
              <w:rPr>
                <w:sz w:val="20"/>
              </w:rPr>
            </w:pPr>
            <w:r>
              <w:rPr>
                <w:sz w:val="20"/>
              </w:rPr>
              <w:t>62.247,58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/>
              <w:ind w:left="189" w:right="149"/>
              <w:rPr>
                <w:sz w:val="20"/>
              </w:rPr>
            </w:pPr>
            <w:r>
              <w:rPr>
                <w:sz w:val="20"/>
              </w:rPr>
              <w:t>Contratação de Seguro para os Fóruns Eleitorais, Cartório Eleitoral de Cícero Dantas, edifício Sede do</w:t>
            </w:r>
          </w:p>
          <w:p>
            <w:pPr>
              <w:pStyle w:val="TableParagraph"/>
              <w:spacing w:line="217" w:lineRule="exact"/>
              <w:ind w:left="189"/>
              <w:rPr>
                <w:sz w:val="20"/>
              </w:rPr>
            </w:pPr>
            <w:r>
              <w:rPr>
                <w:sz w:val="20"/>
              </w:rPr>
              <w:t>Tribunal e Centro de Apoio Técnico – CAT.</w:t>
            </w:r>
          </w:p>
        </w:tc>
        <w:tc>
          <w:tcPr>
            <w:tcW w:w="1702" w:type="dxa"/>
          </w:tcPr>
          <w:p>
            <w:pPr>
              <w:pStyle w:val="TableParagraph"/>
              <w:ind w:left="543"/>
              <w:rPr>
                <w:sz w:val="20"/>
              </w:rPr>
            </w:pPr>
            <w:r>
              <w:rPr>
                <w:sz w:val="20"/>
              </w:rPr>
              <w:t>SEGEP</w:t>
            </w:r>
          </w:p>
        </w:tc>
      </w:tr>
      <w:tr>
        <w:trPr>
          <w:trHeight w:val="457" w:hRule="atLeast"/>
        </w:trPr>
        <w:tc>
          <w:tcPr>
            <w:tcW w:w="425" w:type="dxa"/>
          </w:tcPr>
          <w:p>
            <w:pPr>
              <w:pStyle w:val="TableParagraph"/>
              <w:ind w:left="84" w:right="82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4538/2015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60/2015</w:t>
            </w:r>
          </w:p>
        </w:tc>
        <w:tc>
          <w:tcPr>
            <w:tcW w:w="1419" w:type="dxa"/>
          </w:tcPr>
          <w:p>
            <w:pPr>
              <w:pStyle w:val="TableParagraph"/>
              <w:ind w:left="357"/>
              <w:rPr>
                <w:sz w:val="20"/>
              </w:rPr>
            </w:pPr>
            <w:r>
              <w:rPr>
                <w:sz w:val="20"/>
              </w:rPr>
              <w:t>1.855,00</w:t>
            </w:r>
          </w:p>
        </w:tc>
        <w:tc>
          <w:tcPr>
            <w:tcW w:w="4679" w:type="dxa"/>
          </w:tcPr>
          <w:p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Aquisição de Material Permanente Odontológico.</w:t>
            </w:r>
          </w:p>
        </w:tc>
        <w:tc>
          <w:tcPr>
            <w:tcW w:w="1702" w:type="dxa"/>
          </w:tcPr>
          <w:p>
            <w:pPr>
              <w:pStyle w:val="TableParagraph"/>
              <w:ind w:left="510"/>
              <w:rPr>
                <w:sz w:val="20"/>
              </w:rPr>
            </w:pPr>
            <w:r>
              <w:rPr>
                <w:sz w:val="20"/>
              </w:rPr>
              <w:t>COASA</w:t>
            </w:r>
          </w:p>
        </w:tc>
      </w:tr>
      <w:tr>
        <w:trPr>
          <w:trHeight w:val="349" w:hRule="atLeast"/>
        </w:trPr>
        <w:tc>
          <w:tcPr>
            <w:tcW w:w="425" w:type="dxa"/>
          </w:tcPr>
          <w:p>
            <w:pPr>
              <w:pStyle w:val="TableParagraph"/>
              <w:ind w:left="84" w:right="82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329/2015</w:t>
            </w:r>
          </w:p>
        </w:tc>
        <w:tc>
          <w:tcPr>
            <w:tcW w:w="1133" w:type="dxa"/>
          </w:tcPr>
          <w:p>
            <w:pPr>
              <w:pStyle w:val="TableParagraph"/>
              <w:ind w:right="2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59/2015</w:t>
            </w:r>
          </w:p>
        </w:tc>
        <w:tc>
          <w:tcPr>
            <w:tcW w:w="1419" w:type="dxa"/>
          </w:tcPr>
          <w:p>
            <w:pPr>
              <w:pStyle w:val="TableParagraph"/>
              <w:ind w:left="309"/>
              <w:rPr>
                <w:sz w:val="20"/>
              </w:rPr>
            </w:pPr>
            <w:r>
              <w:rPr>
                <w:sz w:val="20"/>
              </w:rPr>
              <w:t>27.035,00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53"/>
              <w:ind w:left="249"/>
              <w:rPr>
                <w:sz w:val="20"/>
              </w:rPr>
            </w:pPr>
            <w:r>
              <w:rPr>
                <w:sz w:val="20"/>
              </w:rPr>
              <w:t>Aquisição de Acessórios para veículos de carga -</w:t>
            </w:r>
          </w:p>
        </w:tc>
        <w:tc>
          <w:tcPr>
            <w:tcW w:w="1702" w:type="dxa"/>
          </w:tcPr>
          <w:p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SETRAN</w:t>
            </w:r>
          </w:p>
        </w:tc>
      </w:tr>
    </w:tbl>
    <w:p>
      <w:pPr>
        <w:spacing w:after="0"/>
        <w:rPr>
          <w:sz w:val="20"/>
        </w:rPr>
        <w:sectPr>
          <w:pgSz w:w="11910" w:h="16850"/>
          <w:pgMar w:header="756" w:footer="0" w:top="2820" w:bottom="0" w:left="460" w:right="320"/>
        </w:sectPr>
      </w:pPr>
    </w:p>
    <w:p>
      <w:pPr>
        <w:pStyle w:val="BodyText"/>
        <w:spacing w:before="5"/>
        <w:rPr>
          <w:sz w:val="20"/>
        </w:rPr>
      </w:pPr>
      <w:r>
        <w:rPr/>
        <w:pict>
          <v:group style="position:absolute;margin-left:354.5pt;margin-top:791.539978pt;width:236pt;height:46pt;mso-position-horizontal-relative:page;mso-position-vertical-relative:page;z-index:15746048" coordorigin="7090,15831" coordsize="4720,920">
            <v:shape style="position:absolute;left:7100;top:15840;width:4700;height:900" coordorigin="7100,15841" coordsize="4700,900" path="m7180,16741l11720,16741,11751,16735,11777,16717,11794,16692,11800,16661,11800,15921,11794,15890,11777,15864,11751,15847,11720,15841,7180,15841,7149,15847,7123,15864,7106,15890,7100,15921,7100,16661,7106,16692,7123,16717,7149,16735,7180,16741e" filled="false" stroked="true" strokeweight="1pt" strokecolor="#000000">
              <v:path arrowok="t"/>
              <v:stroke dashstyle="solid"/>
            </v:shape>
            <v:shape style="position:absolute;left:11300;top:15840;width:500;height:900" coordorigin="11300,15841" coordsize="500,900" path="m11720,15841l11380,15841,11349,15847,11323,15864,11306,15890,11300,15921,11300,16661,11306,16692,11323,16717,11349,16735,11380,16741,11720,16741,11751,16735,11777,16717,11794,16692,11800,16661,11800,15921,11794,15890,11777,15864,11751,15847,11720,15841xe" filled="true" fillcolor="#000000" stroked="false">
              <v:path arrowok="t"/>
              <v:fill type="solid"/>
            </v:shape>
            <v:shape style="position:absolute;left:11300;top:15840;width:500;height:900" coordorigin="11300,15841" coordsize="500,900" path="m11380,16741l11720,16741,11751,16735,11777,16717,11794,16692,11800,16661,11800,15921,11794,15890,11777,15864,11751,15847,11720,15841,11380,15841,11349,15847,11323,15864,11306,15890,11300,15921,11300,16661,11306,16692,11323,16717,11349,16735,11380,16741e" filled="false" stroked="true" strokeweight="1pt" strokecolor="#000000">
              <v:path arrowok="t"/>
              <v:stroke dashstyle="solid"/>
            </v:shape>
            <v:shape style="position:absolute;left:7121;top:15857;width:4657;height:867" type="#_x0000_t202" filled="false" stroked="false">
              <v:textbox inset="0,0,0,0">
                <w:txbxContent>
                  <w:p>
                    <w:pPr>
                      <w:spacing w:before="33"/>
                      <w:ind w:left="38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Assinado eletronicamente conforme Lei 11.419/2006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Em: 16/12/2016 16:40:17</w:t>
                    </w:r>
                  </w:p>
                  <w:p>
                    <w:pPr>
                      <w:spacing w:before="16"/>
                      <w:ind w:left="38" w:right="0" w:firstLine="0"/>
                      <w:jc w:val="lef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Por: EDUARDO MACHADO OLIVEIRA e outro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70.947266pt;margin-top:791.039978pt;width:13.2pt;height:47pt;mso-position-horizontal-relative:page;mso-position-vertical-relative:page;z-index:15746560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19" w:val="left" w:leader="none"/>
                    </w:tabs>
                    <w:spacing w:before="13"/>
                    <w:ind w:left="20" w:right="0" w:firstLine="0"/>
                    <w:jc w:val="lef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32"/>
                      <w:sz w:val="20"/>
                      <w:shd w:fill="000000" w:color="auto" w:val="clear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0"/>
                      <w:shd w:fill="000000" w:color="auto" w:val="clear"/>
                    </w:rPr>
                    <w:t>TRE</w:t>
                    <w:tab/>
                  </w: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"/>
        <w:gridCol w:w="1277"/>
        <w:gridCol w:w="1133"/>
        <w:gridCol w:w="1419"/>
        <w:gridCol w:w="4679"/>
        <w:gridCol w:w="1702"/>
      </w:tblGrid>
      <w:tr>
        <w:trPr>
          <w:trHeight w:val="580" w:hRule="atLeast"/>
        </w:trPr>
        <w:tc>
          <w:tcPr>
            <w:tcW w:w="425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4679" w:type="dxa"/>
          </w:tcPr>
          <w:p>
            <w:pPr>
              <w:pStyle w:val="TableParagraph"/>
              <w:spacing w:line="240" w:lineRule="auto" w:before="53"/>
              <w:ind w:left="249" w:right="149"/>
              <w:rPr>
                <w:sz w:val="20"/>
              </w:rPr>
            </w:pPr>
            <w:r>
              <w:rPr>
                <w:sz w:val="20"/>
              </w:rPr>
              <w:t>solicitação Patrícia Rose A. Viana - Chefe da Seção de Transportes.</w:t>
            </w:r>
          </w:p>
        </w:tc>
        <w:tc>
          <w:tcPr>
            <w:tcW w:w="1702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921" w:hRule="atLeast"/>
        </w:trPr>
        <w:tc>
          <w:tcPr>
            <w:tcW w:w="425" w:type="dxa"/>
          </w:tcPr>
          <w:p>
            <w:pPr>
              <w:pStyle w:val="TableParagraph"/>
              <w:ind w:left="84" w:right="82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3111/2015</w:t>
            </w:r>
          </w:p>
        </w:tc>
        <w:tc>
          <w:tcPr>
            <w:tcW w:w="1133" w:type="dxa"/>
          </w:tcPr>
          <w:p>
            <w:pPr>
              <w:pStyle w:val="TableParagraph"/>
              <w:ind w:left="217" w:right="210"/>
              <w:jc w:val="center"/>
              <w:rPr>
                <w:sz w:val="20"/>
              </w:rPr>
            </w:pPr>
            <w:r>
              <w:rPr>
                <w:sz w:val="20"/>
              </w:rPr>
              <w:t>61/2015</w:t>
            </w:r>
          </w:p>
        </w:tc>
        <w:tc>
          <w:tcPr>
            <w:tcW w:w="1419" w:type="dxa"/>
          </w:tcPr>
          <w:p>
            <w:pPr>
              <w:pStyle w:val="TableParagraph"/>
              <w:ind w:left="238" w:right="230"/>
              <w:jc w:val="center"/>
              <w:rPr>
                <w:sz w:val="20"/>
              </w:rPr>
            </w:pPr>
            <w:r>
              <w:rPr>
                <w:sz w:val="20"/>
              </w:rPr>
              <w:t>34.500,00</w:t>
            </w:r>
          </w:p>
        </w:tc>
        <w:tc>
          <w:tcPr>
            <w:tcW w:w="4679" w:type="dxa"/>
          </w:tcPr>
          <w:p>
            <w:pPr>
              <w:pStyle w:val="TableParagraph"/>
              <w:spacing w:line="240" w:lineRule="auto"/>
              <w:ind w:left="189" w:right="149"/>
              <w:rPr>
                <w:sz w:val="20"/>
              </w:rPr>
            </w:pPr>
            <w:r>
              <w:rPr>
                <w:sz w:val="20"/>
              </w:rPr>
              <w:t>Termo de Referência referente à contratação de empresa para elaboração dos projetos executivos destinados à construção do Fórum Eleitoral do</w:t>
            </w:r>
          </w:p>
          <w:p>
            <w:pPr>
              <w:pStyle w:val="TableParagraph"/>
              <w:spacing w:line="217" w:lineRule="exact"/>
              <w:ind w:left="189"/>
              <w:rPr>
                <w:sz w:val="20"/>
              </w:rPr>
            </w:pPr>
            <w:r>
              <w:rPr>
                <w:sz w:val="20"/>
              </w:rPr>
              <w:t>Município de Itabuna</w:t>
            </w:r>
          </w:p>
        </w:tc>
        <w:tc>
          <w:tcPr>
            <w:tcW w:w="1702" w:type="dxa"/>
          </w:tcPr>
          <w:p>
            <w:pPr>
              <w:pStyle w:val="TableParagraph"/>
              <w:ind w:left="451" w:right="445"/>
              <w:jc w:val="center"/>
              <w:rPr>
                <w:sz w:val="20"/>
              </w:rPr>
            </w:pPr>
            <w:r>
              <w:rPr>
                <w:sz w:val="20"/>
              </w:rPr>
              <w:t>SEPROB</w:t>
            </w:r>
          </w:p>
        </w:tc>
      </w:tr>
      <w:tr>
        <w:trPr>
          <w:trHeight w:val="457" w:hRule="atLeast"/>
        </w:trPr>
        <w:tc>
          <w:tcPr>
            <w:tcW w:w="425" w:type="dxa"/>
          </w:tcPr>
          <w:p>
            <w:pPr>
              <w:pStyle w:val="TableParagraph"/>
              <w:ind w:left="84" w:right="82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305/2015</w:t>
            </w:r>
          </w:p>
          <w:p>
            <w:pPr>
              <w:pStyle w:val="TableParagraph"/>
              <w:spacing w:line="210" w:lineRule="exact" w:before="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SRP</w:t>
            </w:r>
          </w:p>
        </w:tc>
        <w:tc>
          <w:tcPr>
            <w:tcW w:w="1133" w:type="dxa"/>
          </w:tcPr>
          <w:p>
            <w:pPr>
              <w:pStyle w:val="TableParagraph"/>
              <w:ind w:left="217" w:right="210"/>
              <w:jc w:val="center"/>
              <w:rPr>
                <w:sz w:val="20"/>
              </w:rPr>
            </w:pPr>
            <w:r>
              <w:rPr>
                <w:sz w:val="20"/>
              </w:rPr>
              <w:t>20/2015</w:t>
            </w:r>
          </w:p>
        </w:tc>
        <w:tc>
          <w:tcPr>
            <w:tcW w:w="1419" w:type="dxa"/>
          </w:tcPr>
          <w:p>
            <w:pPr>
              <w:pStyle w:val="TableParagraph"/>
              <w:ind w:left="238" w:right="230"/>
              <w:jc w:val="center"/>
              <w:rPr>
                <w:sz w:val="20"/>
              </w:rPr>
            </w:pPr>
            <w:r>
              <w:rPr>
                <w:sz w:val="20"/>
              </w:rPr>
              <w:t>281.128,00</w:t>
            </w:r>
          </w:p>
        </w:tc>
        <w:tc>
          <w:tcPr>
            <w:tcW w:w="4679" w:type="dxa"/>
          </w:tcPr>
          <w:p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Registro de preços para aquisição de material de</w:t>
            </w:r>
          </w:p>
          <w:p>
            <w:pPr>
              <w:pStyle w:val="TableParagraph"/>
              <w:spacing w:line="215" w:lineRule="exact"/>
              <w:ind w:left="189"/>
              <w:rPr>
                <w:sz w:val="20"/>
              </w:rPr>
            </w:pPr>
            <w:r>
              <w:rPr>
                <w:sz w:val="20"/>
              </w:rPr>
              <w:t>limpeza.</w:t>
            </w:r>
          </w:p>
        </w:tc>
        <w:tc>
          <w:tcPr>
            <w:tcW w:w="1702" w:type="dxa"/>
          </w:tcPr>
          <w:p>
            <w:pPr>
              <w:pStyle w:val="TableParagraph"/>
              <w:ind w:left="451" w:right="444"/>
              <w:jc w:val="center"/>
              <w:rPr>
                <w:sz w:val="20"/>
              </w:rPr>
            </w:pPr>
            <w:r>
              <w:rPr>
                <w:sz w:val="20"/>
              </w:rPr>
              <w:t>SEGEA</w:t>
            </w:r>
          </w:p>
        </w:tc>
      </w:tr>
      <w:tr>
        <w:trPr>
          <w:trHeight w:val="460" w:hRule="atLeast"/>
        </w:trPr>
        <w:tc>
          <w:tcPr>
            <w:tcW w:w="425" w:type="dxa"/>
          </w:tcPr>
          <w:p>
            <w:pPr>
              <w:pStyle w:val="TableParagraph"/>
              <w:spacing w:line="225" w:lineRule="exact"/>
              <w:ind w:left="84" w:right="82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277" w:type="dxa"/>
          </w:tcPr>
          <w:p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4803/15</w:t>
            </w:r>
          </w:p>
        </w:tc>
        <w:tc>
          <w:tcPr>
            <w:tcW w:w="1133" w:type="dxa"/>
          </w:tcPr>
          <w:p>
            <w:pPr>
              <w:pStyle w:val="TableParagraph"/>
              <w:spacing w:line="225" w:lineRule="exact"/>
              <w:ind w:left="217" w:right="210"/>
              <w:jc w:val="center"/>
              <w:rPr>
                <w:sz w:val="20"/>
              </w:rPr>
            </w:pPr>
            <w:r>
              <w:rPr>
                <w:sz w:val="20"/>
              </w:rPr>
              <w:t>45/2015</w:t>
            </w:r>
          </w:p>
        </w:tc>
        <w:tc>
          <w:tcPr>
            <w:tcW w:w="1419" w:type="dxa"/>
          </w:tcPr>
          <w:p>
            <w:pPr>
              <w:pStyle w:val="TableParagraph"/>
              <w:spacing w:line="225" w:lineRule="exact"/>
              <w:ind w:left="238" w:right="230"/>
              <w:jc w:val="center"/>
              <w:rPr>
                <w:sz w:val="20"/>
              </w:rPr>
            </w:pPr>
            <w:r>
              <w:rPr>
                <w:sz w:val="20"/>
              </w:rPr>
              <w:t>55.852,70</w:t>
            </w:r>
          </w:p>
        </w:tc>
        <w:tc>
          <w:tcPr>
            <w:tcW w:w="4679" w:type="dxa"/>
          </w:tcPr>
          <w:p>
            <w:pPr>
              <w:pStyle w:val="TableParagraph"/>
              <w:spacing w:line="225" w:lineRule="exact"/>
              <w:ind w:left="189"/>
              <w:rPr>
                <w:sz w:val="20"/>
              </w:rPr>
            </w:pPr>
            <w:r>
              <w:rPr>
                <w:sz w:val="20"/>
              </w:rPr>
              <w:t>Aquisição de peças metálicas, parafusos e perfis</w:t>
            </w:r>
          </w:p>
          <w:p>
            <w:pPr>
              <w:pStyle w:val="TableParagraph"/>
              <w:spacing w:line="216" w:lineRule="exact"/>
              <w:ind w:left="189"/>
              <w:rPr>
                <w:sz w:val="20"/>
              </w:rPr>
            </w:pPr>
            <w:r>
              <w:rPr>
                <w:sz w:val="20"/>
              </w:rPr>
              <w:t>metálicos</w:t>
            </w:r>
          </w:p>
        </w:tc>
        <w:tc>
          <w:tcPr>
            <w:tcW w:w="1702" w:type="dxa"/>
          </w:tcPr>
          <w:p>
            <w:pPr>
              <w:pStyle w:val="TableParagraph"/>
              <w:spacing w:line="225" w:lineRule="exact"/>
              <w:ind w:left="451" w:right="445"/>
              <w:jc w:val="center"/>
              <w:rPr>
                <w:sz w:val="20"/>
              </w:rPr>
            </w:pPr>
            <w:r>
              <w:rPr>
                <w:sz w:val="20"/>
              </w:rPr>
              <w:t>SEMAC</w:t>
            </w:r>
          </w:p>
        </w:tc>
      </w:tr>
      <w:tr>
        <w:trPr>
          <w:trHeight w:val="460" w:hRule="atLeast"/>
        </w:trPr>
        <w:tc>
          <w:tcPr>
            <w:tcW w:w="425" w:type="dxa"/>
          </w:tcPr>
          <w:p>
            <w:pPr>
              <w:pStyle w:val="TableParagraph"/>
              <w:ind w:left="84" w:right="82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277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2072/2015</w:t>
            </w:r>
          </w:p>
        </w:tc>
        <w:tc>
          <w:tcPr>
            <w:tcW w:w="1133" w:type="dxa"/>
          </w:tcPr>
          <w:p>
            <w:pPr>
              <w:pStyle w:val="TableParagraph"/>
              <w:ind w:left="217" w:right="210"/>
              <w:jc w:val="center"/>
              <w:rPr>
                <w:sz w:val="20"/>
              </w:rPr>
            </w:pPr>
            <w:r>
              <w:rPr>
                <w:sz w:val="20"/>
              </w:rPr>
              <w:t>02/2015</w:t>
            </w:r>
          </w:p>
        </w:tc>
        <w:tc>
          <w:tcPr>
            <w:tcW w:w="1419" w:type="dxa"/>
          </w:tcPr>
          <w:p>
            <w:pPr>
              <w:pStyle w:val="TableParagraph"/>
              <w:ind w:left="238" w:right="230"/>
              <w:jc w:val="center"/>
              <w:rPr>
                <w:sz w:val="20"/>
              </w:rPr>
            </w:pPr>
            <w:r>
              <w:rPr>
                <w:sz w:val="20"/>
              </w:rPr>
              <w:t>828.399,74</w:t>
            </w:r>
          </w:p>
        </w:tc>
        <w:tc>
          <w:tcPr>
            <w:tcW w:w="4679" w:type="dxa"/>
          </w:tcPr>
          <w:p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Registro de Preços para aquisição de Firewall</w:t>
            </w:r>
          </w:p>
          <w:p>
            <w:pPr>
              <w:pStyle w:val="TableParagraph"/>
              <w:spacing w:line="217" w:lineRule="exact"/>
              <w:ind w:left="189"/>
              <w:rPr>
                <w:sz w:val="20"/>
              </w:rPr>
            </w:pPr>
            <w:r>
              <w:rPr>
                <w:sz w:val="20"/>
              </w:rPr>
              <w:t>dedicado.</w:t>
            </w:r>
          </w:p>
        </w:tc>
        <w:tc>
          <w:tcPr>
            <w:tcW w:w="1702" w:type="dxa"/>
          </w:tcPr>
          <w:p>
            <w:pPr>
              <w:pStyle w:val="TableParagraph"/>
              <w:ind w:left="451" w:right="442"/>
              <w:jc w:val="center"/>
              <w:rPr>
                <w:sz w:val="20"/>
              </w:rPr>
            </w:pPr>
            <w:r>
              <w:rPr>
                <w:sz w:val="20"/>
              </w:rPr>
              <w:t>STI</w:t>
            </w:r>
          </w:p>
        </w:tc>
      </w:tr>
    </w:tbl>
    <w:p>
      <w:pPr>
        <w:pStyle w:val="BodyText"/>
        <w:spacing w:before="10"/>
        <w:rPr>
          <w:sz w:val="29"/>
        </w:rPr>
      </w:pPr>
    </w:p>
    <w:p>
      <w:pPr>
        <w:spacing w:before="92"/>
        <w:ind w:left="2127" w:right="0" w:firstLine="0"/>
        <w:jc w:val="left"/>
        <w:rPr>
          <w:sz w:val="22"/>
        </w:rPr>
      </w:pPr>
      <w:r>
        <w:rPr>
          <w:sz w:val="22"/>
        </w:rPr>
        <w:t>TABELA 2 – AMOSTRA SELECIONADA PARA ANÁLISE DA FISCALIZAÇAO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133"/>
        <w:gridCol w:w="1274"/>
        <w:gridCol w:w="1673"/>
        <w:gridCol w:w="5389"/>
        <w:gridCol w:w="850"/>
      </w:tblGrid>
      <w:tr>
        <w:trPr>
          <w:trHeight w:val="395" w:hRule="atLeast"/>
        </w:trPr>
        <w:tc>
          <w:tcPr>
            <w:tcW w:w="314" w:type="dxa"/>
            <w:shd w:val="clear" w:color="auto" w:fill="B8CCE3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133" w:type="dxa"/>
            <w:shd w:val="clear" w:color="auto" w:fill="B8CCE3"/>
          </w:tcPr>
          <w:p>
            <w:pPr>
              <w:pStyle w:val="TableParagraph"/>
              <w:spacing w:line="268" w:lineRule="exact"/>
              <w:ind w:left="328"/>
              <w:rPr>
                <w:sz w:val="24"/>
              </w:rPr>
            </w:pPr>
            <w:r>
              <w:rPr>
                <w:sz w:val="24"/>
              </w:rPr>
              <w:t>PAD</w:t>
            </w:r>
          </w:p>
        </w:tc>
        <w:tc>
          <w:tcPr>
            <w:tcW w:w="1274" w:type="dxa"/>
            <w:shd w:val="clear" w:color="auto" w:fill="B8CCE3"/>
          </w:tcPr>
          <w:p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z w:val="24"/>
              </w:rPr>
              <w:t>PREGÃO</w:t>
            </w:r>
          </w:p>
        </w:tc>
        <w:tc>
          <w:tcPr>
            <w:tcW w:w="1673" w:type="dxa"/>
            <w:shd w:val="clear" w:color="auto" w:fill="B8CCE3"/>
          </w:tcPr>
          <w:p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VALOR (R$)</w:t>
            </w:r>
          </w:p>
        </w:tc>
        <w:tc>
          <w:tcPr>
            <w:tcW w:w="5389" w:type="dxa"/>
            <w:shd w:val="clear" w:color="auto" w:fill="B8CCE3"/>
          </w:tcPr>
          <w:p>
            <w:pPr>
              <w:pStyle w:val="TableParagraph"/>
              <w:spacing w:line="268" w:lineRule="exact"/>
              <w:ind w:left="2227" w:right="2217"/>
              <w:jc w:val="center"/>
              <w:rPr>
                <w:sz w:val="24"/>
              </w:rPr>
            </w:pPr>
            <w:r>
              <w:rPr>
                <w:sz w:val="24"/>
              </w:rPr>
              <w:t>OBJETO</w:t>
            </w:r>
          </w:p>
        </w:tc>
        <w:tc>
          <w:tcPr>
            <w:tcW w:w="850" w:type="dxa"/>
            <w:shd w:val="clear" w:color="auto" w:fill="B8CCE3"/>
          </w:tcPr>
          <w:p>
            <w:pPr>
              <w:pStyle w:val="TableParagraph"/>
              <w:spacing w:line="268" w:lineRule="exact"/>
              <w:ind w:left="162"/>
              <w:rPr>
                <w:sz w:val="24"/>
              </w:rPr>
            </w:pPr>
            <w:r>
              <w:rPr>
                <w:sz w:val="24"/>
              </w:rPr>
              <w:t>OBS.</w:t>
            </w:r>
          </w:p>
        </w:tc>
      </w:tr>
      <w:tr>
        <w:trPr>
          <w:trHeight w:val="580" w:hRule="atLeast"/>
        </w:trPr>
        <w:tc>
          <w:tcPr>
            <w:tcW w:w="314" w:type="dxa"/>
          </w:tcPr>
          <w:p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491/15</w:t>
            </w:r>
          </w:p>
        </w:tc>
        <w:tc>
          <w:tcPr>
            <w:tcW w:w="1274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21/2015</w:t>
            </w:r>
          </w:p>
        </w:tc>
        <w:tc>
          <w:tcPr>
            <w:tcW w:w="1673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133.000,00</w:t>
            </w:r>
          </w:p>
        </w:tc>
        <w:tc>
          <w:tcPr>
            <w:tcW w:w="5389" w:type="dxa"/>
          </w:tcPr>
          <w:p>
            <w:pPr>
              <w:pStyle w:val="TableParagraph"/>
              <w:spacing w:line="240" w:lineRule="auto"/>
              <w:ind w:left="109" w:right="96"/>
              <w:rPr>
                <w:sz w:val="20"/>
              </w:rPr>
            </w:pPr>
            <w:r>
              <w:rPr>
                <w:sz w:val="20"/>
              </w:rPr>
              <w:t>Elaboração de projetos executivos para reforma do Centro de Apoio Técnico do TRE (CAT).</w:t>
            </w:r>
          </w:p>
        </w:tc>
        <w:tc>
          <w:tcPr>
            <w:tcW w:w="850" w:type="dxa"/>
          </w:tcPr>
          <w:p>
            <w:pPr>
              <w:pStyle w:val="TableParagraph"/>
              <w:spacing w:line="240" w:lineRule="auto"/>
              <w:ind w:left="291" w:hanging="132"/>
              <w:rPr>
                <w:sz w:val="20"/>
              </w:rPr>
            </w:pPr>
            <w:r>
              <w:rPr>
                <w:sz w:val="20"/>
              </w:rPr>
              <w:t>Alínea “a”</w:t>
            </w:r>
          </w:p>
        </w:tc>
      </w:tr>
      <w:tr>
        <w:trPr>
          <w:trHeight w:val="580" w:hRule="atLeast"/>
        </w:trPr>
        <w:tc>
          <w:tcPr>
            <w:tcW w:w="314" w:type="dxa"/>
          </w:tcPr>
          <w:p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3111/15</w:t>
            </w:r>
          </w:p>
        </w:tc>
        <w:tc>
          <w:tcPr>
            <w:tcW w:w="1274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61/2015</w:t>
            </w:r>
          </w:p>
        </w:tc>
        <w:tc>
          <w:tcPr>
            <w:tcW w:w="1673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34.500,00</w:t>
            </w:r>
          </w:p>
        </w:tc>
        <w:tc>
          <w:tcPr>
            <w:tcW w:w="5389" w:type="dxa"/>
          </w:tcPr>
          <w:p>
            <w:pPr>
              <w:pStyle w:val="TableParagraph"/>
              <w:spacing w:line="240" w:lineRule="auto"/>
              <w:ind w:left="109" w:right="96"/>
              <w:rPr>
                <w:sz w:val="20"/>
              </w:rPr>
            </w:pPr>
            <w:r>
              <w:rPr>
                <w:sz w:val="20"/>
              </w:rPr>
              <w:t>Elaboração de projetos executivos destinados à construção do Fórum Eleitoral de Itabuna.</w:t>
            </w:r>
          </w:p>
        </w:tc>
        <w:tc>
          <w:tcPr>
            <w:tcW w:w="850" w:type="dxa"/>
          </w:tcPr>
          <w:p>
            <w:pPr>
              <w:pStyle w:val="TableParagraph"/>
              <w:spacing w:line="240" w:lineRule="auto"/>
              <w:ind w:left="291" w:hanging="132"/>
              <w:rPr>
                <w:sz w:val="20"/>
              </w:rPr>
            </w:pPr>
            <w:r>
              <w:rPr>
                <w:sz w:val="20"/>
              </w:rPr>
              <w:t>Alínea “a”</w:t>
            </w:r>
          </w:p>
        </w:tc>
      </w:tr>
      <w:tr>
        <w:trPr>
          <w:trHeight w:val="578" w:hRule="atLeast"/>
        </w:trPr>
        <w:tc>
          <w:tcPr>
            <w:tcW w:w="314" w:type="dxa"/>
          </w:tcPr>
          <w:p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33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140/15</w:t>
            </w:r>
          </w:p>
        </w:tc>
        <w:tc>
          <w:tcPr>
            <w:tcW w:w="1274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47/2015</w:t>
            </w:r>
          </w:p>
        </w:tc>
        <w:tc>
          <w:tcPr>
            <w:tcW w:w="1673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188.998,70</w:t>
            </w:r>
          </w:p>
        </w:tc>
        <w:tc>
          <w:tcPr>
            <w:tcW w:w="5389" w:type="dxa"/>
          </w:tcPr>
          <w:p>
            <w:pPr>
              <w:pStyle w:val="TableParagraph"/>
              <w:spacing w:line="240" w:lineRule="auto"/>
              <w:ind w:left="109" w:right="96"/>
              <w:rPr>
                <w:sz w:val="20"/>
              </w:rPr>
            </w:pPr>
            <w:r>
              <w:rPr>
                <w:sz w:val="20"/>
              </w:rPr>
              <w:t>Contratação de empresa especializada em serviços de comunicação social.</w:t>
            </w:r>
          </w:p>
        </w:tc>
        <w:tc>
          <w:tcPr>
            <w:tcW w:w="850" w:type="dxa"/>
          </w:tcPr>
          <w:p>
            <w:pPr>
              <w:pStyle w:val="TableParagraph"/>
              <w:spacing w:line="240" w:lineRule="auto"/>
              <w:ind w:left="286" w:hanging="128"/>
              <w:rPr>
                <w:sz w:val="20"/>
              </w:rPr>
            </w:pPr>
            <w:r>
              <w:rPr>
                <w:sz w:val="20"/>
              </w:rPr>
              <w:t>Alínea “b”</w:t>
            </w:r>
          </w:p>
        </w:tc>
      </w:tr>
      <w:tr>
        <w:trPr>
          <w:trHeight w:val="810" w:hRule="atLeast"/>
        </w:trPr>
        <w:tc>
          <w:tcPr>
            <w:tcW w:w="314" w:type="dxa"/>
          </w:tcPr>
          <w:p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624/15</w:t>
            </w:r>
          </w:p>
        </w:tc>
        <w:tc>
          <w:tcPr>
            <w:tcW w:w="1274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49/2015</w:t>
            </w:r>
          </w:p>
        </w:tc>
        <w:tc>
          <w:tcPr>
            <w:tcW w:w="1673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1.097.891,39</w:t>
            </w:r>
          </w:p>
        </w:tc>
        <w:tc>
          <w:tcPr>
            <w:tcW w:w="5389" w:type="dxa"/>
          </w:tcPr>
          <w:p>
            <w:pPr>
              <w:pStyle w:val="TableParagraph"/>
              <w:spacing w:line="240" w:lineRule="auto"/>
              <w:ind w:left="109" w:right="96"/>
              <w:rPr>
                <w:sz w:val="20"/>
              </w:rPr>
            </w:pPr>
            <w:r>
              <w:rPr>
                <w:sz w:val="20"/>
              </w:rPr>
              <w:t>Registro de preços para eventual aquisição de licenças de uso de software de correio eletrônico e colaboração Zimbra Network, com suporte técnico.</w:t>
            </w:r>
          </w:p>
        </w:tc>
        <w:tc>
          <w:tcPr>
            <w:tcW w:w="850" w:type="dxa"/>
          </w:tcPr>
          <w:p>
            <w:pPr>
              <w:pStyle w:val="TableParagraph"/>
              <w:spacing w:line="240" w:lineRule="auto"/>
              <w:ind w:left="291" w:hanging="132"/>
              <w:rPr>
                <w:sz w:val="20"/>
              </w:rPr>
            </w:pPr>
            <w:r>
              <w:rPr>
                <w:sz w:val="20"/>
              </w:rPr>
              <w:t>Alínea “c”</w:t>
            </w:r>
          </w:p>
        </w:tc>
      </w:tr>
      <w:tr>
        <w:trPr>
          <w:trHeight w:val="580" w:hRule="atLeast"/>
        </w:trPr>
        <w:tc>
          <w:tcPr>
            <w:tcW w:w="314" w:type="dxa"/>
          </w:tcPr>
          <w:p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133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535/15</w:t>
            </w:r>
          </w:p>
        </w:tc>
        <w:tc>
          <w:tcPr>
            <w:tcW w:w="1274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44/2015</w:t>
            </w:r>
          </w:p>
        </w:tc>
        <w:tc>
          <w:tcPr>
            <w:tcW w:w="1673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597.179,00</w:t>
            </w:r>
          </w:p>
        </w:tc>
        <w:tc>
          <w:tcPr>
            <w:tcW w:w="5389" w:type="dxa"/>
          </w:tcPr>
          <w:p>
            <w:pPr>
              <w:pStyle w:val="TableParagraph"/>
              <w:spacing w:line="240" w:lineRule="auto"/>
              <w:ind w:left="109" w:right="96"/>
              <w:rPr>
                <w:sz w:val="20"/>
              </w:rPr>
            </w:pPr>
            <w:r>
              <w:rPr>
                <w:sz w:val="20"/>
              </w:rPr>
              <w:t>Registro de preços para aquisição de material de acondicionamento e embalagem.</w:t>
            </w:r>
          </w:p>
        </w:tc>
        <w:tc>
          <w:tcPr>
            <w:tcW w:w="850" w:type="dxa"/>
          </w:tcPr>
          <w:p>
            <w:pPr>
              <w:pStyle w:val="TableParagraph"/>
              <w:spacing w:line="240" w:lineRule="auto"/>
              <w:ind w:left="291" w:hanging="132"/>
              <w:rPr>
                <w:sz w:val="20"/>
              </w:rPr>
            </w:pPr>
            <w:r>
              <w:rPr>
                <w:sz w:val="20"/>
              </w:rPr>
              <w:t>Alínea “c”</w:t>
            </w:r>
          </w:p>
        </w:tc>
      </w:tr>
      <w:tr>
        <w:trPr>
          <w:trHeight w:val="580" w:hRule="atLeast"/>
        </w:trPr>
        <w:tc>
          <w:tcPr>
            <w:tcW w:w="314" w:type="dxa"/>
          </w:tcPr>
          <w:p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133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2072/15</w:t>
            </w:r>
          </w:p>
        </w:tc>
        <w:tc>
          <w:tcPr>
            <w:tcW w:w="1274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02/2015</w:t>
            </w:r>
          </w:p>
        </w:tc>
        <w:tc>
          <w:tcPr>
            <w:tcW w:w="1673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828.399,74</w:t>
            </w:r>
          </w:p>
        </w:tc>
        <w:tc>
          <w:tcPr>
            <w:tcW w:w="5389" w:type="dxa"/>
          </w:tcPr>
          <w:p>
            <w:pPr>
              <w:pStyle w:val="TableParagraph"/>
              <w:spacing w:line="240" w:lineRule="auto"/>
              <w:ind w:left="109" w:right="96"/>
              <w:rPr>
                <w:sz w:val="20"/>
              </w:rPr>
            </w:pPr>
            <w:r>
              <w:rPr>
                <w:sz w:val="20"/>
              </w:rPr>
              <w:t>Registro de preços para aquisição de Firewall serviço firewall dedicado de segurança.</w:t>
            </w:r>
          </w:p>
        </w:tc>
        <w:tc>
          <w:tcPr>
            <w:tcW w:w="850" w:type="dxa"/>
          </w:tcPr>
          <w:p>
            <w:pPr>
              <w:pStyle w:val="TableParagraph"/>
              <w:spacing w:line="240" w:lineRule="auto"/>
              <w:ind w:left="291" w:hanging="132"/>
              <w:rPr>
                <w:sz w:val="20"/>
              </w:rPr>
            </w:pPr>
            <w:r>
              <w:rPr>
                <w:sz w:val="20"/>
              </w:rPr>
              <w:t>Alínea “c”</w:t>
            </w:r>
          </w:p>
        </w:tc>
      </w:tr>
      <w:tr>
        <w:trPr>
          <w:trHeight w:val="580" w:hRule="atLeast"/>
        </w:trPr>
        <w:tc>
          <w:tcPr>
            <w:tcW w:w="314" w:type="dxa"/>
          </w:tcPr>
          <w:p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133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2119/15</w:t>
            </w:r>
          </w:p>
        </w:tc>
        <w:tc>
          <w:tcPr>
            <w:tcW w:w="1274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41/2015</w:t>
            </w:r>
          </w:p>
        </w:tc>
        <w:tc>
          <w:tcPr>
            <w:tcW w:w="1673" w:type="dxa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331.346,84</w:t>
            </w:r>
          </w:p>
        </w:tc>
        <w:tc>
          <w:tcPr>
            <w:tcW w:w="5389" w:type="dxa"/>
          </w:tcPr>
          <w:p>
            <w:pPr>
              <w:pStyle w:val="TableParagraph"/>
              <w:spacing w:line="240" w:lineRule="auto"/>
              <w:ind w:left="109" w:right="96"/>
              <w:rPr>
                <w:sz w:val="20"/>
              </w:rPr>
            </w:pPr>
            <w:r>
              <w:rPr>
                <w:sz w:val="20"/>
              </w:rPr>
              <w:t>Registro de preços para aquisição de material de áudio, vídeo, foto, pilhas e lâmpada dicróica.</w:t>
            </w:r>
          </w:p>
        </w:tc>
        <w:tc>
          <w:tcPr>
            <w:tcW w:w="850" w:type="dxa"/>
          </w:tcPr>
          <w:p>
            <w:pPr>
              <w:pStyle w:val="TableParagraph"/>
              <w:spacing w:line="240" w:lineRule="auto"/>
              <w:ind w:left="291" w:hanging="132"/>
              <w:rPr>
                <w:sz w:val="20"/>
              </w:rPr>
            </w:pPr>
            <w:r>
              <w:rPr>
                <w:sz w:val="20"/>
              </w:rPr>
              <w:t>Alínea “c”</w:t>
            </w:r>
          </w:p>
        </w:tc>
      </w:tr>
    </w:tbl>
    <w:p>
      <w:pPr>
        <w:spacing w:before="0"/>
        <w:ind w:left="106" w:right="100" w:firstLine="0"/>
        <w:jc w:val="both"/>
        <w:rPr>
          <w:sz w:val="20"/>
        </w:rPr>
      </w:pPr>
      <w:r>
        <w:rPr>
          <w:sz w:val="20"/>
        </w:rPr>
        <w:t>Nota: Dos 22 (vinte e dois) processos, seriam fiscalizados 9 processos comuns, 2 de serviços de engenharia e 1 de serviço contínuo, que totalizariam 50% dos processos. No entanto, foram selecionados 7 (sete) processos para análise considerando os parâmetros definidos para seleção da amostra. Considerando o elevado número de processos no bimestre em análise, contudo, em razão da concentração dos procedimentos licitatórios no último bimestre do ano e a capacidade operacional da SEAGES, decidiu-se pela análise dos 4 (quatro) processos mais dispendiosos dentre os não enquadrados como “obras ou serviços de engenharia” ou “contratação de serviços contínuos com alocação exclusiva de mão-de-obra”, ou seja, aproximadamente 21% (vinte e um por cento) do total, além dos 2 (dois) concernentes a serviços de engenharia e 1 (um) envolvendo contratação de serviços contínuos. Tendo em vista, por fim, a renovação na estrutura de pessoal da COGES ocorrida em março de 2016 excluiu-se o processo de nº 491/2015 – relativo à elaboração de projetos executivos para a reforma do centro de apoio técnico do TRE-BA (CAT), restando 6 dos 7 originais da</w:t>
      </w:r>
      <w:r>
        <w:rPr>
          <w:spacing w:val="-9"/>
          <w:sz w:val="20"/>
        </w:rPr>
        <w:t> </w:t>
      </w:r>
      <w:r>
        <w:rPr>
          <w:sz w:val="20"/>
        </w:rPr>
        <w:t>amostra.</w:t>
      </w:r>
    </w:p>
    <w:sectPr>
      <w:pgSz w:w="11910" w:h="16850"/>
      <w:pgMar w:header="756" w:footer="0" w:top="2800" w:bottom="0" w:left="46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54848">
          <wp:simplePos x="0" y="0"/>
          <wp:positionH relativeFrom="page">
            <wp:posOffset>3508597</wp:posOffset>
          </wp:positionH>
          <wp:positionV relativeFrom="page">
            <wp:posOffset>480327</wp:posOffset>
          </wp:positionV>
          <wp:extent cx="548682" cy="684491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82" cy="6844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53.580002pt;margin-top:93.704491pt;width:287.850pt;height:47.35pt;mso-position-horizontal-relative:page;mso-position-vertical-relative:page;z-index:-16261120" type="#_x0000_t202" filled="false" stroked="false">
          <v:textbox inset="0,0,0,0">
            <w:txbxContent>
              <w:p>
                <w:pPr>
                  <w:spacing w:line="228" w:lineRule="exact" w:before="10"/>
                  <w:ind w:left="641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TRIBUNAL REGIONAL ELEITORAL DA BAHIA</w:t>
                </w:r>
              </w:p>
              <w:p>
                <w:pPr>
                  <w:spacing w:line="240" w:lineRule="auto" w:before="0"/>
                  <w:ind w:left="20" w:right="3" w:firstLine="1174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Secretaria de Controle Interno e Auditoria Coordenadoria de Auditoria, Acompanhamento e Orientação da Gestão</w:t>
                </w:r>
              </w:p>
              <w:p>
                <w:pPr>
                  <w:spacing w:before="0"/>
                  <w:ind w:left="233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Seção de Acompanhamento e Orientação à Gestão Administrativa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lowerLetter"/>
      <w:lvlText w:val="%1)"/>
      <w:lvlJc w:val="left"/>
      <w:pPr>
        <w:ind w:left="672" w:hanging="709"/>
        <w:jc w:val="left"/>
      </w:pPr>
      <w:rPr>
        <w:rFonts w:hint="default" w:ascii="Times New Roman" w:hAnsi="Times New Roman" w:eastAsia="Times New Roman" w:cs="Times New Roman"/>
        <w:spacing w:val="-3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24" w:hanging="70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69" w:hanging="70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13" w:hanging="70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858" w:hanging="70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903" w:hanging="70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947" w:hanging="70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92" w:hanging="70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37" w:hanging="709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13" w:hanging="241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2" w:hanging="420"/>
        <w:jc w:val="left"/>
      </w:pPr>
      <w:rPr>
        <w:rFonts w:hint="default" w:ascii="Times New Roman" w:hAnsi="Times New Roman" w:eastAsia="Times New Roman" w:cs="Times New Roman"/>
        <w:b/>
        <w:bCs/>
        <w:spacing w:val="-4"/>
        <w:w w:val="99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100" w:hanging="4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353" w:hanging="4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606" w:hanging="4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859" w:hanging="4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13" w:hanging="4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66" w:hanging="4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19" w:hanging="42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112" w:hanging="440"/>
        <w:jc w:val="left"/>
      </w:pPr>
      <w:rPr>
        <w:rFonts w:hint="default" w:ascii="Times New Roman" w:hAnsi="Times New Roman" w:eastAsia="Times New Roman" w:cs="Times New Roman"/>
        <w:spacing w:val="-4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20" w:hanging="44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121" w:hanging="44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121" w:hanging="44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122" w:hanging="44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23" w:hanging="44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123" w:hanging="44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124" w:hanging="4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125" w:hanging="44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90"/>
      <w:ind w:left="1093" w:hanging="422"/>
      <w:jc w:val="both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0"/>
      <w:ind w:left="672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line="223" w:lineRule="exact"/>
    </w:pPr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009821230566</dc:creator>
  <dc:title>RELATÓRIO PRELIMINAR DE AUDITORIA DE FISCALIZAÇÃO PROCESSO DE CONCESSÃO, APLICAÇÃO E COMPROVAÇÃO DE SUPRIMENTO DE FUNDOS NO 1º SEMESTRE DE 2014</dc:title>
  <dcterms:created xsi:type="dcterms:W3CDTF">2021-05-13T18:19:33Z</dcterms:created>
  <dcterms:modified xsi:type="dcterms:W3CDTF">2021-05-13T18:19:33Z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2021-05-13T00:00:00Z</vt:filetime>
  </property>
</Properties>
</file>