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2C" w:rsidRPr="0069002E" w:rsidRDefault="001D6A2C"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A1504D" w:rsidRPr="0069002E" w:rsidRDefault="00495A98" w:rsidP="00451876">
      <w:pPr>
        <w:spacing w:line="360" w:lineRule="auto"/>
        <w:jc w:val="center"/>
        <w:rPr>
          <w:b/>
          <w:sz w:val="24"/>
          <w:szCs w:val="24"/>
        </w:rPr>
      </w:pPr>
      <w:r w:rsidRPr="00690A9D">
        <w:rPr>
          <w:b/>
          <w:sz w:val="24"/>
          <w:szCs w:val="24"/>
        </w:rPr>
        <w:t>RELATÓRIO</w:t>
      </w:r>
      <w:r w:rsidR="00914D3A">
        <w:rPr>
          <w:b/>
          <w:sz w:val="24"/>
          <w:szCs w:val="24"/>
        </w:rPr>
        <w:t xml:space="preserve"> DE FISCALIZAÇÃO </w:t>
      </w:r>
      <w:r w:rsidR="001C548E">
        <w:rPr>
          <w:b/>
          <w:sz w:val="24"/>
          <w:szCs w:val="24"/>
        </w:rPr>
        <w:t xml:space="preserve">DOS PROCEDIMENTOS LICITATÓRIOS RELATIVOS AO BIMESTRE </w:t>
      </w:r>
      <w:r w:rsidR="007E21BD">
        <w:rPr>
          <w:b/>
          <w:sz w:val="24"/>
          <w:szCs w:val="24"/>
        </w:rPr>
        <w:t>SETEMBRO</w:t>
      </w:r>
      <w:r w:rsidR="001C548E">
        <w:rPr>
          <w:b/>
          <w:sz w:val="24"/>
          <w:szCs w:val="24"/>
        </w:rPr>
        <w:t>/</w:t>
      </w:r>
      <w:r w:rsidR="007E21BD">
        <w:rPr>
          <w:b/>
          <w:sz w:val="24"/>
          <w:szCs w:val="24"/>
        </w:rPr>
        <w:t>OUTUBRO</w:t>
      </w:r>
      <w:r w:rsidR="001C548E">
        <w:rPr>
          <w:b/>
          <w:sz w:val="24"/>
          <w:szCs w:val="24"/>
        </w:rPr>
        <w:t xml:space="preserve"> DE 2015</w:t>
      </w:r>
    </w:p>
    <w:p w:rsidR="00355054" w:rsidRPr="0069002E" w:rsidRDefault="00355054" w:rsidP="00EE4440">
      <w:pPr>
        <w:widowControl w:val="0"/>
        <w:tabs>
          <w:tab w:val="left" w:pos="214"/>
        </w:tabs>
        <w:spacing w:before="120"/>
        <w:jc w:val="both"/>
        <w:rPr>
          <w:b/>
          <w:sz w:val="24"/>
          <w:szCs w:val="24"/>
        </w:rPr>
      </w:pPr>
    </w:p>
    <w:p w:rsidR="003506AB" w:rsidRPr="0069002E" w:rsidRDefault="003506AB" w:rsidP="00EE4440">
      <w:pPr>
        <w:spacing w:line="360" w:lineRule="auto"/>
        <w:jc w:val="both"/>
        <w:rPr>
          <w:rFonts w:ascii="Arial Narrow" w:hAnsi="Arial Narrow"/>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355054" w:rsidRDefault="00355054" w:rsidP="00EE4440">
      <w:pPr>
        <w:spacing w:after="0"/>
        <w:jc w:val="both"/>
        <w:rPr>
          <w:b/>
          <w:sz w:val="24"/>
          <w:szCs w:val="24"/>
        </w:rPr>
      </w:pPr>
    </w:p>
    <w:p w:rsidR="009E5DF0" w:rsidRDefault="009E5DF0" w:rsidP="00EE4440">
      <w:pPr>
        <w:spacing w:after="0"/>
        <w:jc w:val="both"/>
        <w:rPr>
          <w:b/>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A1504D" w:rsidRPr="00A9155C" w:rsidRDefault="00A1504D" w:rsidP="00EE4440">
      <w:pPr>
        <w:spacing w:line="360" w:lineRule="auto"/>
        <w:jc w:val="both"/>
        <w:rPr>
          <w:rFonts w:ascii="Arial Narrow" w:hAnsi="Arial Narrow"/>
          <w:sz w:val="24"/>
          <w:szCs w:val="24"/>
        </w:rPr>
      </w:pPr>
    </w:p>
    <w:p w:rsidR="00494B5E" w:rsidRPr="0069002E" w:rsidRDefault="00494B5E" w:rsidP="00EE4440">
      <w:pPr>
        <w:spacing w:line="360" w:lineRule="auto"/>
        <w:jc w:val="both"/>
        <w:rPr>
          <w:sz w:val="24"/>
          <w:szCs w:val="24"/>
        </w:rPr>
      </w:pPr>
    </w:p>
    <w:p w:rsidR="00EF50F1" w:rsidRPr="0069002E" w:rsidRDefault="00EF50F1" w:rsidP="00EE4440">
      <w:pPr>
        <w:spacing w:line="360" w:lineRule="auto"/>
        <w:jc w:val="both"/>
        <w:rPr>
          <w:sz w:val="24"/>
          <w:szCs w:val="24"/>
        </w:rPr>
      </w:pPr>
    </w:p>
    <w:p w:rsidR="00EF50F1" w:rsidRDefault="00EF50F1" w:rsidP="00EE4440">
      <w:pPr>
        <w:spacing w:line="360" w:lineRule="auto"/>
        <w:jc w:val="both"/>
        <w:rPr>
          <w:sz w:val="24"/>
          <w:szCs w:val="24"/>
        </w:rPr>
      </w:pPr>
    </w:p>
    <w:p w:rsidR="00A851C9" w:rsidRDefault="00A851C9" w:rsidP="00EE4440">
      <w:pPr>
        <w:spacing w:line="360" w:lineRule="auto"/>
        <w:jc w:val="both"/>
        <w:rPr>
          <w:sz w:val="24"/>
          <w:szCs w:val="24"/>
        </w:rPr>
      </w:pPr>
    </w:p>
    <w:p w:rsidR="00EF50F1" w:rsidRDefault="00EF50F1" w:rsidP="00EE4440">
      <w:pPr>
        <w:spacing w:line="360" w:lineRule="auto"/>
        <w:jc w:val="both"/>
        <w:rPr>
          <w:sz w:val="24"/>
          <w:szCs w:val="24"/>
        </w:rPr>
      </w:pPr>
    </w:p>
    <w:p w:rsidR="00850644" w:rsidRPr="0069002E" w:rsidRDefault="00850644" w:rsidP="00EE4440">
      <w:pPr>
        <w:spacing w:line="360" w:lineRule="auto"/>
        <w:jc w:val="both"/>
        <w:rPr>
          <w:sz w:val="24"/>
          <w:szCs w:val="24"/>
        </w:rPr>
      </w:pPr>
    </w:p>
    <w:p w:rsidR="00A9155C" w:rsidRPr="00A9155C" w:rsidRDefault="00A9155C" w:rsidP="00451876">
      <w:pPr>
        <w:spacing w:after="0"/>
        <w:jc w:val="center"/>
        <w:rPr>
          <w:b/>
          <w:sz w:val="24"/>
          <w:szCs w:val="24"/>
        </w:rPr>
      </w:pPr>
      <w:r w:rsidRPr="00A9155C">
        <w:rPr>
          <w:b/>
          <w:sz w:val="24"/>
          <w:szCs w:val="24"/>
        </w:rPr>
        <w:t>Salvador - BA</w:t>
      </w:r>
    </w:p>
    <w:p w:rsidR="00A9155C" w:rsidRPr="00A9155C" w:rsidRDefault="007E21BD" w:rsidP="00451876">
      <w:pPr>
        <w:spacing w:after="0"/>
        <w:jc w:val="center"/>
        <w:rPr>
          <w:b/>
          <w:sz w:val="24"/>
          <w:szCs w:val="24"/>
        </w:rPr>
      </w:pPr>
      <w:r>
        <w:rPr>
          <w:b/>
          <w:sz w:val="24"/>
          <w:szCs w:val="24"/>
        </w:rPr>
        <w:t>Janeir</w:t>
      </w:r>
      <w:r w:rsidR="008202DF">
        <w:rPr>
          <w:b/>
          <w:sz w:val="24"/>
          <w:szCs w:val="24"/>
        </w:rPr>
        <w:t>o</w:t>
      </w:r>
      <w:r w:rsidR="00A9155C" w:rsidRPr="00A9155C">
        <w:rPr>
          <w:b/>
          <w:sz w:val="24"/>
          <w:szCs w:val="24"/>
        </w:rPr>
        <w:t>/</w:t>
      </w:r>
      <w:r w:rsidR="00914D3A">
        <w:rPr>
          <w:b/>
          <w:sz w:val="24"/>
          <w:szCs w:val="24"/>
        </w:rPr>
        <w:t>201</w:t>
      </w:r>
      <w:r>
        <w:rPr>
          <w:b/>
          <w:sz w:val="24"/>
          <w:szCs w:val="24"/>
        </w:rPr>
        <w:t>6</w:t>
      </w:r>
    </w:p>
    <w:p w:rsidR="0091712B" w:rsidRPr="0069002E" w:rsidRDefault="0091712B" w:rsidP="00EE4440">
      <w:pPr>
        <w:spacing w:line="360" w:lineRule="auto"/>
        <w:jc w:val="both"/>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355054" w:rsidRDefault="001C548E" w:rsidP="00451876">
      <w:pPr>
        <w:spacing w:line="360" w:lineRule="auto"/>
        <w:jc w:val="center"/>
        <w:rPr>
          <w:b/>
          <w:sz w:val="24"/>
          <w:szCs w:val="24"/>
        </w:rPr>
      </w:pPr>
      <w:r w:rsidRPr="00690A9D">
        <w:rPr>
          <w:b/>
          <w:sz w:val="24"/>
          <w:szCs w:val="24"/>
        </w:rPr>
        <w:t>RELATÓRIO</w:t>
      </w:r>
      <w:r>
        <w:rPr>
          <w:b/>
          <w:sz w:val="24"/>
          <w:szCs w:val="24"/>
        </w:rPr>
        <w:t xml:space="preserve"> DE FISCALIZAÇÃO DOS PROCEDIMENTOS LICITATÓRIOS RELATIVOS AO BIMESTRE </w:t>
      </w:r>
      <w:r w:rsidR="007E21BD">
        <w:rPr>
          <w:b/>
          <w:sz w:val="24"/>
          <w:szCs w:val="24"/>
        </w:rPr>
        <w:t>SETEMBRO</w:t>
      </w:r>
      <w:r w:rsidR="002E1967">
        <w:rPr>
          <w:b/>
          <w:sz w:val="24"/>
          <w:szCs w:val="24"/>
        </w:rPr>
        <w:t>/</w:t>
      </w:r>
      <w:r w:rsidR="007E21BD">
        <w:rPr>
          <w:b/>
          <w:sz w:val="24"/>
          <w:szCs w:val="24"/>
        </w:rPr>
        <w:t>OUTUBRO</w:t>
      </w:r>
      <w:r>
        <w:rPr>
          <w:b/>
          <w:sz w:val="24"/>
          <w:szCs w:val="24"/>
        </w:rPr>
        <w:t xml:space="preserve"> DE 2015</w:t>
      </w:r>
    </w:p>
    <w:p w:rsidR="001C548E" w:rsidRPr="001C548E" w:rsidRDefault="001C548E" w:rsidP="00EE4440">
      <w:pPr>
        <w:spacing w:line="360" w:lineRule="auto"/>
        <w:jc w:val="both"/>
        <w:rPr>
          <w:b/>
          <w:sz w:val="24"/>
          <w:szCs w:val="24"/>
        </w:rPr>
      </w:pPr>
    </w:p>
    <w:p w:rsidR="00783C52" w:rsidRPr="0069002E" w:rsidRDefault="00783C52" w:rsidP="00EE4440">
      <w:pPr>
        <w:spacing w:line="360" w:lineRule="auto"/>
        <w:jc w:val="both"/>
        <w:rPr>
          <w:rFonts w:ascii="Arial Narrow" w:hAnsi="Arial Narrow"/>
          <w:sz w:val="24"/>
          <w:szCs w:val="24"/>
        </w:rPr>
      </w:pPr>
    </w:p>
    <w:p w:rsidR="00AB6882" w:rsidRPr="00AB6882" w:rsidRDefault="00355054" w:rsidP="00EE4440">
      <w:pPr>
        <w:spacing w:after="0"/>
        <w:ind w:left="3200"/>
        <w:jc w:val="both"/>
        <w:rPr>
          <w:sz w:val="24"/>
          <w:szCs w:val="24"/>
        </w:rPr>
      </w:pPr>
      <w:r w:rsidRPr="000C1063">
        <w:rPr>
          <w:sz w:val="24"/>
          <w:szCs w:val="24"/>
        </w:rPr>
        <w:t xml:space="preserve">A presente fiscalização encontra-se amparada pelo Plano Anual de </w:t>
      </w:r>
      <w:r w:rsidR="00AB6882" w:rsidRPr="00AB6882">
        <w:rPr>
          <w:sz w:val="24"/>
          <w:szCs w:val="24"/>
        </w:rPr>
        <w:t>Atividades 2015 (PAA 2015), aprovado por meio da Portaria da Presidência do TRE-BA nº 482, de 26 de novembro de 2014.</w:t>
      </w:r>
    </w:p>
    <w:p w:rsidR="00355054" w:rsidRPr="000C1063" w:rsidRDefault="00355054" w:rsidP="00EE4440">
      <w:pPr>
        <w:spacing w:after="0"/>
        <w:ind w:left="3200"/>
        <w:jc w:val="both"/>
        <w:rPr>
          <w:sz w:val="24"/>
          <w:szCs w:val="24"/>
        </w:rPr>
      </w:pPr>
      <w:r w:rsidRPr="000C1063">
        <w:rPr>
          <w:sz w:val="24"/>
          <w:szCs w:val="24"/>
        </w:rPr>
        <w:t xml:space="preserve"> </w:t>
      </w:r>
    </w:p>
    <w:p w:rsidR="00B7409F" w:rsidRPr="0069002E" w:rsidRDefault="00B7409F" w:rsidP="00EE4440">
      <w:pPr>
        <w:spacing w:after="0"/>
        <w:ind w:left="3200"/>
        <w:jc w:val="both"/>
        <w:rPr>
          <w:sz w:val="24"/>
          <w:szCs w:val="24"/>
        </w:rPr>
      </w:pPr>
    </w:p>
    <w:p w:rsidR="00EF50F1" w:rsidRPr="0069002E" w:rsidRDefault="00EF50F1" w:rsidP="00EE4440">
      <w:pPr>
        <w:spacing w:after="0"/>
        <w:ind w:left="3200"/>
        <w:jc w:val="both"/>
        <w:rPr>
          <w:sz w:val="24"/>
          <w:szCs w:val="24"/>
        </w:rPr>
      </w:pPr>
    </w:p>
    <w:p w:rsidR="0077351F" w:rsidRPr="0069002E" w:rsidRDefault="007320F3" w:rsidP="00EE4440">
      <w:pPr>
        <w:spacing w:after="0"/>
        <w:ind w:left="3200"/>
        <w:jc w:val="both"/>
        <w:rPr>
          <w:sz w:val="24"/>
          <w:szCs w:val="24"/>
        </w:rPr>
      </w:pPr>
      <w:r w:rsidRPr="0069002E">
        <w:rPr>
          <w:sz w:val="24"/>
          <w:szCs w:val="24"/>
        </w:rPr>
        <w:t xml:space="preserve">Elaboração: Seção de Acompanhamento e Orientação </w:t>
      </w:r>
      <w:r w:rsidR="00303151" w:rsidRPr="0069002E">
        <w:rPr>
          <w:sz w:val="24"/>
          <w:szCs w:val="24"/>
        </w:rPr>
        <w:t>à</w:t>
      </w:r>
      <w:r w:rsidRPr="0069002E">
        <w:rPr>
          <w:sz w:val="24"/>
          <w:szCs w:val="24"/>
        </w:rPr>
        <w:t xml:space="preserve"> Gestão</w:t>
      </w:r>
      <w:r w:rsidR="00303151" w:rsidRPr="0069002E">
        <w:rPr>
          <w:sz w:val="24"/>
          <w:szCs w:val="24"/>
        </w:rPr>
        <w:t xml:space="preserve"> Administrativa</w:t>
      </w:r>
      <w:r w:rsidRPr="0069002E">
        <w:rPr>
          <w:sz w:val="24"/>
          <w:szCs w:val="24"/>
        </w:rPr>
        <w:t xml:space="preserve"> (SEAGES)</w:t>
      </w:r>
    </w:p>
    <w:p w:rsidR="007320F3" w:rsidRDefault="007320F3" w:rsidP="00EE4440">
      <w:pPr>
        <w:spacing w:after="0"/>
        <w:ind w:left="3200"/>
        <w:jc w:val="both"/>
        <w:rPr>
          <w:sz w:val="24"/>
          <w:szCs w:val="24"/>
        </w:rPr>
      </w:pPr>
      <w:r w:rsidRPr="0069002E">
        <w:rPr>
          <w:sz w:val="24"/>
          <w:szCs w:val="24"/>
        </w:rPr>
        <w:t>Auditor</w:t>
      </w:r>
      <w:r w:rsidR="00D12431">
        <w:rPr>
          <w:sz w:val="24"/>
          <w:szCs w:val="24"/>
        </w:rPr>
        <w:t>es</w:t>
      </w:r>
      <w:r w:rsidR="00B7409F" w:rsidRPr="0069002E">
        <w:rPr>
          <w:sz w:val="24"/>
          <w:szCs w:val="24"/>
        </w:rPr>
        <w:t xml:space="preserve"> Interno</w:t>
      </w:r>
      <w:r w:rsidR="00D12431">
        <w:rPr>
          <w:sz w:val="24"/>
          <w:szCs w:val="24"/>
        </w:rPr>
        <w:t>s</w:t>
      </w:r>
      <w:r w:rsidRPr="0069002E">
        <w:rPr>
          <w:sz w:val="24"/>
          <w:szCs w:val="24"/>
        </w:rPr>
        <w:t>:</w:t>
      </w:r>
      <w:r w:rsidR="004F01A5">
        <w:rPr>
          <w:sz w:val="24"/>
          <w:szCs w:val="24"/>
        </w:rPr>
        <w:t xml:space="preserve"> </w:t>
      </w:r>
      <w:r w:rsidR="008202DF">
        <w:rPr>
          <w:sz w:val="24"/>
          <w:szCs w:val="24"/>
        </w:rPr>
        <w:t xml:space="preserve">Ana Carolina Marques Valente </w:t>
      </w:r>
      <w:proofErr w:type="spellStart"/>
      <w:r w:rsidR="008202DF">
        <w:rPr>
          <w:sz w:val="24"/>
          <w:szCs w:val="24"/>
        </w:rPr>
        <w:t>Iunes</w:t>
      </w:r>
      <w:proofErr w:type="spellEnd"/>
    </w:p>
    <w:p w:rsidR="00CE0805" w:rsidRDefault="00D12431" w:rsidP="00CE0805">
      <w:pPr>
        <w:spacing w:after="0"/>
        <w:ind w:left="4820"/>
        <w:jc w:val="both"/>
        <w:rPr>
          <w:sz w:val="24"/>
          <w:szCs w:val="24"/>
        </w:rPr>
      </w:pPr>
      <w:r>
        <w:rPr>
          <w:sz w:val="24"/>
          <w:szCs w:val="24"/>
        </w:rPr>
        <w:t xml:space="preserve">     </w:t>
      </w:r>
      <w:r w:rsidR="00CE0805">
        <w:rPr>
          <w:sz w:val="24"/>
          <w:szCs w:val="24"/>
        </w:rPr>
        <w:t>Eduardo Machado Oliveira</w:t>
      </w:r>
    </w:p>
    <w:p w:rsidR="00CE0805" w:rsidRPr="0069002E" w:rsidRDefault="00D12431" w:rsidP="00CE0805">
      <w:pPr>
        <w:spacing w:after="0"/>
        <w:ind w:left="4820"/>
        <w:jc w:val="both"/>
        <w:rPr>
          <w:sz w:val="24"/>
          <w:szCs w:val="24"/>
        </w:rPr>
      </w:pPr>
      <w:r>
        <w:rPr>
          <w:sz w:val="24"/>
          <w:szCs w:val="24"/>
        </w:rPr>
        <w:t xml:space="preserve">     </w:t>
      </w:r>
      <w:r w:rsidR="00CE0805">
        <w:rPr>
          <w:sz w:val="24"/>
          <w:szCs w:val="24"/>
        </w:rPr>
        <w:t xml:space="preserve">Patrícia </w:t>
      </w:r>
      <w:proofErr w:type="spellStart"/>
      <w:r w:rsidR="00CE0805">
        <w:rPr>
          <w:sz w:val="24"/>
          <w:szCs w:val="24"/>
        </w:rPr>
        <w:t>Caleffi</w:t>
      </w:r>
      <w:proofErr w:type="spellEnd"/>
    </w:p>
    <w:p w:rsidR="0077351F" w:rsidRPr="0069002E" w:rsidRDefault="0077351F" w:rsidP="00EE4440">
      <w:pPr>
        <w:jc w:val="both"/>
        <w:rPr>
          <w:sz w:val="24"/>
          <w:szCs w:val="24"/>
        </w:rPr>
      </w:pPr>
    </w:p>
    <w:p w:rsidR="00A851C9" w:rsidRDefault="00A851C9" w:rsidP="00EE4440">
      <w:pPr>
        <w:jc w:val="both"/>
        <w:rPr>
          <w:sz w:val="24"/>
          <w:szCs w:val="24"/>
        </w:rPr>
      </w:pPr>
    </w:p>
    <w:p w:rsidR="00451876" w:rsidRDefault="00451876" w:rsidP="00EE4440">
      <w:pPr>
        <w:jc w:val="both"/>
        <w:rPr>
          <w:sz w:val="24"/>
          <w:szCs w:val="24"/>
        </w:rPr>
      </w:pPr>
    </w:p>
    <w:p w:rsidR="00337717" w:rsidRDefault="00337717" w:rsidP="00EE4440">
      <w:pPr>
        <w:spacing w:after="0"/>
        <w:jc w:val="both"/>
        <w:rPr>
          <w:b/>
          <w:sz w:val="24"/>
          <w:szCs w:val="24"/>
        </w:rPr>
      </w:pPr>
    </w:p>
    <w:p w:rsidR="00337717" w:rsidRDefault="00337717" w:rsidP="00EE4440">
      <w:pPr>
        <w:spacing w:after="0"/>
        <w:jc w:val="both"/>
        <w:rPr>
          <w:b/>
          <w:sz w:val="24"/>
          <w:szCs w:val="24"/>
        </w:rPr>
      </w:pPr>
    </w:p>
    <w:p w:rsidR="002E1967" w:rsidRDefault="002E1967" w:rsidP="00EE4440">
      <w:pPr>
        <w:spacing w:after="0"/>
        <w:jc w:val="both"/>
        <w:rPr>
          <w:b/>
          <w:sz w:val="24"/>
          <w:szCs w:val="24"/>
        </w:rPr>
      </w:pPr>
    </w:p>
    <w:p w:rsidR="0077351F" w:rsidRPr="00451876" w:rsidRDefault="00DD7D90" w:rsidP="00451876">
      <w:pPr>
        <w:spacing w:after="0"/>
        <w:jc w:val="center"/>
        <w:rPr>
          <w:sz w:val="24"/>
          <w:szCs w:val="24"/>
        </w:rPr>
      </w:pPr>
      <w:r w:rsidRPr="00451876">
        <w:rPr>
          <w:sz w:val="24"/>
          <w:szCs w:val="24"/>
        </w:rPr>
        <w:t>Salvador</w:t>
      </w:r>
      <w:r w:rsidR="0077351F" w:rsidRPr="00451876">
        <w:rPr>
          <w:sz w:val="24"/>
          <w:szCs w:val="24"/>
        </w:rPr>
        <w:t xml:space="preserve"> - </w:t>
      </w:r>
      <w:r w:rsidR="001B54E1" w:rsidRPr="00451876">
        <w:rPr>
          <w:sz w:val="24"/>
          <w:szCs w:val="24"/>
        </w:rPr>
        <w:t>BA</w:t>
      </w:r>
    </w:p>
    <w:p w:rsidR="00B95D7B" w:rsidRPr="00451876" w:rsidRDefault="007E21BD" w:rsidP="00451876">
      <w:pPr>
        <w:spacing w:after="0"/>
        <w:jc w:val="center"/>
        <w:rPr>
          <w:sz w:val="24"/>
          <w:szCs w:val="24"/>
        </w:rPr>
      </w:pPr>
      <w:r>
        <w:rPr>
          <w:sz w:val="24"/>
          <w:szCs w:val="24"/>
        </w:rPr>
        <w:t>Janeiro</w:t>
      </w:r>
      <w:r w:rsidR="00914D3A" w:rsidRPr="00451876">
        <w:rPr>
          <w:sz w:val="24"/>
          <w:szCs w:val="24"/>
        </w:rPr>
        <w:t>/201</w:t>
      </w:r>
      <w:r>
        <w:rPr>
          <w:sz w:val="24"/>
          <w:szCs w:val="24"/>
        </w:rPr>
        <w:t>6</w:t>
      </w:r>
    </w:p>
    <w:p w:rsidR="00AE371B" w:rsidRDefault="00AE371B" w:rsidP="00C16169">
      <w:pPr>
        <w:pStyle w:val="CabealhodoSumrio1"/>
        <w:jc w:val="center"/>
        <w:rPr>
          <w:rFonts w:ascii="Times New Roman" w:hAnsi="Times New Roman"/>
          <w:caps/>
          <w:color w:val="auto"/>
          <w:sz w:val="24"/>
          <w:szCs w:val="24"/>
        </w:rPr>
      </w:pPr>
      <w:r w:rsidRPr="00103D34">
        <w:rPr>
          <w:rFonts w:ascii="Times New Roman" w:hAnsi="Times New Roman"/>
          <w:caps/>
          <w:color w:val="auto"/>
          <w:sz w:val="24"/>
          <w:szCs w:val="24"/>
        </w:rPr>
        <w:lastRenderedPageBreak/>
        <w:t>Sumário</w:t>
      </w:r>
    </w:p>
    <w:p w:rsidR="00AE371B" w:rsidRDefault="00AE371B" w:rsidP="00EE4440">
      <w:pPr>
        <w:jc w:val="both"/>
      </w:pPr>
    </w:p>
    <w:p w:rsidR="00AE371B" w:rsidRDefault="00AE371B" w:rsidP="00EE4440">
      <w:pPr>
        <w:jc w:val="both"/>
      </w:pPr>
    </w:p>
    <w:p w:rsidR="00AE371B" w:rsidRPr="00AE371B" w:rsidRDefault="00AE371B" w:rsidP="00EE4440">
      <w:pPr>
        <w:jc w:val="both"/>
      </w:pPr>
    </w:p>
    <w:p w:rsidR="00AE371B" w:rsidRPr="006C216E" w:rsidRDefault="00AE371B" w:rsidP="00EE4440">
      <w:pPr>
        <w:jc w:val="both"/>
      </w:pPr>
    </w:p>
    <w:p w:rsidR="00AE371B" w:rsidRPr="00712967" w:rsidRDefault="00AE371B" w:rsidP="00EE4440">
      <w:pPr>
        <w:pStyle w:val="Sumrio1"/>
        <w:jc w:val="both"/>
        <w:rPr>
          <w:rFonts w:ascii="Calibri" w:hAnsi="Calibri"/>
          <w:sz w:val="22"/>
          <w:szCs w:val="22"/>
        </w:rPr>
      </w:pPr>
      <w:r w:rsidRPr="00712967">
        <w:fldChar w:fldCharType="begin"/>
      </w:r>
      <w:r w:rsidRPr="00712967">
        <w:instrText xml:space="preserve"> TOC \o "1-3" \h \z \u </w:instrText>
      </w:r>
      <w:r w:rsidRPr="00712967">
        <w:fldChar w:fldCharType="separate"/>
      </w:r>
      <w:hyperlink w:anchor="_Toc396482379" w:history="1">
        <w:r w:rsidRPr="00712967">
          <w:rPr>
            <w:rFonts w:ascii="Calibri" w:hAnsi="Calibri"/>
            <w:sz w:val="22"/>
            <w:szCs w:val="22"/>
          </w:rPr>
          <w:tab/>
        </w:r>
        <w:r w:rsidRPr="00712967">
          <w:rPr>
            <w:rStyle w:val="Hyperlink"/>
          </w:rPr>
          <w:t>APRESENTAÇÃO</w:t>
        </w:r>
        <w:r w:rsidRPr="00712967">
          <w:rPr>
            <w:webHidden/>
          </w:rPr>
          <w:tab/>
          <w:t>4</w:t>
        </w:r>
      </w:hyperlink>
    </w:p>
    <w:p w:rsidR="00AE371B" w:rsidRPr="00712967" w:rsidRDefault="00E33A99" w:rsidP="00EE4440">
      <w:pPr>
        <w:pStyle w:val="Sumrio1"/>
        <w:jc w:val="both"/>
        <w:rPr>
          <w:rFonts w:ascii="Calibri" w:hAnsi="Calibri"/>
          <w:sz w:val="22"/>
          <w:szCs w:val="22"/>
        </w:rPr>
      </w:pPr>
      <w:hyperlink w:anchor="_Toc396482381" w:history="1">
        <w:r w:rsidR="00D86D75" w:rsidRPr="00712967">
          <w:rPr>
            <w:rStyle w:val="Hyperlink"/>
          </w:rPr>
          <w:t>I.</w:t>
        </w:r>
        <w:r w:rsidR="00AE371B" w:rsidRPr="00712967">
          <w:rPr>
            <w:rFonts w:ascii="Calibri" w:hAnsi="Calibri"/>
            <w:sz w:val="22"/>
            <w:szCs w:val="22"/>
          </w:rPr>
          <w:tab/>
        </w:r>
        <w:r w:rsidR="00AE371B" w:rsidRPr="00712967">
          <w:rPr>
            <w:rStyle w:val="Hyperlink"/>
          </w:rPr>
          <w:t>INTRODUÇÃO.........................................................................................................</w:t>
        </w:r>
      </w:hyperlink>
      <w:r w:rsidR="00AE371B" w:rsidRPr="00712967">
        <w:t>5</w:t>
      </w:r>
      <w:r w:rsidR="00AE371B" w:rsidRPr="00712967">
        <w:rPr>
          <w:rFonts w:ascii="Calibri" w:hAnsi="Calibri"/>
          <w:sz w:val="22"/>
          <w:szCs w:val="22"/>
        </w:rPr>
        <w:t xml:space="preserve"> </w:t>
      </w:r>
    </w:p>
    <w:p w:rsidR="00AE371B" w:rsidRPr="00712967" w:rsidRDefault="00E33A99" w:rsidP="00EE4440">
      <w:pPr>
        <w:pStyle w:val="Sumrio1"/>
        <w:jc w:val="both"/>
        <w:rPr>
          <w:rFonts w:ascii="Calibri" w:hAnsi="Calibri"/>
          <w:sz w:val="22"/>
          <w:szCs w:val="22"/>
        </w:rPr>
      </w:pPr>
      <w:hyperlink w:anchor="_Toc396482382" w:history="1">
        <w:r w:rsidR="00AE371B" w:rsidRPr="00712967">
          <w:rPr>
            <w:rStyle w:val="Hyperlink"/>
          </w:rPr>
          <w:t>II</w:t>
        </w:r>
        <w:r w:rsidR="008D7B53" w:rsidRPr="00712967">
          <w:rPr>
            <w:rStyle w:val="Hyperlink"/>
          </w:rPr>
          <w:t>.</w:t>
        </w:r>
        <w:r w:rsidR="00AE371B" w:rsidRPr="00712967">
          <w:rPr>
            <w:rFonts w:ascii="Calibri" w:hAnsi="Calibri"/>
            <w:sz w:val="22"/>
            <w:szCs w:val="22"/>
          </w:rPr>
          <w:tab/>
        </w:r>
        <w:r w:rsidR="00AE371B" w:rsidRPr="00712967">
          <w:rPr>
            <w:rStyle w:val="Hyperlink"/>
          </w:rPr>
          <w:t xml:space="preserve">ACHADOS </w:t>
        </w:r>
        <w:r w:rsidR="00FF0A59">
          <w:rPr>
            <w:rStyle w:val="Hyperlink"/>
          </w:rPr>
          <w:t>DA FISCALIZAÇÃO</w:t>
        </w:r>
        <w:r w:rsidR="00AE371B" w:rsidRPr="00712967">
          <w:rPr>
            <w:webHidden/>
          </w:rPr>
          <w:tab/>
          <w:t>..</w:t>
        </w:r>
        <w:r w:rsidR="0076124D" w:rsidRPr="00712967">
          <w:rPr>
            <w:webHidden/>
          </w:rPr>
          <w:t>....</w:t>
        </w:r>
        <w:r w:rsidR="00AE371B" w:rsidRPr="00712967">
          <w:rPr>
            <w:webHidden/>
          </w:rPr>
          <w:t>..........................</w:t>
        </w:r>
        <w:r w:rsidR="0076124D" w:rsidRPr="00712967">
          <w:rPr>
            <w:webHidden/>
          </w:rPr>
          <w:t>.</w:t>
        </w:r>
        <w:r w:rsidR="00AE371B" w:rsidRPr="00712967">
          <w:rPr>
            <w:webHidden/>
          </w:rPr>
          <w:t>..</w:t>
        </w:r>
      </w:hyperlink>
      <w:r w:rsidR="00E30C57">
        <w:t>7</w:t>
      </w:r>
    </w:p>
    <w:p w:rsidR="00AE371B" w:rsidRDefault="00E33A99" w:rsidP="00EE4440">
      <w:pPr>
        <w:pStyle w:val="Sumrio1"/>
        <w:jc w:val="both"/>
      </w:pPr>
      <w:hyperlink w:anchor="_Toc396482383" w:history="1">
        <w:r w:rsidR="00D86D75" w:rsidRPr="00712967">
          <w:rPr>
            <w:rStyle w:val="Hyperlink"/>
          </w:rPr>
          <w:t>III</w:t>
        </w:r>
        <w:r w:rsidR="008D7B53" w:rsidRPr="00712967">
          <w:rPr>
            <w:rStyle w:val="Hyperlink"/>
          </w:rPr>
          <w:t>.</w:t>
        </w:r>
        <w:r w:rsidR="00AE371B" w:rsidRPr="00712967">
          <w:rPr>
            <w:rFonts w:ascii="Calibri" w:hAnsi="Calibri"/>
            <w:sz w:val="22"/>
            <w:szCs w:val="22"/>
          </w:rPr>
          <w:tab/>
        </w:r>
        <w:r w:rsidR="00AE371B" w:rsidRPr="00712967">
          <w:rPr>
            <w:rStyle w:val="Hyperlink"/>
          </w:rPr>
          <w:t>CONCLUSÃO</w:t>
        </w:r>
        <w:r w:rsidR="00AE371B" w:rsidRPr="00712967">
          <w:rPr>
            <w:webHidden/>
          </w:rPr>
          <w:tab/>
        </w:r>
        <w:r w:rsidR="0076124D" w:rsidRPr="00712967">
          <w:rPr>
            <w:webHidden/>
          </w:rPr>
          <w:t>....</w:t>
        </w:r>
        <w:r w:rsidR="00AE371B" w:rsidRPr="00712967">
          <w:t>.</w:t>
        </w:r>
      </w:hyperlink>
      <w:r w:rsidR="00BD0DAC" w:rsidRPr="00712967">
        <w:t xml:space="preserve"> </w:t>
      </w:r>
      <w:r w:rsidR="00E04678">
        <w:t>7</w:t>
      </w:r>
    </w:p>
    <w:p w:rsidR="00BB3EFB" w:rsidRPr="00861C03" w:rsidRDefault="00BB3EFB" w:rsidP="00390197">
      <w:pPr>
        <w:tabs>
          <w:tab w:val="left" w:pos="426"/>
          <w:tab w:val="left" w:pos="8505"/>
        </w:tabs>
        <w:rPr>
          <w:sz w:val="24"/>
          <w:szCs w:val="24"/>
        </w:rPr>
      </w:pPr>
      <w:r w:rsidRPr="00861C03">
        <w:rPr>
          <w:sz w:val="24"/>
          <w:szCs w:val="24"/>
        </w:rPr>
        <w:t>IV.  RECOMENDAÇÕES...............................................................</w:t>
      </w:r>
      <w:r w:rsidR="00390197" w:rsidRPr="00861C03">
        <w:rPr>
          <w:sz w:val="24"/>
          <w:szCs w:val="24"/>
        </w:rPr>
        <w:t>...............................</w:t>
      </w:r>
      <w:r w:rsidRPr="00861C03">
        <w:rPr>
          <w:sz w:val="24"/>
          <w:szCs w:val="24"/>
        </w:rPr>
        <w:t>.</w:t>
      </w:r>
      <w:r w:rsidR="00892BB5">
        <w:rPr>
          <w:sz w:val="24"/>
          <w:szCs w:val="24"/>
        </w:rPr>
        <w:t>1</w:t>
      </w:r>
      <w:r w:rsidR="00E30C57">
        <w:rPr>
          <w:sz w:val="24"/>
          <w:szCs w:val="24"/>
        </w:rPr>
        <w:t>4</w:t>
      </w:r>
    </w:p>
    <w:p w:rsidR="00AE371B" w:rsidRDefault="00AE371B" w:rsidP="00EE4440">
      <w:pPr>
        <w:spacing w:line="360" w:lineRule="auto"/>
        <w:jc w:val="both"/>
      </w:pPr>
      <w:r w:rsidRPr="00712967">
        <w:fldChar w:fldCharType="end"/>
      </w:r>
    </w:p>
    <w:p w:rsidR="00E04678" w:rsidRDefault="00E04678" w:rsidP="00EE4440">
      <w:pPr>
        <w:spacing w:line="360" w:lineRule="auto"/>
        <w:jc w:val="both"/>
        <w:rPr>
          <w:rFonts w:cs="Arial"/>
          <w:b/>
          <w:sz w:val="24"/>
          <w:szCs w:val="24"/>
        </w:rPr>
      </w:pP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052BE1" w:rsidRPr="0069002E" w:rsidRDefault="00052BE1"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B7409F" w:rsidRDefault="00B7409F" w:rsidP="00EE4440">
      <w:pPr>
        <w:spacing w:line="360" w:lineRule="auto"/>
        <w:jc w:val="both"/>
        <w:rPr>
          <w:rFonts w:cs="Arial"/>
          <w:sz w:val="24"/>
          <w:szCs w:val="24"/>
        </w:rPr>
      </w:pPr>
    </w:p>
    <w:p w:rsidR="00377570" w:rsidRDefault="00377570" w:rsidP="00EE4440">
      <w:pPr>
        <w:spacing w:line="360" w:lineRule="auto"/>
        <w:jc w:val="both"/>
        <w:rPr>
          <w:rFonts w:cs="Arial"/>
          <w:sz w:val="24"/>
          <w:szCs w:val="24"/>
        </w:rPr>
      </w:pPr>
    </w:p>
    <w:p w:rsidR="00F873CA" w:rsidRDefault="00F873CA" w:rsidP="00EE4440">
      <w:pPr>
        <w:spacing w:line="360" w:lineRule="auto"/>
        <w:jc w:val="both"/>
        <w:rPr>
          <w:rFonts w:cs="Arial"/>
          <w:sz w:val="24"/>
          <w:szCs w:val="24"/>
        </w:rPr>
      </w:pPr>
    </w:p>
    <w:p w:rsidR="00377570" w:rsidRDefault="00377570" w:rsidP="00EE4440">
      <w:pPr>
        <w:spacing w:line="360" w:lineRule="auto"/>
        <w:jc w:val="both"/>
        <w:rPr>
          <w:rFonts w:cs="Arial"/>
          <w:sz w:val="24"/>
          <w:szCs w:val="24"/>
        </w:rPr>
      </w:pPr>
    </w:p>
    <w:p w:rsidR="00CA23C2" w:rsidRDefault="00CA23C2" w:rsidP="00EE4440">
      <w:pPr>
        <w:spacing w:line="360" w:lineRule="auto"/>
        <w:jc w:val="both"/>
        <w:rPr>
          <w:rFonts w:cs="Arial"/>
          <w:sz w:val="24"/>
          <w:szCs w:val="24"/>
        </w:rPr>
      </w:pPr>
    </w:p>
    <w:p w:rsidR="00786DE6" w:rsidRPr="0069002E" w:rsidRDefault="00786DE6" w:rsidP="00EE4440">
      <w:pPr>
        <w:jc w:val="both"/>
        <w:rPr>
          <w:b/>
          <w:sz w:val="24"/>
          <w:szCs w:val="24"/>
        </w:rPr>
      </w:pPr>
      <w:r w:rsidRPr="0069002E">
        <w:rPr>
          <w:b/>
          <w:sz w:val="24"/>
          <w:szCs w:val="24"/>
        </w:rPr>
        <w:lastRenderedPageBreak/>
        <w:t>APRESENTAÇÃO</w:t>
      </w:r>
    </w:p>
    <w:p w:rsidR="00C660E4" w:rsidRPr="00C660E4" w:rsidRDefault="00C660E4" w:rsidP="00EE4440">
      <w:pPr>
        <w:ind w:firstLine="900"/>
        <w:jc w:val="both"/>
        <w:rPr>
          <w:sz w:val="12"/>
          <w:szCs w:val="12"/>
        </w:rPr>
      </w:pPr>
    </w:p>
    <w:p w:rsidR="00786DE6" w:rsidRPr="0069002E" w:rsidRDefault="00786DE6" w:rsidP="00E33C1E">
      <w:pPr>
        <w:ind w:firstLine="851"/>
        <w:jc w:val="both"/>
        <w:rPr>
          <w:rFonts w:cs="Arial"/>
          <w:sz w:val="24"/>
          <w:szCs w:val="24"/>
        </w:rPr>
      </w:pPr>
      <w:r w:rsidRPr="0069002E">
        <w:rPr>
          <w:sz w:val="24"/>
          <w:szCs w:val="24"/>
        </w:rPr>
        <w:t xml:space="preserve">É atribuição constitucional do sistema de controle interno de cada Poder a </w:t>
      </w:r>
      <w:r w:rsidRPr="0069002E">
        <w:rPr>
          <w:rFonts w:cs="Arial"/>
          <w:sz w:val="24"/>
          <w:szCs w:val="24"/>
        </w:rPr>
        <w:t>fiscalização contábil, financeira, orçamentária, operacional e patrimonial da União</w:t>
      </w:r>
      <w:r w:rsidRPr="0069002E">
        <w:rPr>
          <w:sz w:val="24"/>
          <w:szCs w:val="24"/>
        </w:rPr>
        <w:t xml:space="preserve">, </w:t>
      </w:r>
      <w:r w:rsidRPr="0069002E">
        <w:rPr>
          <w:rFonts w:cs="Arial"/>
          <w:sz w:val="24"/>
          <w:szCs w:val="24"/>
        </w:rPr>
        <w:t xml:space="preserve">bem como a sua manutenção de forma integrada pelos Poderes Legislativo, Executivo e Judiciário, conforme previsto </w:t>
      </w:r>
      <w:r w:rsidRPr="0069002E">
        <w:rPr>
          <w:sz w:val="24"/>
          <w:szCs w:val="24"/>
        </w:rPr>
        <w:t>nos artigos 70 e 74 da Constituição Federal de 1988 (CF/88).</w:t>
      </w:r>
    </w:p>
    <w:p w:rsidR="00786DE6" w:rsidRPr="0069002E" w:rsidRDefault="00786DE6" w:rsidP="00E33C1E">
      <w:pPr>
        <w:ind w:firstLine="851"/>
        <w:jc w:val="both"/>
        <w:rPr>
          <w:rFonts w:cs="Arial"/>
          <w:sz w:val="24"/>
          <w:szCs w:val="24"/>
        </w:rPr>
      </w:pPr>
      <w:r w:rsidRPr="0069002E">
        <w:rPr>
          <w:rFonts w:cs="Arial"/>
          <w:sz w:val="24"/>
          <w:szCs w:val="24"/>
        </w:rPr>
        <w:t xml:space="preserve">A fim de atender ao quanto disposto na CF/88, o Conselho Nacional de Justiça (CNJ) editou a Resolução nº 86/2009 e a Resolução nº 171/2013, que </w:t>
      </w:r>
      <w:r w:rsidR="00F53A5A">
        <w:rPr>
          <w:rFonts w:cs="Arial"/>
          <w:sz w:val="24"/>
          <w:szCs w:val="24"/>
        </w:rPr>
        <w:t>tratam</w:t>
      </w:r>
      <w:r w:rsidRPr="0069002E">
        <w:rPr>
          <w:rFonts w:cs="Arial"/>
          <w:sz w:val="24"/>
          <w:szCs w:val="24"/>
        </w:rPr>
        <w:t xml:space="preserve"> sobre a organização e funcionamento das unidades de controle interno do Poder Judiciário e as normas de auditoria, inspeção e fiscalização, nas unidades jurisdicionadas vinculadas ao CNJ.</w:t>
      </w:r>
    </w:p>
    <w:p w:rsidR="00010982" w:rsidRDefault="00786DE6" w:rsidP="00E33C1E">
      <w:pPr>
        <w:ind w:firstLine="851"/>
        <w:jc w:val="both"/>
        <w:rPr>
          <w:rFonts w:cs="Arial"/>
          <w:sz w:val="24"/>
          <w:szCs w:val="24"/>
        </w:rPr>
      </w:pPr>
      <w:r w:rsidRPr="0069002E">
        <w:rPr>
          <w:rFonts w:cs="Arial"/>
          <w:sz w:val="24"/>
          <w:szCs w:val="24"/>
        </w:rPr>
        <w:t xml:space="preserve">Com o fito de normatizar e regulamentar os dispositivos constitucionais e infraconstitucionais, além de dar-lhes efetividade, o TRE-BA editou a Resolução nº 05/2013 onde constam as atribuições regulamentares da Seção de Acompanhamento e Orientação à Gestão Administrativa (SEAGES), entre as quais está o acompanhamento da gestão </w:t>
      </w:r>
      <w:r w:rsidR="00615155" w:rsidRPr="00202936">
        <w:rPr>
          <w:rFonts w:cs="Arial"/>
          <w:sz w:val="24"/>
          <w:szCs w:val="24"/>
        </w:rPr>
        <w:t>operacional</w:t>
      </w:r>
      <w:r w:rsidRPr="0069002E">
        <w:rPr>
          <w:rFonts w:cs="Arial"/>
          <w:sz w:val="24"/>
          <w:szCs w:val="24"/>
        </w:rPr>
        <w:t xml:space="preserve"> no tocante aos princípios da legalidade, impessoalidade, moralidade, eficiência e eficácia. Reza também o artigo 18 da referida Resolução, nos seus incisos I e </w:t>
      </w:r>
      <w:r w:rsidR="00010982">
        <w:rPr>
          <w:rFonts w:cs="Arial"/>
          <w:sz w:val="24"/>
          <w:szCs w:val="24"/>
        </w:rPr>
        <w:t>IX</w:t>
      </w:r>
      <w:r w:rsidRPr="0069002E">
        <w:rPr>
          <w:rFonts w:cs="Arial"/>
          <w:sz w:val="24"/>
          <w:szCs w:val="24"/>
        </w:rPr>
        <w:t>, que compete à SEAGES</w:t>
      </w:r>
      <w:r w:rsidR="000A6410">
        <w:rPr>
          <w:rFonts w:cs="Arial"/>
          <w:sz w:val="24"/>
          <w:szCs w:val="24"/>
        </w:rPr>
        <w:t>, dentre outras atribuições,</w:t>
      </w:r>
      <w:r w:rsidRPr="0069002E">
        <w:rPr>
          <w:rFonts w:cs="Arial"/>
          <w:sz w:val="24"/>
          <w:szCs w:val="24"/>
        </w:rPr>
        <w:t xml:space="preserve"> a elaboração do Plano Anual de Fiscalização e </w:t>
      </w:r>
      <w:r w:rsidR="000A6410">
        <w:rPr>
          <w:rFonts w:cs="Arial"/>
          <w:sz w:val="24"/>
          <w:szCs w:val="24"/>
        </w:rPr>
        <w:t xml:space="preserve">a </w:t>
      </w:r>
      <w:r w:rsidR="00010982">
        <w:rPr>
          <w:rFonts w:cs="Arial"/>
          <w:sz w:val="24"/>
          <w:szCs w:val="24"/>
        </w:rPr>
        <w:t>prestação de orientação de caráter preventivo</w:t>
      </w:r>
      <w:r w:rsidR="003B2FBB">
        <w:rPr>
          <w:rFonts w:cs="Arial"/>
          <w:sz w:val="24"/>
          <w:szCs w:val="24"/>
        </w:rPr>
        <w:t xml:space="preserve"> aos gestores.</w:t>
      </w:r>
      <w:r w:rsidR="00485096">
        <w:rPr>
          <w:rFonts w:cs="Arial"/>
          <w:sz w:val="24"/>
          <w:szCs w:val="24"/>
        </w:rPr>
        <w:t xml:space="preserve"> Mais recentemente, foi aprovada a Resolução Administrativa nº. 06/2015, de 04 de maio de 2015, que estabelece as diretrizes para o exercício das atividades da Secretaria de Controle Interno e Auditoria no âmbito deste Regional.  </w:t>
      </w:r>
    </w:p>
    <w:p w:rsidR="001D66BA" w:rsidRPr="0029705A" w:rsidRDefault="00FA0337" w:rsidP="001D66BA">
      <w:pPr>
        <w:ind w:firstLine="851"/>
        <w:jc w:val="both"/>
        <w:rPr>
          <w:rFonts w:cs="Arial"/>
          <w:sz w:val="24"/>
          <w:szCs w:val="24"/>
        </w:rPr>
      </w:pPr>
      <w:r w:rsidRPr="0029705A">
        <w:rPr>
          <w:sz w:val="24"/>
          <w:szCs w:val="24"/>
        </w:rPr>
        <w:t xml:space="preserve">Com base </w:t>
      </w:r>
      <w:r w:rsidR="005D21DE" w:rsidRPr="0029705A">
        <w:rPr>
          <w:sz w:val="24"/>
          <w:szCs w:val="24"/>
        </w:rPr>
        <w:t xml:space="preserve">no </w:t>
      </w:r>
      <w:r w:rsidR="0004496F" w:rsidRPr="0029705A">
        <w:rPr>
          <w:sz w:val="24"/>
          <w:szCs w:val="24"/>
        </w:rPr>
        <w:t>Plano Anu</w:t>
      </w:r>
      <w:r w:rsidR="005D21DE" w:rsidRPr="0029705A">
        <w:rPr>
          <w:sz w:val="24"/>
          <w:szCs w:val="24"/>
        </w:rPr>
        <w:t>a</w:t>
      </w:r>
      <w:r w:rsidR="0004496F" w:rsidRPr="0029705A">
        <w:rPr>
          <w:sz w:val="24"/>
          <w:szCs w:val="24"/>
        </w:rPr>
        <w:t xml:space="preserve">l de Fiscalização, </w:t>
      </w:r>
      <w:r w:rsidR="005D21DE" w:rsidRPr="0029705A">
        <w:rPr>
          <w:rFonts w:cs="Arial"/>
          <w:sz w:val="24"/>
          <w:szCs w:val="24"/>
        </w:rPr>
        <w:t xml:space="preserve">que é parte integrante do Plano Anual de Atividades 2015 (PAA2015), </w:t>
      </w:r>
      <w:r w:rsidR="001D66BA" w:rsidRPr="0029705A">
        <w:rPr>
          <w:sz w:val="24"/>
          <w:szCs w:val="24"/>
        </w:rPr>
        <w:t xml:space="preserve">encaminhou-se à Diretoria Geral desta Casa </w:t>
      </w:r>
      <w:r w:rsidR="001D66BA" w:rsidRPr="0029705A">
        <w:rPr>
          <w:rFonts w:cs="Arial"/>
          <w:sz w:val="24"/>
          <w:szCs w:val="24"/>
        </w:rPr>
        <w:t xml:space="preserve">o Memorando nº 01/2015/SCI/COGES/SEAGES, solicitando que, ao final de cada bimestre, fosse enviada a esta Unidade a relação dos procedimentos concluídos no período de referência. </w:t>
      </w:r>
      <w:proofErr w:type="gramStart"/>
      <w:r w:rsidR="001D66BA" w:rsidRPr="0029705A">
        <w:rPr>
          <w:rFonts w:cs="Arial"/>
          <w:sz w:val="24"/>
          <w:szCs w:val="24"/>
        </w:rPr>
        <w:t>Informou-se</w:t>
      </w:r>
      <w:proofErr w:type="gramEnd"/>
      <w:r w:rsidR="001D66BA" w:rsidRPr="0029705A">
        <w:rPr>
          <w:rFonts w:cs="Arial"/>
          <w:sz w:val="24"/>
          <w:szCs w:val="24"/>
        </w:rPr>
        <w:t xml:space="preserve">, por meio do mesmo documento, </w:t>
      </w:r>
      <w:r w:rsidR="005D21DE" w:rsidRPr="0029705A">
        <w:rPr>
          <w:rFonts w:cs="Arial"/>
          <w:sz w:val="24"/>
          <w:szCs w:val="24"/>
        </w:rPr>
        <w:t>os parâmetros a serem utilizados para a seleção das amostras, quais sejam</w:t>
      </w:r>
      <w:r w:rsidR="001D66BA" w:rsidRPr="0029705A">
        <w:rPr>
          <w:rFonts w:cs="Arial"/>
          <w:sz w:val="24"/>
          <w:szCs w:val="24"/>
        </w:rPr>
        <w:t>:</w:t>
      </w:r>
    </w:p>
    <w:p w:rsidR="001D66BA" w:rsidRPr="0029705A" w:rsidRDefault="001D66BA" w:rsidP="001D66BA">
      <w:pPr>
        <w:numPr>
          <w:ilvl w:val="0"/>
          <w:numId w:val="8"/>
        </w:numPr>
        <w:jc w:val="both"/>
        <w:rPr>
          <w:rFonts w:cs="Arial"/>
          <w:sz w:val="24"/>
          <w:szCs w:val="24"/>
        </w:rPr>
      </w:pPr>
      <w:r w:rsidRPr="0029705A">
        <w:rPr>
          <w:rFonts w:cs="Arial"/>
          <w:sz w:val="24"/>
          <w:szCs w:val="24"/>
        </w:rPr>
        <w:t>100% (cem por cento) dos procedimentos licitatórios que tenham por objeto obras e serviços de engenharia;</w:t>
      </w:r>
    </w:p>
    <w:p w:rsidR="001D66BA" w:rsidRPr="0029705A" w:rsidRDefault="001D66BA" w:rsidP="001D66BA">
      <w:pPr>
        <w:numPr>
          <w:ilvl w:val="0"/>
          <w:numId w:val="8"/>
        </w:numPr>
        <w:jc w:val="both"/>
        <w:rPr>
          <w:rFonts w:cs="Arial"/>
          <w:sz w:val="24"/>
          <w:szCs w:val="24"/>
        </w:rPr>
      </w:pPr>
      <w:r w:rsidRPr="0029705A">
        <w:rPr>
          <w:rFonts w:cs="Arial"/>
          <w:sz w:val="24"/>
          <w:szCs w:val="24"/>
        </w:rPr>
        <w:t>100% (cem por cento) dos procedimentos licitatórios para contratação de serviços contínuos com alocação exclusiva de mão de obra;</w:t>
      </w:r>
    </w:p>
    <w:p w:rsidR="001D66BA" w:rsidRPr="0029705A" w:rsidRDefault="001D66BA" w:rsidP="001D66BA">
      <w:pPr>
        <w:numPr>
          <w:ilvl w:val="0"/>
          <w:numId w:val="8"/>
        </w:numPr>
        <w:jc w:val="both"/>
        <w:rPr>
          <w:rFonts w:cs="Arial"/>
          <w:sz w:val="24"/>
          <w:szCs w:val="24"/>
        </w:rPr>
      </w:pPr>
      <w:r w:rsidRPr="0029705A">
        <w:rPr>
          <w:rFonts w:cs="Arial"/>
          <w:sz w:val="24"/>
          <w:szCs w:val="24"/>
        </w:rPr>
        <w:t>50% (cinquenta por cento) dos procedimentos licitatórios não enquadrados nas alíneas anteriores, escolhidos em função de sua relevância e materialidade.</w:t>
      </w:r>
    </w:p>
    <w:p w:rsidR="00AB6882" w:rsidRPr="0029705A" w:rsidRDefault="00AB6882" w:rsidP="00E33C1E">
      <w:pPr>
        <w:ind w:firstLine="851"/>
        <w:jc w:val="both"/>
        <w:rPr>
          <w:rFonts w:cs="Arial"/>
          <w:sz w:val="24"/>
          <w:szCs w:val="24"/>
        </w:rPr>
      </w:pPr>
      <w:r w:rsidRPr="0029705A">
        <w:rPr>
          <w:rFonts w:cs="Arial"/>
          <w:sz w:val="24"/>
          <w:szCs w:val="24"/>
        </w:rPr>
        <w:t xml:space="preserve">Fundada </w:t>
      </w:r>
      <w:r w:rsidR="005D21DE" w:rsidRPr="0029705A">
        <w:rPr>
          <w:rFonts w:cs="Arial"/>
          <w:sz w:val="24"/>
          <w:szCs w:val="24"/>
        </w:rPr>
        <w:t xml:space="preserve">nos normativos </w:t>
      </w:r>
      <w:r w:rsidR="008022CF" w:rsidRPr="0029705A">
        <w:rPr>
          <w:rFonts w:cs="Arial"/>
          <w:sz w:val="24"/>
          <w:szCs w:val="24"/>
        </w:rPr>
        <w:t>supramencionados</w:t>
      </w:r>
      <w:r w:rsidR="005D21DE" w:rsidRPr="0029705A">
        <w:rPr>
          <w:rFonts w:cs="Arial"/>
          <w:sz w:val="24"/>
          <w:szCs w:val="24"/>
        </w:rPr>
        <w:t xml:space="preserve"> e </w:t>
      </w:r>
      <w:r w:rsidR="001D66BA" w:rsidRPr="0029705A">
        <w:rPr>
          <w:rFonts w:cs="Arial"/>
          <w:sz w:val="24"/>
          <w:szCs w:val="24"/>
        </w:rPr>
        <w:t xml:space="preserve">nas informações obtidas em resposta ao Memorando nº 01/2015/SCI/COGES/SEAGES, </w:t>
      </w:r>
      <w:r w:rsidRPr="0029705A">
        <w:rPr>
          <w:rFonts w:cs="Arial"/>
          <w:sz w:val="24"/>
          <w:szCs w:val="24"/>
        </w:rPr>
        <w:t>a SEAGES elaborou o presente relatório de fiscalização, que teve como objetivo avaliar</w:t>
      </w:r>
      <w:r w:rsidR="003A0C4F" w:rsidRPr="0029705A">
        <w:rPr>
          <w:rFonts w:cs="Arial"/>
          <w:sz w:val="24"/>
          <w:szCs w:val="24"/>
        </w:rPr>
        <w:t xml:space="preserve"> a conformidade dos</w:t>
      </w:r>
      <w:r w:rsidRPr="0029705A">
        <w:rPr>
          <w:rFonts w:cs="Arial"/>
          <w:sz w:val="24"/>
          <w:szCs w:val="24"/>
        </w:rPr>
        <w:t xml:space="preserve"> procedimentos licitatórios concluídos no </w:t>
      </w:r>
      <w:r w:rsidR="005D21DE" w:rsidRPr="0029705A">
        <w:rPr>
          <w:rFonts w:cs="Arial"/>
          <w:sz w:val="24"/>
          <w:szCs w:val="24"/>
        </w:rPr>
        <w:t>quinto</w:t>
      </w:r>
      <w:r w:rsidRPr="0029705A">
        <w:rPr>
          <w:rFonts w:cs="Arial"/>
          <w:sz w:val="24"/>
          <w:szCs w:val="24"/>
        </w:rPr>
        <w:t xml:space="preserve"> bimestre de 2015</w:t>
      </w:r>
      <w:r w:rsidR="00861C03" w:rsidRPr="0029705A">
        <w:rPr>
          <w:rFonts w:cs="Arial"/>
          <w:sz w:val="24"/>
          <w:szCs w:val="24"/>
        </w:rPr>
        <w:t xml:space="preserve"> (</w:t>
      </w:r>
      <w:r w:rsidR="005D21DE" w:rsidRPr="0029705A">
        <w:rPr>
          <w:rFonts w:cs="Arial"/>
          <w:sz w:val="24"/>
          <w:szCs w:val="24"/>
        </w:rPr>
        <w:t>setembro</w:t>
      </w:r>
      <w:r w:rsidR="00861C03" w:rsidRPr="0029705A">
        <w:rPr>
          <w:rFonts w:cs="Arial"/>
          <w:sz w:val="24"/>
          <w:szCs w:val="24"/>
        </w:rPr>
        <w:t>/</w:t>
      </w:r>
      <w:r w:rsidR="005D21DE" w:rsidRPr="0029705A">
        <w:rPr>
          <w:rFonts w:cs="Arial"/>
          <w:sz w:val="24"/>
          <w:szCs w:val="24"/>
        </w:rPr>
        <w:t>outubro</w:t>
      </w:r>
      <w:r w:rsidR="00861C03" w:rsidRPr="0029705A">
        <w:rPr>
          <w:rFonts w:cs="Arial"/>
          <w:sz w:val="24"/>
          <w:szCs w:val="24"/>
        </w:rPr>
        <w:t>)</w:t>
      </w:r>
      <w:r w:rsidRPr="0029705A">
        <w:rPr>
          <w:rFonts w:cs="Arial"/>
          <w:sz w:val="24"/>
          <w:szCs w:val="24"/>
        </w:rPr>
        <w:t>.</w:t>
      </w:r>
    </w:p>
    <w:p w:rsidR="00786DE6" w:rsidRPr="0069002E" w:rsidRDefault="001B6545" w:rsidP="00EE4440">
      <w:pPr>
        <w:ind w:firstLine="900"/>
        <w:jc w:val="both"/>
        <w:rPr>
          <w:rFonts w:cs="Arial"/>
          <w:sz w:val="24"/>
          <w:szCs w:val="24"/>
        </w:rPr>
      </w:pPr>
      <w:r w:rsidRPr="0029705A">
        <w:rPr>
          <w:rFonts w:cs="Arial"/>
          <w:sz w:val="24"/>
          <w:szCs w:val="24"/>
        </w:rPr>
        <w:t>O</w:t>
      </w:r>
      <w:r w:rsidR="00786DE6" w:rsidRPr="0029705A">
        <w:rPr>
          <w:rFonts w:cs="Arial"/>
          <w:sz w:val="24"/>
          <w:szCs w:val="24"/>
        </w:rPr>
        <w:t xml:space="preserve"> present</w:t>
      </w:r>
      <w:r w:rsidR="00CA2088" w:rsidRPr="0029705A">
        <w:rPr>
          <w:rFonts w:cs="Arial"/>
          <w:sz w:val="24"/>
          <w:szCs w:val="24"/>
        </w:rPr>
        <w:t xml:space="preserve">e relatório está estruturado em </w:t>
      </w:r>
      <w:r w:rsidR="00BB3EFB" w:rsidRPr="0029705A">
        <w:rPr>
          <w:rFonts w:cs="Arial"/>
          <w:sz w:val="24"/>
          <w:szCs w:val="24"/>
        </w:rPr>
        <w:t>cinco</w:t>
      </w:r>
      <w:r w:rsidR="00786DE6" w:rsidRPr="0029705A">
        <w:rPr>
          <w:rFonts w:cs="Arial"/>
          <w:sz w:val="24"/>
          <w:szCs w:val="24"/>
        </w:rPr>
        <w:t xml:space="preserve"> partes, a</w:t>
      </w:r>
      <w:r w:rsidR="00786DE6" w:rsidRPr="00861C03">
        <w:rPr>
          <w:rFonts w:cs="Arial"/>
          <w:sz w:val="24"/>
          <w:szCs w:val="24"/>
        </w:rPr>
        <w:t xml:space="preserve"> saber: Introdução, Achados d</w:t>
      </w:r>
      <w:r w:rsidR="00FF0A59" w:rsidRPr="00861C03">
        <w:rPr>
          <w:rFonts w:cs="Arial"/>
          <w:sz w:val="24"/>
          <w:szCs w:val="24"/>
        </w:rPr>
        <w:t>a</w:t>
      </w:r>
      <w:r w:rsidR="00786DE6" w:rsidRPr="00861C03">
        <w:rPr>
          <w:rFonts w:cs="Arial"/>
          <w:sz w:val="24"/>
          <w:szCs w:val="24"/>
        </w:rPr>
        <w:t xml:space="preserve"> </w:t>
      </w:r>
      <w:r w:rsidR="00FF0A59" w:rsidRPr="00861C03">
        <w:rPr>
          <w:rFonts w:cs="Arial"/>
          <w:sz w:val="24"/>
          <w:szCs w:val="24"/>
        </w:rPr>
        <w:t>Fiscalização</w:t>
      </w:r>
      <w:r w:rsidR="00786DE6" w:rsidRPr="00861C03">
        <w:rPr>
          <w:rFonts w:cs="Arial"/>
          <w:sz w:val="24"/>
          <w:szCs w:val="24"/>
        </w:rPr>
        <w:t>, Conclusão</w:t>
      </w:r>
      <w:r w:rsidR="00D436DA" w:rsidRPr="00861C03">
        <w:rPr>
          <w:rFonts w:cs="Arial"/>
          <w:sz w:val="24"/>
          <w:szCs w:val="24"/>
        </w:rPr>
        <w:t>, Recomendações e Anexo</w:t>
      </w:r>
      <w:r w:rsidR="0015103D" w:rsidRPr="00861C03">
        <w:rPr>
          <w:rFonts w:cs="Arial"/>
          <w:sz w:val="24"/>
          <w:szCs w:val="24"/>
        </w:rPr>
        <w:t>.</w:t>
      </w:r>
    </w:p>
    <w:p w:rsidR="00CA2088" w:rsidRDefault="00CA2088" w:rsidP="00EE4440">
      <w:pPr>
        <w:jc w:val="both"/>
        <w:rPr>
          <w:rFonts w:cs="Arial"/>
          <w:sz w:val="24"/>
          <w:szCs w:val="24"/>
        </w:rPr>
      </w:pPr>
    </w:p>
    <w:p w:rsidR="005D21DE" w:rsidRDefault="005D21DE" w:rsidP="00EE4440">
      <w:pPr>
        <w:jc w:val="both"/>
        <w:rPr>
          <w:rFonts w:cs="Arial"/>
          <w:b/>
          <w:sz w:val="24"/>
          <w:szCs w:val="24"/>
        </w:rPr>
      </w:pPr>
    </w:p>
    <w:p w:rsidR="00AE5F84" w:rsidRDefault="005C686D" w:rsidP="00EE4440">
      <w:pPr>
        <w:jc w:val="both"/>
        <w:rPr>
          <w:rFonts w:cs="Arial"/>
          <w:b/>
          <w:sz w:val="24"/>
          <w:szCs w:val="24"/>
        </w:rPr>
      </w:pPr>
      <w:r>
        <w:rPr>
          <w:rFonts w:cs="Arial"/>
          <w:b/>
          <w:sz w:val="24"/>
          <w:szCs w:val="24"/>
        </w:rPr>
        <w:lastRenderedPageBreak/>
        <w:t>I</w:t>
      </w:r>
      <w:r w:rsidR="009C1E05" w:rsidRPr="0069002E">
        <w:rPr>
          <w:rFonts w:cs="Arial"/>
          <w:b/>
          <w:sz w:val="24"/>
          <w:szCs w:val="24"/>
        </w:rPr>
        <w:t>.</w:t>
      </w:r>
      <w:r w:rsidR="00B7409F" w:rsidRPr="0069002E">
        <w:rPr>
          <w:rFonts w:cs="Arial"/>
          <w:b/>
          <w:sz w:val="24"/>
          <w:szCs w:val="24"/>
        </w:rPr>
        <w:t xml:space="preserve"> </w:t>
      </w:r>
      <w:r w:rsidR="003506AB" w:rsidRPr="0069002E">
        <w:rPr>
          <w:rFonts w:cs="Arial"/>
          <w:b/>
          <w:sz w:val="24"/>
          <w:szCs w:val="24"/>
        </w:rPr>
        <w:t>I</w:t>
      </w:r>
      <w:r w:rsidR="006F72EA" w:rsidRPr="0069002E">
        <w:rPr>
          <w:rFonts w:cs="Arial"/>
          <w:b/>
          <w:sz w:val="24"/>
          <w:szCs w:val="24"/>
        </w:rPr>
        <w:t>NTRODUÇÃO</w:t>
      </w:r>
    </w:p>
    <w:p w:rsidR="00BD0DAC" w:rsidRPr="0069002E" w:rsidRDefault="00BD0DAC" w:rsidP="00EE4440">
      <w:pPr>
        <w:jc w:val="both"/>
        <w:rPr>
          <w:rFonts w:cs="Arial"/>
          <w:b/>
          <w:sz w:val="24"/>
          <w:szCs w:val="24"/>
        </w:rPr>
      </w:pPr>
    </w:p>
    <w:p w:rsidR="00B24504" w:rsidRDefault="00B24504" w:rsidP="00B24504">
      <w:pPr>
        <w:ind w:firstLine="851"/>
        <w:jc w:val="both"/>
        <w:rPr>
          <w:rFonts w:cs="Arial"/>
          <w:sz w:val="24"/>
          <w:szCs w:val="24"/>
        </w:rPr>
      </w:pPr>
      <w:r w:rsidRPr="007C7000">
        <w:rPr>
          <w:rFonts w:cs="Arial"/>
          <w:sz w:val="24"/>
          <w:szCs w:val="24"/>
        </w:rPr>
        <w:t xml:space="preserve">A Secretaria de Controle Interno e Auditoria (SCI), por intermédio da Seção de Acompanhamento e Orientação à Gestão Administrativa (SEAGES) realizou fiscalização dos procedimentos licitatórios </w:t>
      </w:r>
      <w:r>
        <w:rPr>
          <w:rFonts w:cs="Arial"/>
          <w:sz w:val="24"/>
          <w:szCs w:val="24"/>
        </w:rPr>
        <w:t xml:space="preserve">finalizados no quinto bimestre de 2015. </w:t>
      </w:r>
      <w:r w:rsidRPr="007C7000">
        <w:rPr>
          <w:rFonts w:cs="Arial"/>
          <w:sz w:val="24"/>
          <w:szCs w:val="24"/>
        </w:rPr>
        <w:t xml:space="preserve">A atividade teve início em </w:t>
      </w:r>
      <w:r>
        <w:rPr>
          <w:rFonts w:cs="Arial"/>
          <w:sz w:val="24"/>
          <w:szCs w:val="24"/>
        </w:rPr>
        <w:t>novembro</w:t>
      </w:r>
      <w:r w:rsidR="00D511D5">
        <w:rPr>
          <w:rFonts w:cs="Arial"/>
          <w:sz w:val="24"/>
          <w:szCs w:val="24"/>
        </w:rPr>
        <w:t>/2015</w:t>
      </w:r>
      <w:r>
        <w:rPr>
          <w:rFonts w:cs="Arial"/>
          <w:sz w:val="24"/>
          <w:szCs w:val="24"/>
        </w:rPr>
        <w:t>, após o recebimento do Doc./PAD nº. 119.672/2015, encaminhado pela</w:t>
      </w:r>
      <w:r w:rsidRPr="00D03144">
        <w:rPr>
          <w:rFonts w:cs="Arial"/>
          <w:sz w:val="24"/>
          <w:szCs w:val="24"/>
        </w:rPr>
        <w:t xml:space="preserve"> </w:t>
      </w:r>
      <w:r>
        <w:rPr>
          <w:rFonts w:cs="Arial"/>
          <w:sz w:val="24"/>
          <w:szCs w:val="24"/>
        </w:rPr>
        <w:t xml:space="preserve">Assessoria Especial do Diretor-Geral (ASSESD), </w:t>
      </w:r>
      <w:r w:rsidR="00EF392E" w:rsidRPr="00D511D5">
        <w:rPr>
          <w:rFonts w:cs="Arial"/>
          <w:sz w:val="24"/>
          <w:szCs w:val="24"/>
        </w:rPr>
        <w:t xml:space="preserve">em resposta ao Memorando nº 01/2015/SCI/COGES/SEAGES, </w:t>
      </w:r>
      <w:r w:rsidRPr="00D511D5">
        <w:rPr>
          <w:rFonts w:cs="Arial"/>
          <w:sz w:val="24"/>
          <w:szCs w:val="24"/>
        </w:rPr>
        <w:t xml:space="preserve">contendo a relação </w:t>
      </w:r>
      <w:r>
        <w:rPr>
          <w:rFonts w:cs="Arial"/>
          <w:sz w:val="24"/>
          <w:szCs w:val="24"/>
        </w:rPr>
        <w:t xml:space="preserve">dos certames concluídos no período, </w:t>
      </w:r>
      <w:r w:rsidR="004E2F50">
        <w:rPr>
          <w:rFonts w:cs="Arial"/>
          <w:sz w:val="24"/>
          <w:szCs w:val="24"/>
        </w:rPr>
        <w:t>a seguir listados</w:t>
      </w:r>
      <w:r>
        <w:rPr>
          <w:rFonts w:cs="Arial"/>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6232"/>
        <w:gridCol w:w="1984"/>
      </w:tblGrid>
      <w:tr w:rsidR="00B24504" w:rsidRPr="00503D1A" w:rsidTr="00B24504">
        <w:tc>
          <w:tcPr>
            <w:tcW w:w="1423" w:type="dxa"/>
            <w:shd w:val="clear" w:color="auto" w:fill="auto"/>
          </w:tcPr>
          <w:p w:rsidR="00B24504" w:rsidRPr="00503D1A" w:rsidRDefault="00B24504" w:rsidP="000D52E0">
            <w:pPr>
              <w:tabs>
                <w:tab w:val="num" w:pos="0"/>
              </w:tabs>
              <w:jc w:val="center"/>
            </w:pPr>
            <w:r w:rsidRPr="00503D1A">
              <w:t>PAD</w:t>
            </w:r>
          </w:p>
        </w:tc>
        <w:tc>
          <w:tcPr>
            <w:tcW w:w="6232" w:type="dxa"/>
            <w:shd w:val="clear" w:color="auto" w:fill="auto"/>
          </w:tcPr>
          <w:p w:rsidR="00B24504" w:rsidRPr="00503D1A" w:rsidRDefault="00B24504" w:rsidP="00EF392E">
            <w:pPr>
              <w:tabs>
                <w:tab w:val="num" w:pos="0"/>
              </w:tabs>
              <w:jc w:val="center"/>
            </w:pPr>
            <w:r w:rsidRPr="00503D1A">
              <w:t>Objeto</w:t>
            </w:r>
            <w:r w:rsidR="00EF392E">
              <w:t xml:space="preserve"> </w:t>
            </w:r>
            <w:r w:rsidR="00EF392E" w:rsidRPr="00D511D5">
              <w:t>do Certame</w:t>
            </w:r>
          </w:p>
        </w:tc>
        <w:tc>
          <w:tcPr>
            <w:tcW w:w="1984" w:type="dxa"/>
            <w:shd w:val="clear" w:color="auto" w:fill="auto"/>
          </w:tcPr>
          <w:p w:rsidR="00B24504" w:rsidRPr="00503D1A" w:rsidRDefault="00B24504" w:rsidP="000D52E0">
            <w:pPr>
              <w:tabs>
                <w:tab w:val="num" w:pos="0"/>
              </w:tabs>
              <w:jc w:val="center"/>
            </w:pPr>
            <w:r w:rsidRPr="00503D1A">
              <w:t>Setor Demandante</w:t>
            </w:r>
          </w:p>
        </w:tc>
      </w:tr>
      <w:tr w:rsidR="00B24504" w:rsidRPr="00503D1A" w:rsidTr="00B24504">
        <w:tc>
          <w:tcPr>
            <w:tcW w:w="1423" w:type="dxa"/>
            <w:shd w:val="clear" w:color="auto" w:fill="auto"/>
          </w:tcPr>
          <w:p w:rsidR="00B24504" w:rsidRPr="00503D1A" w:rsidRDefault="00B24504" w:rsidP="000D52E0">
            <w:pPr>
              <w:tabs>
                <w:tab w:val="num" w:pos="0"/>
              </w:tabs>
              <w:jc w:val="both"/>
            </w:pPr>
            <w:r w:rsidRPr="00503D1A">
              <w:t>77/2015</w:t>
            </w:r>
          </w:p>
        </w:tc>
        <w:tc>
          <w:tcPr>
            <w:tcW w:w="6232" w:type="dxa"/>
            <w:shd w:val="clear" w:color="auto" w:fill="FFFFFF" w:themeFill="background1"/>
          </w:tcPr>
          <w:p w:rsidR="00B24504" w:rsidRPr="00503D1A" w:rsidRDefault="00B24504" w:rsidP="000D52E0">
            <w:pPr>
              <w:jc w:val="both"/>
            </w:pPr>
            <w:r w:rsidRPr="00503D1A">
              <w:t>Contratação de serviço especializado de higienização, reparos e restauração de livros de atas de sessões.</w:t>
            </w:r>
          </w:p>
        </w:tc>
        <w:tc>
          <w:tcPr>
            <w:tcW w:w="1984" w:type="dxa"/>
            <w:shd w:val="clear" w:color="auto" w:fill="auto"/>
          </w:tcPr>
          <w:p w:rsidR="00B24504" w:rsidRPr="00503D1A" w:rsidRDefault="00B24504" w:rsidP="000D52E0">
            <w:pPr>
              <w:tabs>
                <w:tab w:val="num" w:pos="0"/>
              </w:tabs>
              <w:jc w:val="center"/>
            </w:pPr>
            <w:r w:rsidRPr="00503D1A">
              <w:t>SEPARQ</w:t>
            </w:r>
          </w:p>
        </w:tc>
      </w:tr>
      <w:tr w:rsidR="00B24504" w:rsidRPr="00503D1A" w:rsidTr="00B24504">
        <w:tc>
          <w:tcPr>
            <w:tcW w:w="1423" w:type="dxa"/>
            <w:shd w:val="clear" w:color="auto" w:fill="auto"/>
          </w:tcPr>
          <w:p w:rsidR="00B24504" w:rsidRPr="00503D1A" w:rsidRDefault="00B24504" w:rsidP="000D52E0">
            <w:pPr>
              <w:tabs>
                <w:tab w:val="num" w:pos="0"/>
              </w:tabs>
              <w:jc w:val="both"/>
            </w:pPr>
            <w:r w:rsidRPr="00503D1A">
              <w:t>3733/2015</w:t>
            </w:r>
          </w:p>
        </w:tc>
        <w:tc>
          <w:tcPr>
            <w:tcW w:w="6232" w:type="dxa"/>
            <w:shd w:val="clear" w:color="auto" w:fill="auto"/>
          </w:tcPr>
          <w:p w:rsidR="00B24504" w:rsidRPr="00503D1A" w:rsidRDefault="00B24504" w:rsidP="000D52E0">
            <w:pPr>
              <w:jc w:val="both"/>
            </w:pPr>
            <w:r w:rsidRPr="00503D1A">
              <w:t>Contratação de seguro total da frota de veículos do TRE-BA, exercício 2015/2016.</w:t>
            </w:r>
          </w:p>
        </w:tc>
        <w:tc>
          <w:tcPr>
            <w:tcW w:w="1984" w:type="dxa"/>
            <w:shd w:val="clear" w:color="auto" w:fill="auto"/>
          </w:tcPr>
          <w:p w:rsidR="00B24504" w:rsidRPr="00503D1A" w:rsidRDefault="00B24504" w:rsidP="000D52E0">
            <w:pPr>
              <w:tabs>
                <w:tab w:val="num" w:pos="0"/>
              </w:tabs>
              <w:jc w:val="center"/>
            </w:pPr>
            <w:r w:rsidRPr="00503D1A">
              <w:t>SETRAN</w:t>
            </w:r>
          </w:p>
        </w:tc>
      </w:tr>
      <w:tr w:rsidR="00B24504" w:rsidRPr="00503D1A" w:rsidTr="00B24504">
        <w:tc>
          <w:tcPr>
            <w:tcW w:w="1423" w:type="dxa"/>
            <w:shd w:val="clear" w:color="auto" w:fill="auto"/>
          </w:tcPr>
          <w:p w:rsidR="00B24504" w:rsidRPr="00503D1A" w:rsidRDefault="00B24504" w:rsidP="000D52E0">
            <w:pPr>
              <w:tabs>
                <w:tab w:val="num" w:pos="0"/>
              </w:tabs>
              <w:jc w:val="both"/>
              <w:rPr>
                <w:b/>
              </w:rPr>
            </w:pPr>
            <w:r w:rsidRPr="00503D1A">
              <w:rPr>
                <w:b/>
              </w:rPr>
              <w:t>325/2015*</w:t>
            </w:r>
          </w:p>
        </w:tc>
        <w:tc>
          <w:tcPr>
            <w:tcW w:w="6232" w:type="dxa"/>
            <w:shd w:val="clear" w:color="auto" w:fill="auto"/>
          </w:tcPr>
          <w:p w:rsidR="00B24504" w:rsidRPr="00503D1A" w:rsidRDefault="00B24504" w:rsidP="000D52E0">
            <w:pPr>
              <w:jc w:val="both"/>
            </w:pPr>
            <w:r w:rsidRPr="00503D1A">
              <w:t xml:space="preserve">Prestação de serviços de </w:t>
            </w:r>
            <w:proofErr w:type="spellStart"/>
            <w:r w:rsidRPr="00503D1A">
              <w:t>Desinsetização</w:t>
            </w:r>
            <w:proofErr w:type="spellEnd"/>
            <w:r w:rsidRPr="00503D1A">
              <w:t xml:space="preserve">, Desratização e </w:t>
            </w:r>
            <w:proofErr w:type="spellStart"/>
            <w:r w:rsidRPr="00503D1A">
              <w:t>Descupinização</w:t>
            </w:r>
            <w:proofErr w:type="spellEnd"/>
            <w:r w:rsidRPr="00503D1A">
              <w:t xml:space="preserve"> nas zonas eleitorais do interior.</w:t>
            </w:r>
          </w:p>
        </w:tc>
        <w:tc>
          <w:tcPr>
            <w:tcW w:w="1984" w:type="dxa"/>
            <w:shd w:val="clear" w:color="auto" w:fill="auto"/>
          </w:tcPr>
          <w:p w:rsidR="00B24504" w:rsidRPr="00503D1A" w:rsidRDefault="00B24504" w:rsidP="000D52E0">
            <w:pPr>
              <w:tabs>
                <w:tab w:val="num" w:pos="0"/>
              </w:tabs>
              <w:jc w:val="center"/>
              <w:rPr>
                <w:b/>
              </w:rPr>
            </w:pPr>
            <w:r w:rsidRPr="00503D1A">
              <w:rPr>
                <w:b/>
              </w:rPr>
              <w:t>SGS – SEMAI</w:t>
            </w:r>
          </w:p>
        </w:tc>
      </w:tr>
      <w:tr w:rsidR="00B24504" w:rsidRPr="00503D1A" w:rsidTr="00B24504">
        <w:tc>
          <w:tcPr>
            <w:tcW w:w="1423" w:type="dxa"/>
            <w:shd w:val="clear" w:color="auto" w:fill="auto"/>
          </w:tcPr>
          <w:p w:rsidR="00B24504" w:rsidRPr="00503D1A" w:rsidRDefault="00B24504" w:rsidP="000D52E0">
            <w:pPr>
              <w:tabs>
                <w:tab w:val="num" w:pos="0"/>
              </w:tabs>
              <w:jc w:val="both"/>
            </w:pPr>
            <w:r w:rsidRPr="00503D1A">
              <w:t>296/2015</w:t>
            </w:r>
          </w:p>
        </w:tc>
        <w:tc>
          <w:tcPr>
            <w:tcW w:w="6232" w:type="dxa"/>
            <w:shd w:val="clear" w:color="auto" w:fill="auto"/>
          </w:tcPr>
          <w:p w:rsidR="00B24504" w:rsidRPr="00503D1A" w:rsidRDefault="00B24504" w:rsidP="000D52E0">
            <w:pPr>
              <w:jc w:val="both"/>
            </w:pPr>
            <w:r w:rsidRPr="00503D1A">
              <w:t>Aquisição de Equipamento Odontológico.</w:t>
            </w:r>
          </w:p>
        </w:tc>
        <w:tc>
          <w:tcPr>
            <w:tcW w:w="1984" w:type="dxa"/>
            <w:shd w:val="clear" w:color="auto" w:fill="auto"/>
          </w:tcPr>
          <w:p w:rsidR="00B24504" w:rsidRPr="00503D1A" w:rsidRDefault="00B24504" w:rsidP="000D52E0">
            <w:pPr>
              <w:tabs>
                <w:tab w:val="num" w:pos="0"/>
              </w:tabs>
              <w:jc w:val="center"/>
            </w:pPr>
            <w:r w:rsidRPr="00503D1A">
              <w:t>COASA</w:t>
            </w:r>
          </w:p>
        </w:tc>
      </w:tr>
      <w:tr w:rsidR="00B24504" w:rsidRPr="00503D1A" w:rsidTr="00B24504">
        <w:tc>
          <w:tcPr>
            <w:tcW w:w="1423" w:type="dxa"/>
            <w:shd w:val="clear" w:color="auto" w:fill="auto"/>
          </w:tcPr>
          <w:p w:rsidR="00B24504" w:rsidRPr="00503D1A" w:rsidRDefault="00B24504" w:rsidP="000D52E0">
            <w:pPr>
              <w:tabs>
                <w:tab w:val="num" w:pos="0"/>
              </w:tabs>
              <w:jc w:val="both"/>
              <w:rPr>
                <w:b/>
              </w:rPr>
            </w:pPr>
            <w:r w:rsidRPr="00503D1A">
              <w:rPr>
                <w:b/>
              </w:rPr>
              <w:t>352/2015*</w:t>
            </w:r>
          </w:p>
        </w:tc>
        <w:tc>
          <w:tcPr>
            <w:tcW w:w="6232" w:type="dxa"/>
            <w:shd w:val="clear" w:color="auto" w:fill="auto"/>
          </w:tcPr>
          <w:p w:rsidR="00B24504" w:rsidRPr="00503D1A" w:rsidRDefault="00B24504" w:rsidP="000D52E0">
            <w:pPr>
              <w:jc w:val="both"/>
            </w:pPr>
            <w:r w:rsidRPr="00503D1A">
              <w:t xml:space="preserve">Registro de preços para aquisição de </w:t>
            </w:r>
            <w:proofErr w:type="spellStart"/>
            <w:r w:rsidRPr="00503D1A">
              <w:t>palletes</w:t>
            </w:r>
            <w:proofErr w:type="spellEnd"/>
            <w:r w:rsidRPr="00503D1A">
              <w:t xml:space="preserve">, cadeados, corrente e fita zebrada. </w:t>
            </w:r>
          </w:p>
        </w:tc>
        <w:tc>
          <w:tcPr>
            <w:tcW w:w="1984" w:type="dxa"/>
            <w:shd w:val="clear" w:color="auto" w:fill="auto"/>
          </w:tcPr>
          <w:p w:rsidR="00B24504" w:rsidRPr="00503D1A" w:rsidRDefault="00B24504" w:rsidP="000D52E0">
            <w:pPr>
              <w:tabs>
                <w:tab w:val="num" w:pos="0"/>
              </w:tabs>
              <w:jc w:val="center"/>
              <w:rPr>
                <w:b/>
              </w:rPr>
            </w:pPr>
            <w:r w:rsidRPr="00503D1A">
              <w:rPr>
                <w:b/>
              </w:rPr>
              <w:t>SGA – SEGEA</w:t>
            </w:r>
          </w:p>
        </w:tc>
      </w:tr>
      <w:tr w:rsidR="00B24504" w:rsidRPr="00503D1A" w:rsidTr="00B24504">
        <w:tc>
          <w:tcPr>
            <w:tcW w:w="1423" w:type="dxa"/>
            <w:shd w:val="clear" w:color="auto" w:fill="auto"/>
          </w:tcPr>
          <w:p w:rsidR="00B24504" w:rsidRPr="00503D1A" w:rsidRDefault="00B24504" w:rsidP="000D52E0">
            <w:pPr>
              <w:tabs>
                <w:tab w:val="num" w:pos="0"/>
              </w:tabs>
              <w:jc w:val="both"/>
            </w:pPr>
            <w:r w:rsidRPr="00503D1A">
              <w:t>3735/2015</w:t>
            </w:r>
          </w:p>
        </w:tc>
        <w:tc>
          <w:tcPr>
            <w:tcW w:w="6232" w:type="dxa"/>
            <w:shd w:val="clear" w:color="auto" w:fill="auto"/>
          </w:tcPr>
          <w:p w:rsidR="00B24504" w:rsidRPr="00503D1A" w:rsidRDefault="00B24504" w:rsidP="000D52E0">
            <w:pPr>
              <w:jc w:val="both"/>
            </w:pPr>
            <w:r w:rsidRPr="00503D1A">
              <w:t>Registro de Preços para eventual aquisição de pneus e acessórios para pneus.</w:t>
            </w:r>
          </w:p>
        </w:tc>
        <w:tc>
          <w:tcPr>
            <w:tcW w:w="1984" w:type="dxa"/>
            <w:shd w:val="clear" w:color="auto" w:fill="auto"/>
          </w:tcPr>
          <w:p w:rsidR="00B24504" w:rsidRPr="00503D1A" w:rsidRDefault="00B24504" w:rsidP="000D52E0">
            <w:pPr>
              <w:tabs>
                <w:tab w:val="num" w:pos="0"/>
              </w:tabs>
              <w:jc w:val="center"/>
            </w:pPr>
            <w:r w:rsidRPr="00503D1A">
              <w:t>SETRAN</w:t>
            </w:r>
          </w:p>
        </w:tc>
      </w:tr>
      <w:tr w:rsidR="00B24504" w:rsidRPr="00503D1A" w:rsidTr="00B24504">
        <w:tc>
          <w:tcPr>
            <w:tcW w:w="1423" w:type="dxa"/>
            <w:shd w:val="clear" w:color="auto" w:fill="auto"/>
          </w:tcPr>
          <w:p w:rsidR="00B24504" w:rsidRPr="00503D1A" w:rsidRDefault="00B24504" w:rsidP="000D52E0">
            <w:pPr>
              <w:tabs>
                <w:tab w:val="num" w:pos="0"/>
              </w:tabs>
              <w:jc w:val="both"/>
              <w:rPr>
                <w:b/>
              </w:rPr>
            </w:pPr>
            <w:r w:rsidRPr="00503D1A">
              <w:rPr>
                <w:b/>
              </w:rPr>
              <w:t>54/2015*</w:t>
            </w:r>
          </w:p>
        </w:tc>
        <w:tc>
          <w:tcPr>
            <w:tcW w:w="6232" w:type="dxa"/>
            <w:shd w:val="clear" w:color="auto" w:fill="auto"/>
          </w:tcPr>
          <w:p w:rsidR="00B24504" w:rsidRPr="00503D1A" w:rsidRDefault="00B24504" w:rsidP="000D52E0">
            <w:pPr>
              <w:jc w:val="both"/>
            </w:pPr>
            <w:r w:rsidRPr="00503D1A">
              <w:t>Contratação de empresa especializada em processo de seleção pública para o ingresso em programa de estágio no TRE-BA.</w:t>
            </w:r>
          </w:p>
        </w:tc>
        <w:tc>
          <w:tcPr>
            <w:tcW w:w="1984" w:type="dxa"/>
            <w:shd w:val="clear" w:color="auto" w:fill="auto"/>
          </w:tcPr>
          <w:p w:rsidR="00B24504" w:rsidRPr="00503D1A" w:rsidRDefault="00B24504" w:rsidP="000D52E0">
            <w:pPr>
              <w:tabs>
                <w:tab w:val="num" w:pos="0"/>
              </w:tabs>
              <w:jc w:val="center"/>
              <w:rPr>
                <w:b/>
              </w:rPr>
            </w:pPr>
            <w:r w:rsidRPr="00503D1A">
              <w:rPr>
                <w:b/>
              </w:rPr>
              <w:t>SGP – COEDE</w:t>
            </w:r>
          </w:p>
        </w:tc>
      </w:tr>
      <w:tr w:rsidR="00B24504" w:rsidRPr="00503D1A" w:rsidTr="00B24504">
        <w:tc>
          <w:tcPr>
            <w:tcW w:w="1423" w:type="dxa"/>
            <w:shd w:val="clear" w:color="auto" w:fill="auto"/>
          </w:tcPr>
          <w:p w:rsidR="00B24504" w:rsidRPr="00503D1A" w:rsidRDefault="00B24504" w:rsidP="000D52E0">
            <w:pPr>
              <w:tabs>
                <w:tab w:val="num" w:pos="0"/>
              </w:tabs>
              <w:jc w:val="both"/>
              <w:rPr>
                <w:b/>
              </w:rPr>
            </w:pPr>
            <w:r w:rsidRPr="00503D1A">
              <w:rPr>
                <w:b/>
              </w:rPr>
              <w:t>1912/2015*</w:t>
            </w:r>
          </w:p>
        </w:tc>
        <w:tc>
          <w:tcPr>
            <w:tcW w:w="6232" w:type="dxa"/>
            <w:shd w:val="clear" w:color="auto" w:fill="auto"/>
          </w:tcPr>
          <w:p w:rsidR="00B24504" w:rsidRPr="00503D1A" w:rsidRDefault="00B24504" w:rsidP="000D52E0">
            <w:pPr>
              <w:jc w:val="both"/>
            </w:pPr>
            <w:r w:rsidRPr="00503D1A">
              <w:t xml:space="preserve">Aquisição de quadros elétricos completos para </w:t>
            </w:r>
            <w:proofErr w:type="spellStart"/>
            <w:r w:rsidRPr="00503D1A">
              <w:t>chillers</w:t>
            </w:r>
            <w:proofErr w:type="spellEnd"/>
            <w:r w:rsidRPr="00503D1A">
              <w:t xml:space="preserve"> do sistema de refrigeração do TRE.</w:t>
            </w:r>
          </w:p>
        </w:tc>
        <w:tc>
          <w:tcPr>
            <w:tcW w:w="1984" w:type="dxa"/>
            <w:shd w:val="clear" w:color="auto" w:fill="auto"/>
          </w:tcPr>
          <w:p w:rsidR="00B24504" w:rsidRPr="00503D1A" w:rsidRDefault="00B24504" w:rsidP="000D52E0">
            <w:pPr>
              <w:tabs>
                <w:tab w:val="num" w:pos="0"/>
              </w:tabs>
              <w:jc w:val="center"/>
              <w:rPr>
                <w:b/>
              </w:rPr>
            </w:pPr>
            <w:r w:rsidRPr="00503D1A">
              <w:rPr>
                <w:b/>
              </w:rPr>
              <w:t>SGS – SEMAC</w:t>
            </w:r>
          </w:p>
        </w:tc>
      </w:tr>
      <w:tr w:rsidR="00B24504" w:rsidRPr="00503D1A" w:rsidTr="00B24504">
        <w:tc>
          <w:tcPr>
            <w:tcW w:w="1423" w:type="dxa"/>
            <w:shd w:val="clear" w:color="auto" w:fill="auto"/>
          </w:tcPr>
          <w:p w:rsidR="00B24504" w:rsidRPr="00503D1A" w:rsidRDefault="00B24504" w:rsidP="000D52E0">
            <w:pPr>
              <w:tabs>
                <w:tab w:val="num" w:pos="0"/>
              </w:tabs>
              <w:jc w:val="both"/>
            </w:pPr>
            <w:r w:rsidRPr="00503D1A">
              <w:t>476/2015</w:t>
            </w:r>
          </w:p>
        </w:tc>
        <w:tc>
          <w:tcPr>
            <w:tcW w:w="6232" w:type="dxa"/>
            <w:shd w:val="clear" w:color="auto" w:fill="auto"/>
          </w:tcPr>
          <w:p w:rsidR="00B24504" w:rsidRPr="00503D1A" w:rsidRDefault="00B24504" w:rsidP="000D52E0">
            <w:pPr>
              <w:jc w:val="both"/>
            </w:pPr>
            <w:r w:rsidRPr="00503D1A">
              <w:t xml:space="preserve">Registro de Preço para Aquisição de condicionador de Ar, tipos </w:t>
            </w:r>
            <w:proofErr w:type="spellStart"/>
            <w:r w:rsidRPr="00503D1A">
              <w:t>split</w:t>
            </w:r>
            <w:proofErr w:type="spellEnd"/>
            <w:r w:rsidRPr="00503D1A">
              <w:t xml:space="preserve"> e de janela.</w:t>
            </w:r>
          </w:p>
        </w:tc>
        <w:tc>
          <w:tcPr>
            <w:tcW w:w="1984" w:type="dxa"/>
            <w:shd w:val="clear" w:color="auto" w:fill="auto"/>
          </w:tcPr>
          <w:p w:rsidR="00B24504" w:rsidRPr="00503D1A" w:rsidRDefault="00B24504" w:rsidP="000D52E0">
            <w:pPr>
              <w:tabs>
                <w:tab w:val="num" w:pos="0"/>
              </w:tabs>
              <w:jc w:val="center"/>
            </w:pPr>
            <w:r w:rsidRPr="00503D1A">
              <w:t>SEGEP</w:t>
            </w:r>
          </w:p>
        </w:tc>
      </w:tr>
      <w:tr w:rsidR="00B24504" w:rsidRPr="00503D1A" w:rsidTr="00B24504">
        <w:tc>
          <w:tcPr>
            <w:tcW w:w="1423" w:type="dxa"/>
            <w:shd w:val="clear" w:color="auto" w:fill="auto"/>
          </w:tcPr>
          <w:p w:rsidR="00B24504" w:rsidRPr="00503D1A" w:rsidRDefault="00B24504" w:rsidP="000D52E0">
            <w:pPr>
              <w:tabs>
                <w:tab w:val="num" w:pos="0"/>
              </w:tabs>
              <w:jc w:val="both"/>
              <w:rPr>
                <w:b/>
              </w:rPr>
            </w:pPr>
            <w:r w:rsidRPr="00503D1A">
              <w:rPr>
                <w:b/>
              </w:rPr>
              <w:t>118/2015*</w:t>
            </w:r>
          </w:p>
        </w:tc>
        <w:tc>
          <w:tcPr>
            <w:tcW w:w="6232" w:type="dxa"/>
            <w:shd w:val="clear" w:color="auto" w:fill="auto"/>
          </w:tcPr>
          <w:p w:rsidR="00B24504" w:rsidRPr="00503D1A" w:rsidRDefault="00B24504" w:rsidP="000D52E0">
            <w:pPr>
              <w:jc w:val="both"/>
            </w:pPr>
            <w:r w:rsidRPr="00503D1A">
              <w:t>Contratação de serviços de preparação de documentos para mudança de suporte, microfilmagem e supervisão.</w:t>
            </w:r>
          </w:p>
        </w:tc>
        <w:tc>
          <w:tcPr>
            <w:tcW w:w="1984" w:type="dxa"/>
            <w:shd w:val="clear" w:color="auto" w:fill="auto"/>
          </w:tcPr>
          <w:p w:rsidR="00B24504" w:rsidRPr="00503D1A" w:rsidRDefault="00B24504" w:rsidP="000D52E0">
            <w:pPr>
              <w:tabs>
                <w:tab w:val="num" w:pos="0"/>
              </w:tabs>
              <w:jc w:val="center"/>
              <w:rPr>
                <w:b/>
              </w:rPr>
            </w:pPr>
            <w:r w:rsidRPr="00503D1A">
              <w:rPr>
                <w:b/>
              </w:rPr>
              <w:t>SGA – SEPARQ</w:t>
            </w:r>
          </w:p>
        </w:tc>
      </w:tr>
    </w:tbl>
    <w:p w:rsidR="00B24504" w:rsidRDefault="00B24504" w:rsidP="00B24504">
      <w:pPr>
        <w:ind w:firstLine="851"/>
        <w:jc w:val="both"/>
        <w:rPr>
          <w:rFonts w:cs="Arial"/>
          <w:sz w:val="24"/>
          <w:szCs w:val="24"/>
        </w:rPr>
      </w:pPr>
    </w:p>
    <w:p w:rsidR="00B24504" w:rsidRDefault="00EF392E" w:rsidP="00B24504">
      <w:pPr>
        <w:ind w:firstLine="851"/>
        <w:jc w:val="both"/>
        <w:rPr>
          <w:sz w:val="24"/>
          <w:szCs w:val="24"/>
        </w:rPr>
      </w:pPr>
      <w:r w:rsidRPr="00D511D5">
        <w:rPr>
          <w:sz w:val="24"/>
          <w:szCs w:val="24"/>
        </w:rPr>
        <w:t xml:space="preserve">De posse desta informação </w:t>
      </w:r>
      <w:r w:rsidR="00B24504">
        <w:rPr>
          <w:sz w:val="24"/>
          <w:szCs w:val="24"/>
        </w:rPr>
        <w:t>e com base n</w:t>
      </w:r>
      <w:r w:rsidR="00B24504" w:rsidRPr="00EC01B4">
        <w:rPr>
          <w:sz w:val="24"/>
          <w:szCs w:val="24"/>
        </w:rPr>
        <w:t>o</w:t>
      </w:r>
      <w:r w:rsidR="004E2F50">
        <w:rPr>
          <w:sz w:val="24"/>
          <w:szCs w:val="24"/>
        </w:rPr>
        <w:t xml:space="preserve"> quanto</w:t>
      </w:r>
      <w:r w:rsidR="00B24504" w:rsidRPr="00EC01B4">
        <w:rPr>
          <w:sz w:val="24"/>
          <w:szCs w:val="24"/>
        </w:rPr>
        <w:t xml:space="preserve"> estabelecido no Memorando </w:t>
      </w:r>
      <w:r w:rsidR="004E2F50">
        <w:rPr>
          <w:sz w:val="24"/>
          <w:szCs w:val="24"/>
        </w:rPr>
        <w:t>acima citado</w:t>
      </w:r>
      <w:r w:rsidR="00B24504" w:rsidRPr="00EC01B4">
        <w:rPr>
          <w:sz w:val="24"/>
          <w:szCs w:val="24"/>
        </w:rPr>
        <w:t xml:space="preserve">, </w:t>
      </w:r>
      <w:r w:rsidR="00B24504">
        <w:rPr>
          <w:sz w:val="24"/>
          <w:szCs w:val="24"/>
        </w:rPr>
        <w:t xml:space="preserve">foram selecionados para fiscalização os cinco processos </w:t>
      </w:r>
      <w:r w:rsidR="004E2F50">
        <w:rPr>
          <w:sz w:val="24"/>
          <w:szCs w:val="24"/>
        </w:rPr>
        <w:t>abaixo identificados</w:t>
      </w:r>
      <w:r w:rsidR="00B24504" w:rsidRPr="00EC01B4">
        <w:rPr>
          <w:sz w:val="24"/>
          <w:szCs w:val="24"/>
        </w:rPr>
        <w:t>:</w:t>
      </w:r>
    </w:p>
    <w:p w:rsidR="004E2F50" w:rsidRDefault="004E2F50" w:rsidP="00B24504">
      <w:pPr>
        <w:ind w:firstLine="851"/>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969"/>
        <w:gridCol w:w="1701"/>
        <w:gridCol w:w="2835"/>
      </w:tblGrid>
      <w:tr w:rsidR="00B24504" w:rsidRPr="00503D1A" w:rsidTr="008F75FD">
        <w:tc>
          <w:tcPr>
            <w:tcW w:w="1134" w:type="dxa"/>
            <w:shd w:val="clear" w:color="auto" w:fill="auto"/>
          </w:tcPr>
          <w:p w:rsidR="00B24504" w:rsidRPr="00503D1A" w:rsidRDefault="00B24504" w:rsidP="000D52E0">
            <w:pPr>
              <w:tabs>
                <w:tab w:val="num" w:pos="0"/>
              </w:tabs>
              <w:jc w:val="center"/>
            </w:pPr>
            <w:r w:rsidRPr="00503D1A">
              <w:t>PAD</w:t>
            </w:r>
          </w:p>
        </w:tc>
        <w:tc>
          <w:tcPr>
            <w:tcW w:w="3969" w:type="dxa"/>
            <w:shd w:val="clear" w:color="auto" w:fill="auto"/>
          </w:tcPr>
          <w:p w:rsidR="00B24504" w:rsidRPr="00503D1A" w:rsidRDefault="00B24504" w:rsidP="000D52E0">
            <w:pPr>
              <w:tabs>
                <w:tab w:val="num" w:pos="0"/>
              </w:tabs>
              <w:jc w:val="center"/>
            </w:pPr>
            <w:r w:rsidRPr="00503D1A">
              <w:t>Objeto</w:t>
            </w:r>
          </w:p>
        </w:tc>
        <w:tc>
          <w:tcPr>
            <w:tcW w:w="1701" w:type="dxa"/>
            <w:shd w:val="clear" w:color="auto" w:fill="auto"/>
          </w:tcPr>
          <w:p w:rsidR="00B24504" w:rsidRPr="00503D1A" w:rsidRDefault="00B24504" w:rsidP="000D52E0">
            <w:pPr>
              <w:tabs>
                <w:tab w:val="num" w:pos="0"/>
              </w:tabs>
              <w:jc w:val="center"/>
            </w:pPr>
            <w:r w:rsidRPr="00503D1A">
              <w:t>Setor Demandante</w:t>
            </w:r>
          </w:p>
        </w:tc>
        <w:tc>
          <w:tcPr>
            <w:tcW w:w="2835" w:type="dxa"/>
          </w:tcPr>
          <w:p w:rsidR="00B24504" w:rsidRPr="00503D1A" w:rsidRDefault="00B24504" w:rsidP="000D52E0">
            <w:pPr>
              <w:tabs>
                <w:tab w:val="num" w:pos="0"/>
              </w:tabs>
              <w:jc w:val="center"/>
            </w:pPr>
            <w:r w:rsidRPr="00503D1A">
              <w:t>Critério de Seleção</w:t>
            </w:r>
          </w:p>
        </w:tc>
      </w:tr>
      <w:tr w:rsidR="00B24504" w:rsidRPr="00503D1A" w:rsidTr="008F75FD">
        <w:tc>
          <w:tcPr>
            <w:tcW w:w="1134" w:type="dxa"/>
            <w:shd w:val="clear" w:color="auto" w:fill="auto"/>
          </w:tcPr>
          <w:p w:rsidR="00B24504" w:rsidRPr="00503D1A" w:rsidRDefault="00B24504" w:rsidP="000D52E0">
            <w:pPr>
              <w:tabs>
                <w:tab w:val="num" w:pos="0"/>
              </w:tabs>
              <w:jc w:val="both"/>
            </w:pPr>
            <w:r w:rsidRPr="00503D1A">
              <w:t>325/2015</w:t>
            </w:r>
          </w:p>
        </w:tc>
        <w:tc>
          <w:tcPr>
            <w:tcW w:w="3969" w:type="dxa"/>
            <w:shd w:val="clear" w:color="auto" w:fill="auto"/>
          </w:tcPr>
          <w:p w:rsidR="00B24504" w:rsidRPr="00503D1A" w:rsidRDefault="00B24504" w:rsidP="000D52E0">
            <w:pPr>
              <w:jc w:val="both"/>
            </w:pPr>
            <w:r w:rsidRPr="00503D1A">
              <w:t xml:space="preserve">Prestação de serviços de </w:t>
            </w:r>
            <w:proofErr w:type="spellStart"/>
            <w:r w:rsidRPr="00503D1A">
              <w:t>Desinsetização</w:t>
            </w:r>
            <w:proofErr w:type="spellEnd"/>
            <w:r w:rsidRPr="00503D1A">
              <w:t xml:space="preserve">, Desratização e </w:t>
            </w:r>
            <w:proofErr w:type="spellStart"/>
            <w:r w:rsidRPr="00503D1A">
              <w:t>Descupinização</w:t>
            </w:r>
            <w:proofErr w:type="spellEnd"/>
            <w:r w:rsidRPr="00503D1A">
              <w:t xml:space="preserve"> nas zonas eleitorais do interior.</w:t>
            </w:r>
          </w:p>
        </w:tc>
        <w:tc>
          <w:tcPr>
            <w:tcW w:w="1701" w:type="dxa"/>
            <w:shd w:val="clear" w:color="auto" w:fill="auto"/>
          </w:tcPr>
          <w:p w:rsidR="00B24504" w:rsidRPr="00503D1A" w:rsidRDefault="00B24504" w:rsidP="000D52E0">
            <w:pPr>
              <w:tabs>
                <w:tab w:val="num" w:pos="0"/>
              </w:tabs>
              <w:jc w:val="center"/>
            </w:pPr>
            <w:r w:rsidRPr="00503D1A">
              <w:t>SGS – SEMAI</w:t>
            </w:r>
          </w:p>
        </w:tc>
        <w:tc>
          <w:tcPr>
            <w:tcW w:w="2835" w:type="dxa"/>
          </w:tcPr>
          <w:p w:rsidR="00B24504" w:rsidRPr="00503D1A" w:rsidRDefault="00B24504" w:rsidP="000D52E0">
            <w:pPr>
              <w:tabs>
                <w:tab w:val="num" w:pos="0"/>
              </w:tabs>
              <w:jc w:val="center"/>
            </w:pPr>
            <w:r w:rsidRPr="00503D1A">
              <w:t>Memorando nº 01/2015/SCI/COGES/SEAGES, em sua alínea “c”.</w:t>
            </w:r>
          </w:p>
        </w:tc>
      </w:tr>
      <w:tr w:rsidR="00B24504" w:rsidRPr="00503D1A" w:rsidTr="008F75FD">
        <w:tc>
          <w:tcPr>
            <w:tcW w:w="1134" w:type="dxa"/>
            <w:shd w:val="clear" w:color="auto" w:fill="auto"/>
          </w:tcPr>
          <w:p w:rsidR="00B24504" w:rsidRPr="00503D1A" w:rsidRDefault="00B24504" w:rsidP="000D52E0">
            <w:pPr>
              <w:tabs>
                <w:tab w:val="num" w:pos="0"/>
              </w:tabs>
              <w:jc w:val="both"/>
            </w:pPr>
            <w:r w:rsidRPr="00503D1A">
              <w:t>352/2015</w:t>
            </w:r>
          </w:p>
        </w:tc>
        <w:tc>
          <w:tcPr>
            <w:tcW w:w="3969" w:type="dxa"/>
            <w:shd w:val="clear" w:color="auto" w:fill="auto"/>
          </w:tcPr>
          <w:p w:rsidR="00B24504" w:rsidRPr="00503D1A" w:rsidRDefault="00B24504" w:rsidP="000D52E0">
            <w:pPr>
              <w:jc w:val="both"/>
            </w:pPr>
            <w:r w:rsidRPr="00503D1A">
              <w:t xml:space="preserve">Registro de preços para aquisição de </w:t>
            </w:r>
            <w:proofErr w:type="spellStart"/>
            <w:r w:rsidRPr="00503D1A">
              <w:t>palletes</w:t>
            </w:r>
            <w:proofErr w:type="spellEnd"/>
            <w:r w:rsidRPr="00503D1A">
              <w:t xml:space="preserve">, cadeados, corrente e fita zebrada. </w:t>
            </w:r>
            <w:bookmarkStart w:id="0" w:name="_GoBack"/>
            <w:bookmarkEnd w:id="0"/>
          </w:p>
        </w:tc>
        <w:tc>
          <w:tcPr>
            <w:tcW w:w="1701" w:type="dxa"/>
            <w:shd w:val="clear" w:color="auto" w:fill="auto"/>
          </w:tcPr>
          <w:p w:rsidR="00B24504" w:rsidRPr="00503D1A" w:rsidRDefault="00B24504" w:rsidP="000D52E0">
            <w:pPr>
              <w:tabs>
                <w:tab w:val="num" w:pos="0"/>
              </w:tabs>
              <w:jc w:val="center"/>
            </w:pPr>
            <w:r w:rsidRPr="00503D1A">
              <w:t>SGA – SEGEA</w:t>
            </w:r>
          </w:p>
        </w:tc>
        <w:tc>
          <w:tcPr>
            <w:tcW w:w="2835" w:type="dxa"/>
          </w:tcPr>
          <w:p w:rsidR="00B24504" w:rsidRPr="00503D1A" w:rsidRDefault="00B24504" w:rsidP="000D52E0">
            <w:pPr>
              <w:tabs>
                <w:tab w:val="num" w:pos="0"/>
              </w:tabs>
              <w:jc w:val="center"/>
            </w:pPr>
            <w:r w:rsidRPr="00503D1A">
              <w:t>Memorando nº 01/2015/SCI/COGES/SEAGES, em sua alínea “c”.</w:t>
            </w:r>
          </w:p>
        </w:tc>
      </w:tr>
      <w:tr w:rsidR="00B24504" w:rsidRPr="00503D1A" w:rsidTr="008F75FD">
        <w:tc>
          <w:tcPr>
            <w:tcW w:w="1134" w:type="dxa"/>
            <w:shd w:val="clear" w:color="auto" w:fill="auto"/>
          </w:tcPr>
          <w:p w:rsidR="00B24504" w:rsidRPr="00503D1A" w:rsidRDefault="00B24504" w:rsidP="000D52E0">
            <w:pPr>
              <w:tabs>
                <w:tab w:val="num" w:pos="0"/>
              </w:tabs>
              <w:jc w:val="both"/>
            </w:pPr>
            <w:r w:rsidRPr="00503D1A">
              <w:lastRenderedPageBreak/>
              <w:t>54/2015</w:t>
            </w:r>
          </w:p>
        </w:tc>
        <w:tc>
          <w:tcPr>
            <w:tcW w:w="3969" w:type="dxa"/>
            <w:shd w:val="clear" w:color="auto" w:fill="auto"/>
          </w:tcPr>
          <w:p w:rsidR="00B24504" w:rsidRPr="00503D1A" w:rsidRDefault="00B24504" w:rsidP="000D52E0">
            <w:pPr>
              <w:jc w:val="both"/>
            </w:pPr>
            <w:r w:rsidRPr="00503D1A">
              <w:t>Contratação de empresa especializada em processo de seleção pública para o ingresso em programa de estágio no TRE-BA.</w:t>
            </w:r>
          </w:p>
        </w:tc>
        <w:tc>
          <w:tcPr>
            <w:tcW w:w="1701" w:type="dxa"/>
            <w:shd w:val="clear" w:color="auto" w:fill="auto"/>
          </w:tcPr>
          <w:p w:rsidR="00B24504" w:rsidRPr="00503D1A" w:rsidRDefault="00B24504" w:rsidP="000D52E0">
            <w:pPr>
              <w:tabs>
                <w:tab w:val="num" w:pos="0"/>
              </w:tabs>
              <w:jc w:val="center"/>
            </w:pPr>
            <w:r w:rsidRPr="00503D1A">
              <w:t>SGP – COEDE</w:t>
            </w:r>
          </w:p>
        </w:tc>
        <w:tc>
          <w:tcPr>
            <w:tcW w:w="2835" w:type="dxa"/>
          </w:tcPr>
          <w:p w:rsidR="00B24504" w:rsidRPr="00503D1A" w:rsidRDefault="00B24504" w:rsidP="000D52E0">
            <w:pPr>
              <w:tabs>
                <w:tab w:val="num" w:pos="0"/>
              </w:tabs>
              <w:jc w:val="center"/>
            </w:pPr>
            <w:r w:rsidRPr="00503D1A">
              <w:t>Memorando nº 01/2015/SCI/COGES/SEAGES, em sua alínea “c”.</w:t>
            </w:r>
          </w:p>
        </w:tc>
      </w:tr>
      <w:tr w:rsidR="00B24504" w:rsidRPr="00503D1A" w:rsidTr="008F75FD">
        <w:tc>
          <w:tcPr>
            <w:tcW w:w="1134" w:type="dxa"/>
            <w:shd w:val="clear" w:color="auto" w:fill="auto"/>
          </w:tcPr>
          <w:p w:rsidR="00B24504" w:rsidRPr="00503D1A" w:rsidRDefault="00B24504" w:rsidP="000D52E0">
            <w:pPr>
              <w:tabs>
                <w:tab w:val="num" w:pos="0"/>
              </w:tabs>
              <w:jc w:val="both"/>
            </w:pPr>
            <w:r w:rsidRPr="00503D1A">
              <w:t>1912/2015</w:t>
            </w:r>
          </w:p>
        </w:tc>
        <w:tc>
          <w:tcPr>
            <w:tcW w:w="3969" w:type="dxa"/>
            <w:shd w:val="clear" w:color="auto" w:fill="auto"/>
          </w:tcPr>
          <w:p w:rsidR="00B24504" w:rsidRPr="00503D1A" w:rsidRDefault="00B24504" w:rsidP="000D52E0">
            <w:pPr>
              <w:jc w:val="both"/>
            </w:pPr>
            <w:r w:rsidRPr="00503D1A">
              <w:t xml:space="preserve">Aquisição de quadros elétricos completos para </w:t>
            </w:r>
            <w:proofErr w:type="spellStart"/>
            <w:r w:rsidRPr="00503D1A">
              <w:t>chillers</w:t>
            </w:r>
            <w:proofErr w:type="spellEnd"/>
            <w:r w:rsidRPr="00503D1A">
              <w:t xml:space="preserve"> do sistema de refrigeração do TRE.</w:t>
            </w:r>
          </w:p>
        </w:tc>
        <w:tc>
          <w:tcPr>
            <w:tcW w:w="1701" w:type="dxa"/>
            <w:shd w:val="clear" w:color="auto" w:fill="auto"/>
          </w:tcPr>
          <w:p w:rsidR="00B24504" w:rsidRPr="00503D1A" w:rsidRDefault="00B24504" w:rsidP="000D52E0">
            <w:pPr>
              <w:tabs>
                <w:tab w:val="num" w:pos="0"/>
              </w:tabs>
              <w:jc w:val="center"/>
            </w:pPr>
            <w:r w:rsidRPr="00503D1A">
              <w:t>SGS – SEMAC</w:t>
            </w:r>
          </w:p>
        </w:tc>
        <w:tc>
          <w:tcPr>
            <w:tcW w:w="2835" w:type="dxa"/>
          </w:tcPr>
          <w:p w:rsidR="00B24504" w:rsidRPr="00503D1A" w:rsidRDefault="00B24504" w:rsidP="000D52E0">
            <w:pPr>
              <w:tabs>
                <w:tab w:val="num" w:pos="0"/>
              </w:tabs>
              <w:jc w:val="center"/>
            </w:pPr>
            <w:r w:rsidRPr="00503D1A">
              <w:t>Memorando nº 01/2015/SCI/COGES/SEAGES, em sua alínea “c”.</w:t>
            </w:r>
          </w:p>
        </w:tc>
      </w:tr>
      <w:tr w:rsidR="00B24504" w:rsidRPr="00503D1A" w:rsidTr="008F75FD">
        <w:tc>
          <w:tcPr>
            <w:tcW w:w="1134" w:type="dxa"/>
            <w:shd w:val="clear" w:color="auto" w:fill="auto"/>
          </w:tcPr>
          <w:p w:rsidR="00B24504" w:rsidRPr="00503D1A" w:rsidRDefault="00B24504" w:rsidP="000D52E0">
            <w:pPr>
              <w:tabs>
                <w:tab w:val="num" w:pos="0"/>
              </w:tabs>
              <w:jc w:val="both"/>
            </w:pPr>
            <w:r w:rsidRPr="00503D1A">
              <w:t>118/2015</w:t>
            </w:r>
          </w:p>
        </w:tc>
        <w:tc>
          <w:tcPr>
            <w:tcW w:w="3969" w:type="dxa"/>
            <w:shd w:val="clear" w:color="auto" w:fill="auto"/>
          </w:tcPr>
          <w:p w:rsidR="00B24504" w:rsidRPr="00503D1A" w:rsidRDefault="00B24504" w:rsidP="000D52E0">
            <w:pPr>
              <w:jc w:val="both"/>
            </w:pPr>
            <w:r w:rsidRPr="00503D1A">
              <w:t>Contratação de serviços de preparação de documentos para mudança de suporte, microfilmagem e supervisão.</w:t>
            </w:r>
          </w:p>
        </w:tc>
        <w:tc>
          <w:tcPr>
            <w:tcW w:w="1701" w:type="dxa"/>
            <w:shd w:val="clear" w:color="auto" w:fill="auto"/>
          </w:tcPr>
          <w:p w:rsidR="00B24504" w:rsidRPr="00503D1A" w:rsidRDefault="00B24504" w:rsidP="000D52E0">
            <w:pPr>
              <w:tabs>
                <w:tab w:val="num" w:pos="0"/>
              </w:tabs>
              <w:jc w:val="center"/>
            </w:pPr>
            <w:r w:rsidRPr="00503D1A">
              <w:t>SGA – SEPARQ</w:t>
            </w:r>
          </w:p>
        </w:tc>
        <w:tc>
          <w:tcPr>
            <w:tcW w:w="2835" w:type="dxa"/>
          </w:tcPr>
          <w:p w:rsidR="00B24504" w:rsidRPr="00503D1A" w:rsidRDefault="00B24504" w:rsidP="000D52E0">
            <w:pPr>
              <w:tabs>
                <w:tab w:val="num" w:pos="0"/>
              </w:tabs>
              <w:jc w:val="center"/>
            </w:pPr>
            <w:r w:rsidRPr="00503D1A">
              <w:t>Memorando nº 01/2015/SCI/COGES/SEAGES, em sua alínea “b”.</w:t>
            </w:r>
          </w:p>
        </w:tc>
      </w:tr>
    </w:tbl>
    <w:p w:rsidR="00B24504" w:rsidRDefault="00B24504" w:rsidP="00B24504">
      <w:pPr>
        <w:ind w:firstLine="851"/>
        <w:jc w:val="both"/>
        <w:rPr>
          <w:rFonts w:cs="Arial"/>
          <w:sz w:val="24"/>
          <w:szCs w:val="24"/>
        </w:rPr>
      </w:pPr>
    </w:p>
    <w:p w:rsidR="00B24504" w:rsidRDefault="00B24504" w:rsidP="00B24504">
      <w:pPr>
        <w:ind w:firstLine="851"/>
        <w:jc w:val="both"/>
        <w:rPr>
          <w:sz w:val="24"/>
          <w:szCs w:val="24"/>
        </w:rPr>
      </w:pPr>
      <w:r>
        <w:rPr>
          <w:rFonts w:cs="Arial"/>
          <w:sz w:val="24"/>
          <w:szCs w:val="24"/>
        </w:rPr>
        <w:t xml:space="preserve">Através do </w:t>
      </w:r>
      <w:r>
        <w:rPr>
          <w:sz w:val="24"/>
          <w:szCs w:val="24"/>
        </w:rPr>
        <w:t>Comunicado de Fiscalização nº 07</w:t>
      </w:r>
      <w:r w:rsidRPr="00B678CA">
        <w:rPr>
          <w:sz w:val="24"/>
          <w:szCs w:val="24"/>
        </w:rPr>
        <w:t>/2015/SCI/COGES, encaminhado pelo PAD</w:t>
      </w:r>
      <w:r>
        <w:rPr>
          <w:sz w:val="24"/>
          <w:szCs w:val="24"/>
        </w:rPr>
        <w:t>,</w:t>
      </w:r>
      <w:r w:rsidRPr="00B678CA">
        <w:rPr>
          <w:sz w:val="24"/>
          <w:szCs w:val="24"/>
        </w:rPr>
        <w:t xml:space="preserve"> </w:t>
      </w:r>
      <w:r>
        <w:rPr>
          <w:sz w:val="24"/>
          <w:szCs w:val="24"/>
        </w:rPr>
        <w:t>por meio</w:t>
      </w:r>
      <w:r w:rsidRPr="00B678CA">
        <w:rPr>
          <w:sz w:val="24"/>
          <w:szCs w:val="24"/>
        </w:rPr>
        <w:t xml:space="preserve"> d</w:t>
      </w:r>
      <w:r>
        <w:rPr>
          <w:sz w:val="24"/>
          <w:szCs w:val="24"/>
        </w:rPr>
        <w:t>e trâmite colaborativo, a</w:t>
      </w:r>
      <w:r w:rsidRPr="00B678CA">
        <w:rPr>
          <w:sz w:val="24"/>
          <w:szCs w:val="24"/>
        </w:rPr>
        <w:t>s Secretarias de Gestão Administrativa (SGA), de Gestão de Serviços (SGS)</w:t>
      </w:r>
      <w:r>
        <w:rPr>
          <w:sz w:val="24"/>
          <w:szCs w:val="24"/>
        </w:rPr>
        <w:t xml:space="preserve"> e de Gestão de Pessoas (SGP) foram informadas acerca do início dos trabalhos, tendo sido solicitado ainda o Processo Físico SADP nº. 56.088/2013, que não havia sido migrado integralmente para o meio digital (atual PAD nº 325/2015)</w:t>
      </w:r>
      <w:r w:rsidRPr="00B678CA">
        <w:rPr>
          <w:sz w:val="24"/>
          <w:szCs w:val="24"/>
        </w:rPr>
        <w:t>.</w:t>
      </w:r>
    </w:p>
    <w:p w:rsidR="00B24504" w:rsidRPr="00B678CA" w:rsidRDefault="00B24504" w:rsidP="00B24504">
      <w:pPr>
        <w:ind w:firstLine="851"/>
        <w:jc w:val="both"/>
        <w:rPr>
          <w:bCs/>
          <w:sz w:val="24"/>
          <w:szCs w:val="24"/>
        </w:rPr>
      </w:pPr>
      <w:r w:rsidRPr="00B678CA">
        <w:rPr>
          <w:rFonts w:cs="Arial"/>
          <w:sz w:val="24"/>
          <w:szCs w:val="24"/>
        </w:rPr>
        <w:t xml:space="preserve">Entre as questões de auditoria levantadas durante a fase de planejamento, buscou-se verificar se os procedimentos licitatórios </w:t>
      </w:r>
      <w:r w:rsidRPr="00B678CA">
        <w:rPr>
          <w:bCs/>
          <w:sz w:val="24"/>
          <w:szCs w:val="24"/>
        </w:rPr>
        <w:t xml:space="preserve">foram efetuados conforme permissivos da Lei nº 8.666/1993, especialmente no que </w:t>
      </w:r>
      <w:proofErr w:type="spellStart"/>
      <w:r w:rsidRPr="00B678CA">
        <w:rPr>
          <w:bCs/>
          <w:sz w:val="24"/>
          <w:szCs w:val="24"/>
        </w:rPr>
        <w:t>pertine</w:t>
      </w:r>
      <w:proofErr w:type="spellEnd"/>
      <w:r w:rsidRPr="00B678CA">
        <w:rPr>
          <w:bCs/>
          <w:sz w:val="24"/>
          <w:szCs w:val="24"/>
        </w:rPr>
        <w:t xml:space="preserve"> à correta e suficiente especificação do objeto/serviço no termo de referência, justificativa para a contratação, avaliação da</w:t>
      </w:r>
      <w:r>
        <w:rPr>
          <w:bCs/>
          <w:sz w:val="24"/>
          <w:szCs w:val="24"/>
        </w:rPr>
        <w:t>s</w:t>
      </w:r>
      <w:r w:rsidRPr="00B678CA">
        <w:rPr>
          <w:bCs/>
          <w:sz w:val="24"/>
          <w:szCs w:val="24"/>
        </w:rPr>
        <w:t xml:space="preserve"> pesquisa</w:t>
      </w:r>
      <w:r>
        <w:rPr>
          <w:bCs/>
          <w:sz w:val="24"/>
          <w:szCs w:val="24"/>
        </w:rPr>
        <w:t>s</w:t>
      </w:r>
      <w:r w:rsidRPr="00B678CA">
        <w:rPr>
          <w:bCs/>
          <w:sz w:val="24"/>
          <w:szCs w:val="24"/>
        </w:rPr>
        <w:t xml:space="preserve"> de preços</w:t>
      </w:r>
      <w:r>
        <w:rPr>
          <w:bCs/>
          <w:sz w:val="24"/>
          <w:szCs w:val="24"/>
        </w:rPr>
        <w:t xml:space="preserve"> realizadas</w:t>
      </w:r>
      <w:r w:rsidRPr="00B678CA">
        <w:rPr>
          <w:bCs/>
          <w:sz w:val="24"/>
          <w:szCs w:val="24"/>
        </w:rPr>
        <w:t>, prévio exame e aprovação das minutas d</w:t>
      </w:r>
      <w:r>
        <w:rPr>
          <w:bCs/>
          <w:sz w:val="24"/>
          <w:szCs w:val="24"/>
        </w:rPr>
        <w:t>os</w:t>
      </w:r>
      <w:r w:rsidRPr="00B678CA">
        <w:rPr>
          <w:bCs/>
          <w:sz w:val="24"/>
          <w:szCs w:val="24"/>
        </w:rPr>
        <w:t xml:space="preserve"> edit</w:t>
      </w:r>
      <w:r>
        <w:rPr>
          <w:bCs/>
          <w:sz w:val="24"/>
          <w:szCs w:val="24"/>
        </w:rPr>
        <w:t>ais de licitação e dos contratos</w:t>
      </w:r>
      <w:r w:rsidRPr="00B678CA">
        <w:rPr>
          <w:bCs/>
          <w:sz w:val="24"/>
          <w:szCs w:val="24"/>
        </w:rPr>
        <w:t xml:space="preserve"> pela Assessoria Jurídica, verificação da existência de prévia disponibilidade orçamentária pelo Tribunal,</w:t>
      </w:r>
      <w:r>
        <w:rPr>
          <w:bCs/>
          <w:sz w:val="24"/>
          <w:szCs w:val="24"/>
        </w:rPr>
        <w:t xml:space="preserve"> </w:t>
      </w:r>
      <w:r w:rsidRPr="00B678CA">
        <w:rPr>
          <w:bCs/>
          <w:sz w:val="24"/>
          <w:szCs w:val="24"/>
        </w:rPr>
        <w:t>autorização para a instauração do processo pela autoridade competente</w:t>
      </w:r>
      <w:r>
        <w:rPr>
          <w:bCs/>
          <w:sz w:val="24"/>
          <w:szCs w:val="24"/>
        </w:rPr>
        <w:t>, além da lisura da fase externa dos pregões</w:t>
      </w:r>
      <w:r w:rsidRPr="00B678CA">
        <w:rPr>
          <w:bCs/>
          <w:sz w:val="24"/>
          <w:szCs w:val="24"/>
        </w:rPr>
        <w:t>.</w:t>
      </w:r>
    </w:p>
    <w:p w:rsidR="00B24504" w:rsidRPr="00B678CA" w:rsidRDefault="00B24504" w:rsidP="00B24504">
      <w:pPr>
        <w:ind w:firstLine="851"/>
        <w:jc w:val="both"/>
        <w:rPr>
          <w:sz w:val="24"/>
          <w:szCs w:val="24"/>
        </w:rPr>
      </w:pPr>
      <w:r w:rsidRPr="00B678CA">
        <w:rPr>
          <w:bCs/>
          <w:sz w:val="24"/>
          <w:szCs w:val="24"/>
        </w:rPr>
        <w:t>Durante os trabalhos de fiscalização foram aplicados o</w:t>
      </w:r>
      <w:r>
        <w:rPr>
          <w:bCs/>
          <w:sz w:val="24"/>
          <w:szCs w:val="24"/>
        </w:rPr>
        <w:t xml:space="preserve">s papéis de trabalho </w:t>
      </w:r>
      <w:r w:rsidRPr="00B678CA">
        <w:rPr>
          <w:bCs/>
          <w:sz w:val="24"/>
          <w:szCs w:val="24"/>
        </w:rPr>
        <w:t>“</w:t>
      </w:r>
      <w:r>
        <w:rPr>
          <w:bCs/>
          <w:sz w:val="24"/>
          <w:szCs w:val="24"/>
        </w:rPr>
        <w:t>Integridade do Processo</w:t>
      </w:r>
      <w:r w:rsidRPr="00B678CA">
        <w:rPr>
          <w:bCs/>
          <w:sz w:val="24"/>
          <w:szCs w:val="24"/>
        </w:rPr>
        <w:t>”</w:t>
      </w:r>
      <w:r w:rsidRPr="00B678CA">
        <w:rPr>
          <w:sz w:val="24"/>
          <w:szCs w:val="24"/>
        </w:rPr>
        <w:t xml:space="preserve"> (contendo 44 quesitos) e “Integridade</w:t>
      </w:r>
      <w:r>
        <w:rPr>
          <w:sz w:val="24"/>
          <w:szCs w:val="24"/>
        </w:rPr>
        <w:t xml:space="preserve"> da Documentação” (com 26 itens) </w:t>
      </w:r>
      <w:r w:rsidRPr="00B678CA">
        <w:rPr>
          <w:sz w:val="24"/>
          <w:szCs w:val="24"/>
        </w:rPr>
        <w:t xml:space="preserve">a todos </w:t>
      </w:r>
      <w:r w:rsidRPr="00B678CA">
        <w:rPr>
          <w:bCs/>
          <w:sz w:val="24"/>
          <w:szCs w:val="24"/>
        </w:rPr>
        <w:t>os expedientes analisados, confrontando-se os fatos com os normativos aplicáveis à matéria.</w:t>
      </w:r>
    </w:p>
    <w:p w:rsidR="00B24504" w:rsidRDefault="00B24504" w:rsidP="00B24504">
      <w:pPr>
        <w:ind w:firstLine="851"/>
        <w:jc w:val="both"/>
        <w:rPr>
          <w:sz w:val="24"/>
          <w:szCs w:val="24"/>
        </w:rPr>
      </w:pPr>
      <w:r w:rsidRPr="00B678CA">
        <w:rPr>
          <w:sz w:val="24"/>
          <w:szCs w:val="24"/>
        </w:rPr>
        <w:t xml:space="preserve">Os benefícios esperados, provenientes dos trabalhos realizados são: a) o conhecimento do estado de gestão operacional desses processos e dos controles internos existentes, com o reconhecimento, quando devido, das boas práticas já operacionalizadas; b) a </w:t>
      </w:r>
      <w:proofErr w:type="gramStart"/>
      <w:r w:rsidRPr="00B678CA">
        <w:rPr>
          <w:sz w:val="24"/>
          <w:szCs w:val="24"/>
        </w:rPr>
        <w:t>implementação</w:t>
      </w:r>
      <w:proofErr w:type="gramEnd"/>
      <w:r>
        <w:rPr>
          <w:sz w:val="24"/>
          <w:szCs w:val="24"/>
        </w:rPr>
        <w:t xml:space="preserve"> </w:t>
      </w:r>
      <w:r w:rsidRPr="00B678CA">
        <w:rPr>
          <w:sz w:val="24"/>
          <w:szCs w:val="24"/>
        </w:rPr>
        <w:t>de melhorias nos processos de licitações e, consequentemente, c) o aperfeiçoamento contínuo da gestão operac</w:t>
      </w:r>
      <w:r>
        <w:rPr>
          <w:sz w:val="24"/>
          <w:szCs w:val="24"/>
        </w:rPr>
        <w:t>ional do Tribunal nesta matéria.</w:t>
      </w:r>
    </w:p>
    <w:p w:rsidR="001D58CA" w:rsidRDefault="001D58CA"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8022CF" w:rsidRDefault="008022CF" w:rsidP="00FF0A59">
      <w:pPr>
        <w:rPr>
          <w:b/>
          <w:sz w:val="24"/>
          <w:szCs w:val="24"/>
        </w:rPr>
      </w:pPr>
    </w:p>
    <w:p w:rsidR="00604FE6" w:rsidRPr="00064450" w:rsidRDefault="00C812B4" w:rsidP="00FF0A59">
      <w:pPr>
        <w:rPr>
          <w:sz w:val="24"/>
          <w:szCs w:val="24"/>
        </w:rPr>
      </w:pPr>
      <w:r>
        <w:rPr>
          <w:b/>
          <w:sz w:val="24"/>
          <w:szCs w:val="24"/>
        </w:rPr>
        <w:lastRenderedPageBreak/>
        <w:t>II</w:t>
      </w:r>
      <w:r w:rsidR="009C1E05" w:rsidRPr="00CB13FF">
        <w:rPr>
          <w:b/>
          <w:sz w:val="24"/>
          <w:szCs w:val="24"/>
        </w:rPr>
        <w:t xml:space="preserve">. </w:t>
      </w:r>
      <w:r w:rsidR="003A1453" w:rsidRPr="00CB13FF">
        <w:rPr>
          <w:b/>
          <w:sz w:val="24"/>
          <w:szCs w:val="24"/>
        </w:rPr>
        <w:t xml:space="preserve">ACHADOS </w:t>
      </w:r>
      <w:r w:rsidR="00FF0A59">
        <w:rPr>
          <w:b/>
          <w:sz w:val="24"/>
          <w:szCs w:val="24"/>
        </w:rPr>
        <w:t>DA FISCALIZAÇÃO</w:t>
      </w:r>
    </w:p>
    <w:p w:rsidR="00A34B73" w:rsidRPr="00CB13FF" w:rsidRDefault="00A34B73" w:rsidP="00EE4440">
      <w:pPr>
        <w:jc w:val="both"/>
        <w:rPr>
          <w:b/>
          <w:sz w:val="24"/>
          <w:szCs w:val="24"/>
        </w:rPr>
      </w:pPr>
    </w:p>
    <w:p w:rsidR="004879D1" w:rsidRDefault="007F3A29" w:rsidP="00850E73">
      <w:pPr>
        <w:tabs>
          <w:tab w:val="left" w:pos="851"/>
        </w:tabs>
        <w:ind w:firstLine="851"/>
        <w:jc w:val="both"/>
        <w:rPr>
          <w:sz w:val="24"/>
          <w:szCs w:val="24"/>
        </w:rPr>
      </w:pPr>
      <w:r>
        <w:rPr>
          <w:sz w:val="24"/>
          <w:szCs w:val="24"/>
        </w:rPr>
        <w:t>Da análise dos processos selecionados, a</w:t>
      </w:r>
      <w:r w:rsidR="00D91A32" w:rsidRPr="00CB13FF">
        <w:rPr>
          <w:sz w:val="24"/>
          <w:szCs w:val="24"/>
        </w:rPr>
        <w:t>pós confronto e cotejamento com os critérios e legislação</w:t>
      </w:r>
      <w:r w:rsidR="004A41E2" w:rsidRPr="00CB13FF">
        <w:rPr>
          <w:sz w:val="24"/>
          <w:szCs w:val="24"/>
        </w:rPr>
        <w:t xml:space="preserve"> </w:t>
      </w:r>
      <w:r w:rsidR="00D91A32" w:rsidRPr="00CB13FF">
        <w:rPr>
          <w:sz w:val="24"/>
          <w:szCs w:val="24"/>
        </w:rPr>
        <w:t>aplic</w:t>
      </w:r>
      <w:r w:rsidR="00BB4D17" w:rsidRPr="00CB13FF">
        <w:rPr>
          <w:sz w:val="24"/>
          <w:szCs w:val="24"/>
        </w:rPr>
        <w:t>áveis</w:t>
      </w:r>
      <w:r w:rsidR="00D91A32" w:rsidRPr="00CB13FF">
        <w:rPr>
          <w:sz w:val="24"/>
          <w:szCs w:val="24"/>
        </w:rPr>
        <w:t xml:space="preserve"> e vinculação às respectivas questões de auditoria</w:t>
      </w:r>
      <w:r>
        <w:rPr>
          <w:sz w:val="24"/>
          <w:szCs w:val="24"/>
        </w:rPr>
        <w:t>, não</w:t>
      </w:r>
      <w:r w:rsidR="00850E73">
        <w:rPr>
          <w:sz w:val="24"/>
          <w:szCs w:val="24"/>
        </w:rPr>
        <w:t xml:space="preserve"> foram</w:t>
      </w:r>
      <w:r>
        <w:rPr>
          <w:sz w:val="24"/>
          <w:szCs w:val="24"/>
        </w:rPr>
        <w:t xml:space="preserve"> identifica</w:t>
      </w:r>
      <w:r w:rsidR="00850E73">
        <w:rPr>
          <w:sz w:val="24"/>
          <w:szCs w:val="24"/>
        </w:rPr>
        <w:t>dos</w:t>
      </w:r>
      <w:r>
        <w:rPr>
          <w:sz w:val="24"/>
          <w:szCs w:val="24"/>
        </w:rPr>
        <w:t xml:space="preserve"> achados, apenas algumas situações merecedoras de destaque e atenção, as quais</w:t>
      </w:r>
      <w:r w:rsidR="00D511D5">
        <w:rPr>
          <w:sz w:val="24"/>
          <w:szCs w:val="24"/>
        </w:rPr>
        <w:t xml:space="preserve"> seguem</w:t>
      </w:r>
      <w:r w:rsidR="00FA6C3C">
        <w:rPr>
          <w:sz w:val="24"/>
          <w:szCs w:val="24"/>
        </w:rPr>
        <w:t xml:space="preserve"> pontuadas </w:t>
      </w:r>
      <w:r>
        <w:rPr>
          <w:sz w:val="24"/>
          <w:szCs w:val="24"/>
        </w:rPr>
        <w:t>na conclusão deste relatório.</w:t>
      </w:r>
    </w:p>
    <w:p w:rsidR="00D511D5" w:rsidRPr="00FC6E8D" w:rsidRDefault="00D511D5" w:rsidP="00EE4440">
      <w:pPr>
        <w:jc w:val="both"/>
        <w:rPr>
          <w:b/>
          <w:iCs/>
          <w:color w:val="FF0000"/>
          <w:sz w:val="24"/>
          <w:szCs w:val="24"/>
        </w:rPr>
      </w:pPr>
    </w:p>
    <w:p w:rsidR="00972EB9" w:rsidRPr="00E8579C" w:rsidRDefault="00B81979" w:rsidP="00EE4440">
      <w:pPr>
        <w:jc w:val="both"/>
        <w:rPr>
          <w:b/>
          <w:sz w:val="24"/>
          <w:szCs w:val="24"/>
        </w:rPr>
      </w:pPr>
      <w:r w:rsidRPr="00E8579C">
        <w:rPr>
          <w:b/>
          <w:sz w:val="24"/>
          <w:szCs w:val="24"/>
        </w:rPr>
        <w:t>III</w:t>
      </w:r>
      <w:r w:rsidR="009C1E05" w:rsidRPr="00E8579C">
        <w:rPr>
          <w:b/>
          <w:sz w:val="24"/>
          <w:szCs w:val="24"/>
        </w:rPr>
        <w:t xml:space="preserve">. </w:t>
      </w:r>
      <w:r w:rsidR="003A1453" w:rsidRPr="00E8579C">
        <w:rPr>
          <w:b/>
          <w:sz w:val="24"/>
          <w:szCs w:val="24"/>
        </w:rPr>
        <w:t>CONCLUSÃO</w:t>
      </w:r>
    </w:p>
    <w:p w:rsidR="00604FE6" w:rsidRPr="00E8579C" w:rsidRDefault="00604FE6" w:rsidP="00EE4440">
      <w:pPr>
        <w:jc w:val="both"/>
        <w:rPr>
          <w:b/>
          <w:sz w:val="24"/>
          <w:szCs w:val="24"/>
        </w:rPr>
      </w:pPr>
    </w:p>
    <w:p w:rsidR="00856506" w:rsidRDefault="00B92D48" w:rsidP="00E33C1E">
      <w:pPr>
        <w:ind w:firstLine="851"/>
        <w:jc w:val="both"/>
        <w:rPr>
          <w:sz w:val="24"/>
          <w:szCs w:val="24"/>
        </w:rPr>
      </w:pPr>
      <w:r w:rsidRPr="00E8579C">
        <w:rPr>
          <w:sz w:val="24"/>
          <w:szCs w:val="24"/>
        </w:rPr>
        <w:t>Finalizados os trabalhos de fiscal</w:t>
      </w:r>
      <w:r w:rsidR="00B549BA" w:rsidRPr="00E8579C">
        <w:rPr>
          <w:sz w:val="24"/>
          <w:szCs w:val="24"/>
        </w:rPr>
        <w:t>ização do</w:t>
      </w:r>
      <w:r w:rsidR="00DE4CAD" w:rsidRPr="00E8579C">
        <w:rPr>
          <w:sz w:val="24"/>
          <w:szCs w:val="24"/>
        </w:rPr>
        <w:t>s</w:t>
      </w:r>
      <w:r w:rsidR="00B549BA" w:rsidRPr="00E8579C">
        <w:rPr>
          <w:sz w:val="24"/>
          <w:szCs w:val="24"/>
        </w:rPr>
        <w:t xml:space="preserve"> processo</w:t>
      </w:r>
      <w:r w:rsidR="00DE4CAD" w:rsidRPr="00E8579C">
        <w:rPr>
          <w:sz w:val="24"/>
          <w:szCs w:val="24"/>
        </w:rPr>
        <w:t>s</w:t>
      </w:r>
      <w:r w:rsidR="00B549BA" w:rsidRPr="00E8579C">
        <w:rPr>
          <w:sz w:val="24"/>
          <w:szCs w:val="24"/>
        </w:rPr>
        <w:t xml:space="preserve"> </w:t>
      </w:r>
      <w:r w:rsidR="00CA23C2" w:rsidRPr="00E8579C">
        <w:rPr>
          <w:sz w:val="24"/>
          <w:szCs w:val="24"/>
        </w:rPr>
        <w:t>licitatórios</w:t>
      </w:r>
      <w:r w:rsidR="002C0EC7" w:rsidRPr="002C0EC7">
        <w:rPr>
          <w:color w:val="0000FF"/>
        </w:rPr>
        <w:t xml:space="preserve"> </w:t>
      </w:r>
      <w:r w:rsidR="002C0EC7" w:rsidRPr="002C0EC7">
        <w:rPr>
          <w:sz w:val="24"/>
          <w:szCs w:val="24"/>
        </w:rPr>
        <w:t xml:space="preserve">concluídos no </w:t>
      </w:r>
      <w:r w:rsidR="005022CD" w:rsidRPr="00D511D5">
        <w:rPr>
          <w:sz w:val="24"/>
          <w:szCs w:val="24"/>
        </w:rPr>
        <w:t>quinto</w:t>
      </w:r>
      <w:r w:rsidR="002C0EC7" w:rsidRPr="002C0EC7">
        <w:rPr>
          <w:sz w:val="24"/>
          <w:szCs w:val="24"/>
        </w:rPr>
        <w:t xml:space="preserve"> bimestre </w:t>
      </w:r>
      <w:r w:rsidR="00E34184">
        <w:rPr>
          <w:sz w:val="24"/>
          <w:szCs w:val="24"/>
        </w:rPr>
        <w:t xml:space="preserve">de </w:t>
      </w:r>
      <w:r w:rsidR="002C0EC7" w:rsidRPr="002C0EC7">
        <w:rPr>
          <w:sz w:val="24"/>
          <w:szCs w:val="24"/>
        </w:rPr>
        <w:t>2015</w:t>
      </w:r>
      <w:r w:rsidRPr="002C0EC7">
        <w:rPr>
          <w:sz w:val="24"/>
          <w:szCs w:val="24"/>
        </w:rPr>
        <w:t xml:space="preserve">, restaram respondidas as questões de </w:t>
      </w:r>
      <w:r w:rsidR="00E30C57">
        <w:rPr>
          <w:sz w:val="24"/>
          <w:szCs w:val="24"/>
        </w:rPr>
        <w:t>auditoria</w:t>
      </w:r>
      <w:r w:rsidRPr="002C0EC7">
        <w:rPr>
          <w:sz w:val="24"/>
          <w:szCs w:val="24"/>
        </w:rPr>
        <w:t xml:space="preserve"> </w:t>
      </w:r>
      <w:r w:rsidR="006A7108" w:rsidRPr="002C0EC7">
        <w:rPr>
          <w:sz w:val="24"/>
          <w:szCs w:val="24"/>
        </w:rPr>
        <w:t>propostas</w:t>
      </w:r>
      <w:r w:rsidRPr="002C0EC7">
        <w:rPr>
          <w:sz w:val="24"/>
          <w:szCs w:val="24"/>
        </w:rPr>
        <w:t xml:space="preserve">. </w:t>
      </w:r>
      <w:r w:rsidR="007F3A29">
        <w:rPr>
          <w:sz w:val="24"/>
          <w:szCs w:val="24"/>
        </w:rPr>
        <w:t>Não foram encontradas insubsistências, t</w:t>
      </w:r>
      <w:r w:rsidR="007A24A8" w:rsidRPr="002C0EC7">
        <w:rPr>
          <w:sz w:val="24"/>
          <w:szCs w:val="24"/>
        </w:rPr>
        <w:t>endo em vista os instrumentos nor</w:t>
      </w:r>
      <w:r w:rsidR="007A24A8" w:rsidRPr="00E8579C">
        <w:rPr>
          <w:sz w:val="24"/>
          <w:szCs w:val="24"/>
        </w:rPr>
        <w:t>mativos utilizados como parâmetros para a fiscalização e que são de obse</w:t>
      </w:r>
      <w:r w:rsidR="00DE4CAD" w:rsidRPr="00E8579C">
        <w:rPr>
          <w:sz w:val="24"/>
          <w:szCs w:val="24"/>
        </w:rPr>
        <w:t xml:space="preserve">rvância obrigatória </w:t>
      </w:r>
      <w:r w:rsidR="008419F8" w:rsidRPr="00E8579C">
        <w:rPr>
          <w:sz w:val="24"/>
          <w:szCs w:val="24"/>
        </w:rPr>
        <w:t>nos procedimentos licitatórios</w:t>
      </w:r>
      <w:r w:rsidR="00DE4CAD" w:rsidRPr="00E8579C">
        <w:rPr>
          <w:sz w:val="24"/>
          <w:szCs w:val="24"/>
        </w:rPr>
        <w:t>.</w:t>
      </w:r>
      <w:r w:rsidR="00D65709" w:rsidRPr="00E8579C">
        <w:rPr>
          <w:sz w:val="24"/>
          <w:szCs w:val="24"/>
        </w:rPr>
        <w:t xml:space="preserve"> </w:t>
      </w:r>
    </w:p>
    <w:p w:rsidR="00C513D7" w:rsidRDefault="00C513D7" w:rsidP="00C513D7">
      <w:pPr>
        <w:ind w:firstLine="851"/>
        <w:jc w:val="both"/>
        <w:rPr>
          <w:sz w:val="24"/>
          <w:szCs w:val="24"/>
        </w:rPr>
      </w:pPr>
      <w:r>
        <w:rPr>
          <w:sz w:val="24"/>
          <w:szCs w:val="24"/>
        </w:rPr>
        <w:t>Entretanto, convém pontuar alguns aspectos relevantes observados nos processos fiscalizados e passíveis de aperfeiçoamentos:</w:t>
      </w:r>
    </w:p>
    <w:p w:rsidR="002F704A" w:rsidRDefault="002F704A" w:rsidP="00E33C1E">
      <w:pPr>
        <w:ind w:firstLine="851"/>
        <w:jc w:val="both"/>
        <w:rPr>
          <w:sz w:val="24"/>
          <w:szCs w:val="24"/>
        </w:rPr>
      </w:pPr>
    </w:p>
    <w:p w:rsidR="002F4875" w:rsidRDefault="007A4C4F" w:rsidP="007563FE">
      <w:pPr>
        <w:spacing w:before="120"/>
        <w:jc w:val="both"/>
        <w:rPr>
          <w:b/>
          <w:sz w:val="24"/>
          <w:szCs w:val="24"/>
        </w:rPr>
      </w:pPr>
      <w:proofErr w:type="gramStart"/>
      <w:r w:rsidRPr="007A4C4F">
        <w:rPr>
          <w:b/>
          <w:sz w:val="24"/>
          <w:szCs w:val="24"/>
        </w:rPr>
        <w:t>III.</w:t>
      </w:r>
      <w:proofErr w:type="gramEnd"/>
      <w:r w:rsidRPr="007A4C4F">
        <w:rPr>
          <w:b/>
          <w:sz w:val="24"/>
          <w:szCs w:val="24"/>
        </w:rPr>
        <w:t xml:space="preserve">1. </w:t>
      </w:r>
      <w:r w:rsidR="00AC29D2">
        <w:rPr>
          <w:b/>
          <w:sz w:val="24"/>
          <w:szCs w:val="24"/>
        </w:rPr>
        <w:t xml:space="preserve">PAD </w:t>
      </w:r>
      <w:r w:rsidR="008F75FD">
        <w:rPr>
          <w:b/>
          <w:sz w:val="24"/>
          <w:szCs w:val="24"/>
        </w:rPr>
        <w:t>352</w:t>
      </w:r>
      <w:r w:rsidR="00AC29D2">
        <w:rPr>
          <w:b/>
          <w:sz w:val="24"/>
          <w:szCs w:val="24"/>
        </w:rPr>
        <w:t xml:space="preserve">/2015 – Pregão </w:t>
      </w:r>
      <w:r w:rsidR="008F75FD">
        <w:rPr>
          <w:b/>
          <w:sz w:val="24"/>
          <w:szCs w:val="24"/>
        </w:rPr>
        <w:t>31</w:t>
      </w:r>
      <w:r w:rsidR="00AC29D2">
        <w:rPr>
          <w:b/>
          <w:sz w:val="24"/>
          <w:szCs w:val="24"/>
        </w:rPr>
        <w:t xml:space="preserve">/2015 – </w:t>
      </w:r>
      <w:r w:rsidR="008F75FD" w:rsidRPr="008F75FD">
        <w:rPr>
          <w:b/>
          <w:sz w:val="24"/>
          <w:szCs w:val="24"/>
        </w:rPr>
        <w:t xml:space="preserve">Registro de preços para aquisição de </w:t>
      </w:r>
      <w:proofErr w:type="spellStart"/>
      <w:r w:rsidR="008F75FD" w:rsidRPr="008F75FD">
        <w:rPr>
          <w:b/>
          <w:sz w:val="24"/>
          <w:szCs w:val="24"/>
        </w:rPr>
        <w:t>palletes</w:t>
      </w:r>
      <w:proofErr w:type="spellEnd"/>
      <w:r w:rsidR="008F75FD" w:rsidRPr="008F75FD">
        <w:rPr>
          <w:b/>
          <w:sz w:val="24"/>
          <w:szCs w:val="24"/>
        </w:rPr>
        <w:t>, cadeados, corrente e fita zebrada</w:t>
      </w:r>
      <w:r w:rsidR="00AC29D2">
        <w:rPr>
          <w:b/>
          <w:sz w:val="24"/>
          <w:szCs w:val="24"/>
        </w:rPr>
        <w:t>.</w:t>
      </w:r>
      <w:r w:rsidR="00E51A63">
        <w:rPr>
          <w:b/>
          <w:sz w:val="24"/>
          <w:szCs w:val="24"/>
        </w:rPr>
        <w:t xml:space="preserve"> </w:t>
      </w:r>
    </w:p>
    <w:p w:rsidR="008F75FD" w:rsidRPr="005A61F1" w:rsidRDefault="008F75FD" w:rsidP="008F75FD">
      <w:pPr>
        <w:spacing w:before="120"/>
        <w:ind w:firstLine="851"/>
        <w:jc w:val="both"/>
        <w:rPr>
          <w:sz w:val="24"/>
          <w:szCs w:val="24"/>
        </w:rPr>
      </w:pPr>
      <w:r w:rsidRPr="005A61F1">
        <w:rPr>
          <w:sz w:val="24"/>
          <w:szCs w:val="24"/>
        </w:rPr>
        <w:t>Neste processo foi identificada a ausência de consulta, por parte da Pregoeira, à nova funcionalidade do SICAF denominada “Ocorrências Impeditivas Indiretas”, que</w:t>
      </w:r>
      <w:r w:rsidR="00106B69">
        <w:rPr>
          <w:sz w:val="24"/>
          <w:szCs w:val="24"/>
        </w:rPr>
        <w:t xml:space="preserve">, no que tange </w:t>
      </w:r>
      <w:proofErr w:type="gramStart"/>
      <w:r w:rsidR="00106B69">
        <w:rPr>
          <w:sz w:val="24"/>
          <w:szCs w:val="24"/>
        </w:rPr>
        <w:t>à</w:t>
      </w:r>
      <w:proofErr w:type="gramEnd"/>
      <w:r w:rsidR="00106B69">
        <w:rPr>
          <w:sz w:val="24"/>
          <w:szCs w:val="24"/>
        </w:rPr>
        <w:t xml:space="preserve"> Center </w:t>
      </w:r>
      <w:proofErr w:type="spellStart"/>
      <w:r w:rsidR="00106B69">
        <w:rPr>
          <w:sz w:val="24"/>
          <w:szCs w:val="24"/>
        </w:rPr>
        <w:t>Sponchiado</w:t>
      </w:r>
      <w:proofErr w:type="spellEnd"/>
      <w:r w:rsidR="00106B69">
        <w:rPr>
          <w:sz w:val="24"/>
          <w:szCs w:val="24"/>
        </w:rPr>
        <w:t xml:space="preserve"> </w:t>
      </w:r>
      <w:proofErr w:type="spellStart"/>
      <w:r w:rsidR="00106B69">
        <w:rPr>
          <w:sz w:val="24"/>
          <w:szCs w:val="24"/>
        </w:rPr>
        <w:t>Ltda</w:t>
      </w:r>
      <w:proofErr w:type="spellEnd"/>
      <w:r w:rsidR="00106B69">
        <w:rPr>
          <w:sz w:val="24"/>
          <w:szCs w:val="24"/>
        </w:rPr>
        <w:t xml:space="preserve"> – EPP (vencedora dos itens 3 e 4),</w:t>
      </w:r>
      <w:r w:rsidRPr="005A61F1">
        <w:rPr>
          <w:sz w:val="24"/>
          <w:szCs w:val="24"/>
        </w:rPr>
        <w:t xml:space="preserve"> havia dado positiva para este feito.  Uma vez </w:t>
      </w:r>
      <w:r w:rsidR="00E04678">
        <w:rPr>
          <w:sz w:val="24"/>
          <w:szCs w:val="24"/>
        </w:rPr>
        <w:t>verifi</w:t>
      </w:r>
      <w:r w:rsidRPr="005A61F1">
        <w:rPr>
          <w:sz w:val="24"/>
          <w:szCs w:val="24"/>
        </w:rPr>
        <w:t>cada a omissão, esta SEAGES entrou em contato com a Pregoeira, que enviou por e-mail o relatório obtido através do SICAF.  Da sua análise</w:t>
      </w:r>
      <w:r>
        <w:rPr>
          <w:sz w:val="24"/>
          <w:szCs w:val="24"/>
        </w:rPr>
        <w:t xml:space="preserve"> posterior</w:t>
      </w:r>
      <w:r w:rsidRPr="005A61F1">
        <w:rPr>
          <w:sz w:val="24"/>
          <w:szCs w:val="24"/>
        </w:rPr>
        <w:t>, pôde-se verificar não haver nenhum impedimento para a contratação da empresa, estando regular todo o procedimento</w:t>
      </w:r>
      <w:r w:rsidR="00C12A01">
        <w:rPr>
          <w:sz w:val="24"/>
          <w:szCs w:val="24"/>
        </w:rPr>
        <w:t>.</w:t>
      </w:r>
      <w:r>
        <w:rPr>
          <w:sz w:val="24"/>
          <w:szCs w:val="24"/>
        </w:rPr>
        <w:t xml:space="preserve"> </w:t>
      </w:r>
    </w:p>
    <w:p w:rsidR="008F75FD" w:rsidRDefault="008F75FD" w:rsidP="008F75FD">
      <w:pPr>
        <w:spacing w:before="120"/>
        <w:ind w:firstLine="851"/>
        <w:jc w:val="both"/>
        <w:rPr>
          <w:sz w:val="24"/>
          <w:szCs w:val="24"/>
        </w:rPr>
      </w:pPr>
      <w:r>
        <w:rPr>
          <w:sz w:val="24"/>
          <w:szCs w:val="24"/>
        </w:rPr>
        <w:t>Frise</w:t>
      </w:r>
      <w:r w:rsidRPr="005A61F1">
        <w:rPr>
          <w:sz w:val="24"/>
          <w:szCs w:val="24"/>
        </w:rPr>
        <w:t xml:space="preserve">-se que há recomendação desta SEAGES, </w:t>
      </w:r>
      <w:r>
        <w:rPr>
          <w:sz w:val="24"/>
          <w:szCs w:val="24"/>
        </w:rPr>
        <w:t>proferida dentro do procedimento de fiscalização relativo ao</w:t>
      </w:r>
      <w:r w:rsidRPr="005A61F1">
        <w:rPr>
          <w:sz w:val="24"/>
          <w:szCs w:val="24"/>
        </w:rPr>
        <w:t xml:space="preserve"> bimestre julho/agosto</w:t>
      </w:r>
      <w:r>
        <w:rPr>
          <w:sz w:val="24"/>
          <w:szCs w:val="24"/>
        </w:rPr>
        <w:t xml:space="preserve"> (PAD nº </w:t>
      </w:r>
      <w:r w:rsidRPr="00446A2C">
        <w:rPr>
          <w:sz w:val="24"/>
          <w:szCs w:val="24"/>
        </w:rPr>
        <w:t>14260/2015)</w:t>
      </w:r>
      <w:r w:rsidRPr="005A61F1">
        <w:rPr>
          <w:sz w:val="24"/>
          <w:szCs w:val="24"/>
        </w:rPr>
        <w:t>, que trata d</w:t>
      </w:r>
      <w:r>
        <w:rPr>
          <w:sz w:val="24"/>
          <w:szCs w:val="24"/>
        </w:rPr>
        <w:t>este</w:t>
      </w:r>
      <w:r w:rsidRPr="005A61F1">
        <w:rPr>
          <w:sz w:val="24"/>
          <w:szCs w:val="24"/>
        </w:rPr>
        <w:t xml:space="preserve"> tema e </w:t>
      </w:r>
      <w:r>
        <w:rPr>
          <w:sz w:val="24"/>
          <w:szCs w:val="24"/>
        </w:rPr>
        <w:t xml:space="preserve">cujo Relatório (PAD nº </w:t>
      </w:r>
      <w:r w:rsidRPr="00446A2C">
        <w:rPr>
          <w:sz w:val="24"/>
          <w:szCs w:val="24"/>
        </w:rPr>
        <w:t>13928/2015)</w:t>
      </w:r>
      <w:r>
        <w:t xml:space="preserve"> </w:t>
      </w:r>
      <w:r>
        <w:rPr>
          <w:sz w:val="24"/>
          <w:szCs w:val="24"/>
        </w:rPr>
        <w:t>está em fase de homologação pela Presidência deste Tribunal, para posterior comunicação às Unidades deste Órgão.</w:t>
      </w:r>
    </w:p>
    <w:p w:rsidR="00C12A01" w:rsidRDefault="00C12A01" w:rsidP="008F75FD">
      <w:pPr>
        <w:spacing w:before="120"/>
        <w:ind w:firstLine="851"/>
        <w:jc w:val="both"/>
        <w:rPr>
          <w:sz w:val="24"/>
          <w:szCs w:val="24"/>
        </w:rPr>
      </w:pPr>
      <w:r>
        <w:rPr>
          <w:sz w:val="24"/>
          <w:szCs w:val="24"/>
        </w:rPr>
        <w:t xml:space="preserve">De toda sorte, recomenda-se que o relatório do SICAF que detalha a </w:t>
      </w:r>
      <w:r w:rsidRPr="00B475E7">
        <w:rPr>
          <w:sz w:val="24"/>
          <w:szCs w:val="24"/>
        </w:rPr>
        <w:t>ocorrência indireta</w:t>
      </w:r>
      <w:r>
        <w:rPr>
          <w:sz w:val="24"/>
          <w:szCs w:val="24"/>
        </w:rPr>
        <w:t xml:space="preserve"> </w:t>
      </w:r>
      <w:r w:rsidR="00A06394">
        <w:rPr>
          <w:sz w:val="24"/>
          <w:szCs w:val="24"/>
        </w:rPr>
        <w:t xml:space="preserve">(encaminhado a esta Seção via correio eletrônico) </w:t>
      </w:r>
      <w:r>
        <w:rPr>
          <w:sz w:val="24"/>
          <w:szCs w:val="24"/>
        </w:rPr>
        <w:t>seja anexado aos autos (PAD 352/2015).</w:t>
      </w:r>
    </w:p>
    <w:p w:rsidR="00A06394" w:rsidRDefault="00A06394" w:rsidP="007563FE">
      <w:pPr>
        <w:spacing w:before="120"/>
        <w:jc w:val="both"/>
        <w:rPr>
          <w:b/>
          <w:sz w:val="24"/>
          <w:szCs w:val="24"/>
        </w:rPr>
      </w:pPr>
    </w:p>
    <w:p w:rsidR="00A06394" w:rsidRDefault="00A06394" w:rsidP="007563FE">
      <w:pPr>
        <w:spacing w:before="120"/>
        <w:jc w:val="both"/>
        <w:rPr>
          <w:b/>
          <w:sz w:val="24"/>
          <w:szCs w:val="24"/>
        </w:rPr>
      </w:pPr>
      <w:proofErr w:type="gramStart"/>
      <w:r>
        <w:rPr>
          <w:b/>
          <w:sz w:val="24"/>
          <w:szCs w:val="24"/>
        </w:rPr>
        <w:t>III.</w:t>
      </w:r>
      <w:proofErr w:type="gramEnd"/>
      <w:r>
        <w:rPr>
          <w:b/>
          <w:sz w:val="24"/>
          <w:szCs w:val="24"/>
        </w:rPr>
        <w:t xml:space="preserve">2. PAD 1912/2015 – Pregão 28/2015 – Aquisição de quadros elétricos completos para </w:t>
      </w:r>
      <w:proofErr w:type="spellStart"/>
      <w:r>
        <w:rPr>
          <w:b/>
          <w:sz w:val="24"/>
          <w:szCs w:val="24"/>
        </w:rPr>
        <w:t>chillers</w:t>
      </w:r>
      <w:proofErr w:type="spellEnd"/>
      <w:r>
        <w:rPr>
          <w:b/>
          <w:sz w:val="24"/>
          <w:szCs w:val="24"/>
        </w:rPr>
        <w:t>, incluindo instalação do sistema.</w:t>
      </w:r>
    </w:p>
    <w:p w:rsidR="00A06394" w:rsidRPr="00A06394" w:rsidRDefault="00A06394" w:rsidP="00A06394">
      <w:pPr>
        <w:tabs>
          <w:tab w:val="left" w:pos="851"/>
        </w:tabs>
        <w:spacing w:before="120"/>
        <w:jc w:val="both"/>
        <w:rPr>
          <w:sz w:val="24"/>
          <w:szCs w:val="24"/>
        </w:rPr>
      </w:pPr>
      <w:r>
        <w:rPr>
          <w:b/>
          <w:sz w:val="24"/>
          <w:szCs w:val="24"/>
        </w:rPr>
        <w:tab/>
      </w:r>
      <w:r>
        <w:rPr>
          <w:sz w:val="24"/>
          <w:szCs w:val="24"/>
        </w:rPr>
        <w:t xml:space="preserve">Constatou-se apenas a ausência de comprovação da divulgação dos pedidos de esclarecimento e suas respectivas respostas no </w:t>
      </w:r>
      <w:proofErr w:type="spellStart"/>
      <w:r>
        <w:rPr>
          <w:sz w:val="24"/>
          <w:szCs w:val="24"/>
        </w:rPr>
        <w:t>Comprasnet</w:t>
      </w:r>
      <w:proofErr w:type="spellEnd"/>
      <w:r>
        <w:rPr>
          <w:sz w:val="24"/>
          <w:szCs w:val="24"/>
        </w:rPr>
        <w:t xml:space="preserve">. Trata-se de irregularidade meramente formal, uma vez que foi realizada a publicação, olvidando-se o Pregoeiro somente de anexar aos autos o respectivo documento extraído do sistema. </w:t>
      </w:r>
    </w:p>
    <w:p w:rsidR="00106B69" w:rsidRDefault="00A06394" w:rsidP="00106B69">
      <w:pPr>
        <w:spacing w:before="120"/>
        <w:jc w:val="both"/>
        <w:rPr>
          <w:b/>
          <w:sz w:val="24"/>
          <w:szCs w:val="24"/>
        </w:rPr>
      </w:pPr>
      <w:r>
        <w:rPr>
          <w:b/>
          <w:sz w:val="24"/>
          <w:szCs w:val="24"/>
        </w:rPr>
        <w:lastRenderedPageBreak/>
        <w:tab/>
      </w:r>
    </w:p>
    <w:p w:rsidR="0052640A" w:rsidRPr="005A61F1" w:rsidRDefault="0052640A" w:rsidP="0052640A">
      <w:pPr>
        <w:spacing w:before="120"/>
        <w:jc w:val="both"/>
        <w:rPr>
          <w:b/>
          <w:sz w:val="24"/>
          <w:szCs w:val="24"/>
        </w:rPr>
      </w:pPr>
      <w:proofErr w:type="gramStart"/>
      <w:r>
        <w:rPr>
          <w:b/>
          <w:sz w:val="24"/>
          <w:szCs w:val="24"/>
        </w:rPr>
        <w:t>III.</w:t>
      </w:r>
      <w:proofErr w:type="gramEnd"/>
      <w:r>
        <w:rPr>
          <w:b/>
          <w:sz w:val="24"/>
          <w:szCs w:val="24"/>
        </w:rPr>
        <w:t>3</w:t>
      </w:r>
      <w:r w:rsidRPr="005A61F1">
        <w:rPr>
          <w:b/>
          <w:sz w:val="24"/>
          <w:szCs w:val="24"/>
        </w:rPr>
        <w:t xml:space="preserve">. PAD 54/2015 – Pregão 34/2015 – Contratação de empresa especializada em processo de seleção pública para o ingresso em programa de estágio do TRE-BA. </w:t>
      </w:r>
    </w:p>
    <w:p w:rsidR="0052640A" w:rsidRDefault="0052640A" w:rsidP="0052640A">
      <w:pPr>
        <w:spacing w:before="120"/>
        <w:ind w:firstLine="851"/>
        <w:jc w:val="both"/>
        <w:rPr>
          <w:sz w:val="24"/>
          <w:szCs w:val="24"/>
        </w:rPr>
      </w:pPr>
    </w:p>
    <w:p w:rsidR="0052640A" w:rsidRPr="0052640A" w:rsidRDefault="0052640A" w:rsidP="0052640A">
      <w:pPr>
        <w:spacing w:before="120"/>
        <w:ind w:firstLine="851"/>
        <w:jc w:val="both"/>
        <w:rPr>
          <w:b/>
          <w:sz w:val="24"/>
          <w:szCs w:val="24"/>
        </w:rPr>
      </w:pPr>
      <w:proofErr w:type="gramStart"/>
      <w:r w:rsidRPr="0052640A">
        <w:rPr>
          <w:b/>
          <w:sz w:val="24"/>
          <w:szCs w:val="24"/>
        </w:rPr>
        <w:t>III.</w:t>
      </w:r>
      <w:proofErr w:type="gramEnd"/>
      <w:r w:rsidRPr="0052640A">
        <w:rPr>
          <w:b/>
          <w:sz w:val="24"/>
          <w:szCs w:val="24"/>
        </w:rPr>
        <w:t xml:space="preserve">3.1. Ausência de previsão no </w:t>
      </w:r>
      <w:r w:rsidRPr="0004496F">
        <w:rPr>
          <w:b/>
          <w:sz w:val="24"/>
          <w:szCs w:val="24"/>
        </w:rPr>
        <w:t>PLANCONT</w:t>
      </w:r>
      <w:r w:rsidR="0004496F">
        <w:rPr>
          <w:b/>
          <w:sz w:val="24"/>
          <w:szCs w:val="24"/>
        </w:rPr>
        <w:t xml:space="preserve"> </w:t>
      </w:r>
      <w:r w:rsidR="0004496F" w:rsidRPr="0004496F">
        <w:rPr>
          <w:b/>
          <w:sz w:val="24"/>
          <w:szCs w:val="24"/>
        </w:rPr>
        <w:t>(Plano Anual de Co</w:t>
      </w:r>
      <w:r w:rsidR="00573E70" w:rsidRPr="0004496F">
        <w:rPr>
          <w:b/>
          <w:sz w:val="24"/>
          <w:szCs w:val="24"/>
        </w:rPr>
        <w:t>ntratações</w:t>
      </w:r>
      <w:r w:rsidR="0004496F" w:rsidRPr="0004496F">
        <w:rPr>
          <w:b/>
          <w:sz w:val="24"/>
          <w:szCs w:val="24"/>
        </w:rPr>
        <w:t xml:space="preserve"> – Exercício 2015</w:t>
      </w:r>
      <w:r w:rsidR="00573E70" w:rsidRPr="0004496F">
        <w:rPr>
          <w:b/>
          <w:sz w:val="24"/>
          <w:szCs w:val="24"/>
        </w:rPr>
        <w:t>)</w:t>
      </w:r>
      <w:r w:rsidRPr="0052640A">
        <w:rPr>
          <w:b/>
          <w:sz w:val="24"/>
          <w:szCs w:val="24"/>
        </w:rPr>
        <w:t xml:space="preserve"> e de autorização prévia do Diretor-Geral para a inclusão</w:t>
      </w:r>
    </w:p>
    <w:p w:rsidR="0052640A" w:rsidRPr="005A61F1" w:rsidRDefault="0052640A" w:rsidP="0052640A">
      <w:pPr>
        <w:spacing w:before="120"/>
        <w:ind w:firstLine="851"/>
        <w:jc w:val="both"/>
        <w:rPr>
          <w:sz w:val="24"/>
          <w:szCs w:val="24"/>
        </w:rPr>
      </w:pPr>
      <w:r w:rsidRPr="005A61F1">
        <w:rPr>
          <w:sz w:val="24"/>
          <w:szCs w:val="24"/>
        </w:rPr>
        <w:t xml:space="preserve">Em relação a este processo, verifica-se que a contratação não havia sido </w:t>
      </w:r>
      <w:r>
        <w:rPr>
          <w:sz w:val="24"/>
          <w:szCs w:val="24"/>
        </w:rPr>
        <w:t>contemplada</w:t>
      </w:r>
      <w:r w:rsidRPr="005A61F1">
        <w:rPr>
          <w:sz w:val="24"/>
          <w:szCs w:val="24"/>
        </w:rPr>
        <w:t xml:space="preserve"> no PLANCONT 2015, </w:t>
      </w:r>
      <w:r>
        <w:rPr>
          <w:sz w:val="24"/>
          <w:szCs w:val="24"/>
        </w:rPr>
        <w:t>tendo sido necessário, inclusive, o</w:t>
      </w:r>
      <w:r w:rsidRPr="005A61F1">
        <w:rPr>
          <w:sz w:val="24"/>
          <w:szCs w:val="24"/>
        </w:rPr>
        <w:t xml:space="preserve"> remanejamento</w:t>
      </w:r>
      <w:r>
        <w:rPr>
          <w:sz w:val="24"/>
          <w:szCs w:val="24"/>
        </w:rPr>
        <w:t xml:space="preserve"> de despesa</w:t>
      </w:r>
      <w:r w:rsidRPr="005A61F1">
        <w:rPr>
          <w:sz w:val="24"/>
          <w:szCs w:val="24"/>
        </w:rPr>
        <w:t xml:space="preserve">, </w:t>
      </w:r>
      <w:r>
        <w:rPr>
          <w:sz w:val="24"/>
          <w:szCs w:val="24"/>
        </w:rPr>
        <w:t xml:space="preserve">sem que </w:t>
      </w:r>
      <w:r w:rsidRPr="005A61F1">
        <w:rPr>
          <w:sz w:val="24"/>
          <w:szCs w:val="24"/>
        </w:rPr>
        <w:t>a Diretoria</w:t>
      </w:r>
      <w:r>
        <w:rPr>
          <w:sz w:val="24"/>
          <w:szCs w:val="24"/>
        </w:rPr>
        <w:t>-</w:t>
      </w:r>
      <w:r w:rsidRPr="005A61F1">
        <w:rPr>
          <w:sz w:val="24"/>
          <w:szCs w:val="24"/>
        </w:rPr>
        <w:t xml:space="preserve">Geral </w:t>
      </w:r>
      <w:r>
        <w:rPr>
          <w:sz w:val="24"/>
          <w:szCs w:val="24"/>
        </w:rPr>
        <w:t xml:space="preserve">tivesse sido </w:t>
      </w:r>
      <w:r w:rsidRPr="005A61F1">
        <w:rPr>
          <w:sz w:val="24"/>
          <w:szCs w:val="24"/>
        </w:rPr>
        <w:t>consultada para a autorização necessária ao caso</w:t>
      </w:r>
      <w:r>
        <w:rPr>
          <w:sz w:val="24"/>
          <w:szCs w:val="24"/>
        </w:rPr>
        <w:t>. Tal conduta co</w:t>
      </w:r>
      <w:r w:rsidRPr="005A61F1">
        <w:rPr>
          <w:sz w:val="24"/>
          <w:szCs w:val="24"/>
        </w:rPr>
        <w:t>ntraria Recomendação desta SCI</w:t>
      </w:r>
      <w:r w:rsidR="00573E70" w:rsidRPr="00B475E7">
        <w:rPr>
          <w:sz w:val="24"/>
          <w:szCs w:val="24"/>
        </w:rPr>
        <w:t xml:space="preserve">, homologada pela Presidência desta Casa no bojo do processo de </w:t>
      </w:r>
      <w:r w:rsidRPr="005A61F1">
        <w:rPr>
          <w:sz w:val="24"/>
          <w:szCs w:val="24"/>
        </w:rPr>
        <w:t xml:space="preserve">Fiscalização dos Procedimentos de Dispensa e Inexigibilidade de </w:t>
      </w:r>
      <w:proofErr w:type="gramStart"/>
      <w:r w:rsidRPr="005A61F1">
        <w:rPr>
          <w:sz w:val="24"/>
          <w:szCs w:val="24"/>
        </w:rPr>
        <w:t>Licitações Relati</w:t>
      </w:r>
      <w:r w:rsidRPr="00B475E7">
        <w:rPr>
          <w:sz w:val="24"/>
          <w:szCs w:val="24"/>
        </w:rPr>
        <w:t>vos</w:t>
      </w:r>
      <w:r w:rsidRPr="005A61F1">
        <w:rPr>
          <w:sz w:val="24"/>
          <w:szCs w:val="24"/>
        </w:rPr>
        <w:t xml:space="preserve"> às Contratações Ocorridas no Primeiro Semestre de 2014 (PAD nº 55/2015), nos seguintes termos</w:t>
      </w:r>
      <w:proofErr w:type="gramEnd"/>
      <w:r w:rsidRPr="005A61F1">
        <w:rPr>
          <w:sz w:val="24"/>
          <w:szCs w:val="24"/>
        </w:rPr>
        <w:t>:</w:t>
      </w:r>
    </w:p>
    <w:p w:rsidR="0052640A" w:rsidRPr="005A61F1" w:rsidRDefault="0052640A" w:rsidP="0052640A">
      <w:pPr>
        <w:spacing w:before="120"/>
        <w:ind w:firstLine="851"/>
        <w:jc w:val="both"/>
        <w:rPr>
          <w:sz w:val="24"/>
          <w:szCs w:val="24"/>
        </w:rPr>
      </w:pPr>
      <w:r w:rsidRPr="00C42651">
        <w:rPr>
          <w:sz w:val="24"/>
          <w:szCs w:val="24"/>
        </w:rPr>
        <w:t>“</w:t>
      </w:r>
      <w:proofErr w:type="gramStart"/>
      <w:r w:rsidR="00C42651" w:rsidRPr="00C42651">
        <w:rPr>
          <w:sz w:val="24"/>
          <w:szCs w:val="24"/>
        </w:rPr>
        <w:t>IV.</w:t>
      </w:r>
      <w:proofErr w:type="gramEnd"/>
      <w:r w:rsidR="00C42651" w:rsidRPr="00C42651">
        <w:rPr>
          <w:sz w:val="24"/>
          <w:szCs w:val="24"/>
        </w:rPr>
        <w:t xml:space="preserve">3. </w:t>
      </w:r>
      <w:r w:rsidRPr="00C42651">
        <w:rPr>
          <w:sz w:val="24"/>
          <w:szCs w:val="24"/>
          <w:lang w:val="x-none"/>
        </w:rPr>
        <w:t>Recomendar</w:t>
      </w:r>
      <w:r w:rsidRPr="005A61F1">
        <w:rPr>
          <w:sz w:val="24"/>
          <w:szCs w:val="24"/>
          <w:lang w:val="x-none"/>
        </w:rPr>
        <w:t xml:space="preserve"> que as unidades demandantes de produtos e serviços do Tribunal sejam instadas a aprimorar o planejamento das contratações, incluindo-as no PLANCONT do ano respectivo, </w:t>
      </w:r>
      <w:r w:rsidRPr="005A61F1">
        <w:rPr>
          <w:sz w:val="24"/>
          <w:szCs w:val="24"/>
          <w:u w:val="single"/>
          <w:lang w:val="x-none"/>
        </w:rPr>
        <w:t>com a determinação de que quaisquer demandas não previstas neste instrumento deverão ser submetidas à prévia autorização da autoridade superior</w:t>
      </w:r>
      <w:r w:rsidR="00C42651">
        <w:rPr>
          <w:sz w:val="24"/>
          <w:szCs w:val="24"/>
          <w:u w:val="single"/>
        </w:rPr>
        <w:t>.</w:t>
      </w:r>
      <w:r w:rsidR="00C42651" w:rsidRPr="00C42651">
        <w:rPr>
          <w:sz w:val="24"/>
          <w:szCs w:val="24"/>
        </w:rPr>
        <w:t xml:space="preserve"> (...)</w:t>
      </w:r>
      <w:r w:rsidRPr="00C42651">
        <w:rPr>
          <w:sz w:val="24"/>
          <w:szCs w:val="24"/>
        </w:rPr>
        <w:t>”</w:t>
      </w:r>
      <w:r w:rsidRPr="00C42651">
        <w:rPr>
          <w:sz w:val="24"/>
          <w:szCs w:val="24"/>
          <w:lang w:val="x-none"/>
        </w:rPr>
        <w:t>.</w:t>
      </w:r>
    </w:p>
    <w:p w:rsidR="0052640A" w:rsidRDefault="0052640A" w:rsidP="0052640A">
      <w:pPr>
        <w:ind w:firstLine="851"/>
        <w:jc w:val="both"/>
        <w:rPr>
          <w:sz w:val="24"/>
          <w:szCs w:val="24"/>
        </w:rPr>
      </w:pPr>
    </w:p>
    <w:p w:rsidR="0052640A" w:rsidRPr="00C42651" w:rsidRDefault="0052640A" w:rsidP="0052640A">
      <w:pPr>
        <w:ind w:firstLine="851"/>
        <w:jc w:val="both"/>
        <w:rPr>
          <w:b/>
          <w:sz w:val="24"/>
          <w:szCs w:val="24"/>
        </w:rPr>
      </w:pPr>
      <w:proofErr w:type="gramStart"/>
      <w:r w:rsidRPr="00C42651">
        <w:rPr>
          <w:b/>
          <w:sz w:val="24"/>
          <w:szCs w:val="24"/>
        </w:rPr>
        <w:t>III.</w:t>
      </w:r>
      <w:proofErr w:type="gramEnd"/>
      <w:r w:rsidRPr="00C42651">
        <w:rPr>
          <w:b/>
          <w:sz w:val="24"/>
          <w:szCs w:val="24"/>
        </w:rPr>
        <w:t xml:space="preserve">3.2. </w:t>
      </w:r>
      <w:r w:rsidR="006B3466">
        <w:rPr>
          <w:b/>
          <w:sz w:val="24"/>
          <w:szCs w:val="24"/>
        </w:rPr>
        <w:t xml:space="preserve">Necessidade de </w:t>
      </w:r>
      <w:r w:rsidR="00573E70" w:rsidRPr="00B475E7">
        <w:rPr>
          <w:b/>
          <w:sz w:val="24"/>
          <w:szCs w:val="24"/>
        </w:rPr>
        <w:t>dar</w:t>
      </w:r>
      <w:r w:rsidR="00573E70">
        <w:rPr>
          <w:b/>
          <w:color w:val="0070C0"/>
          <w:sz w:val="24"/>
          <w:szCs w:val="24"/>
        </w:rPr>
        <w:t xml:space="preserve"> </w:t>
      </w:r>
      <w:r w:rsidR="006B3466">
        <w:rPr>
          <w:b/>
          <w:sz w:val="24"/>
          <w:szCs w:val="24"/>
        </w:rPr>
        <w:t xml:space="preserve">ciência às áreas envolvidas das recomendações/providências aventadas pela ASSESD </w:t>
      </w:r>
    </w:p>
    <w:p w:rsidR="006B3466" w:rsidRDefault="006B3466" w:rsidP="0052640A">
      <w:pPr>
        <w:ind w:firstLine="851"/>
        <w:jc w:val="both"/>
        <w:rPr>
          <w:sz w:val="24"/>
          <w:szCs w:val="24"/>
        </w:rPr>
      </w:pPr>
      <w:r>
        <w:rPr>
          <w:sz w:val="24"/>
          <w:szCs w:val="24"/>
        </w:rPr>
        <w:t>Durante a análise da</w:t>
      </w:r>
      <w:r w:rsidR="00821C46">
        <w:rPr>
          <w:sz w:val="24"/>
          <w:szCs w:val="24"/>
        </w:rPr>
        <w:t xml:space="preserve"> regularidade do Pregão 34/2015, a ASSESD pontuou questão relevante acerca da importância da autenticação das certidões pela equipe do Pregão, nos seguintes termos:</w:t>
      </w:r>
      <w:r>
        <w:rPr>
          <w:sz w:val="24"/>
          <w:szCs w:val="24"/>
        </w:rPr>
        <w:t xml:space="preserve"> </w:t>
      </w:r>
      <w:r w:rsidR="00821C46" w:rsidRPr="00C42651">
        <w:rPr>
          <w:i/>
          <w:sz w:val="24"/>
          <w:szCs w:val="24"/>
        </w:rPr>
        <w:t xml:space="preserve">“Pedimos atenção redobrada da equipe de Pregão no tocante às certidões passíveis de autenticação nos próprios sítios eletrônicos dos órgãos emissores. O presente certame afastou a primeira colocada </w:t>
      </w:r>
      <w:proofErr w:type="gramStart"/>
      <w:r w:rsidR="00821C46" w:rsidRPr="00C42651">
        <w:rPr>
          <w:i/>
          <w:sz w:val="24"/>
          <w:szCs w:val="24"/>
        </w:rPr>
        <w:t>após</w:t>
      </w:r>
      <w:proofErr w:type="gramEnd"/>
      <w:r w:rsidR="00821C46" w:rsidRPr="00C42651">
        <w:rPr>
          <w:i/>
          <w:sz w:val="24"/>
          <w:szCs w:val="24"/>
        </w:rPr>
        <w:t xml:space="preserve"> constatada que a CNDT encaminhada, apesar de encontrar-se dentro da validade indicada, não se encontrava atualizada com as pendências do licitante no momento da habilitação. Neste sentido, mister que os operadores do Pregão validem aquelas certidões encaminhadas pelos licitantes que sejam passíveis de autenticidade no momento da sessão”</w:t>
      </w:r>
      <w:r w:rsidR="00821C46" w:rsidRPr="00821C46">
        <w:rPr>
          <w:sz w:val="24"/>
          <w:szCs w:val="24"/>
        </w:rPr>
        <w:t xml:space="preserve"> </w:t>
      </w:r>
      <w:r w:rsidR="00821C46" w:rsidRPr="005A61F1">
        <w:rPr>
          <w:sz w:val="24"/>
          <w:szCs w:val="24"/>
        </w:rPr>
        <w:t>(doc. nº. 97329/2015)</w:t>
      </w:r>
      <w:r w:rsidR="00821C46">
        <w:rPr>
          <w:rStyle w:val="Refdenotaderodap"/>
          <w:sz w:val="24"/>
          <w:szCs w:val="24"/>
        </w:rPr>
        <w:footnoteReference w:id="1"/>
      </w:r>
      <w:r w:rsidR="00821C46" w:rsidRPr="005A61F1">
        <w:rPr>
          <w:sz w:val="24"/>
          <w:szCs w:val="24"/>
        </w:rPr>
        <w:t xml:space="preserve">.  </w:t>
      </w:r>
    </w:p>
    <w:p w:rsidR="00C23114" w:rsidRDefault="00C23114" w:rsidP="00383BDB">
      <w:pPr>
        <w:tabs>
          <w:tab w:val="left" w:pos="851"/>
        </w:tabs>
        <w:spacing w:before="120"/>
        <w:jc w:val="both"/>
        <w:rPr>
          <w:sz w:val="24"/>
          <w:szCs w:val="24"/>
        </w:rPr>
      </w:pPr>
      <w:r>
        <w:rPr>
          <w:b/>
          <w:sz w:val="24"/>
          <w:szCs w:val="24"/>
        </w:rPr>
        <w:tab/>
      </w:r>
      <w:r w:rsidRPr="00C23114">
        <w:rPr>
          <w:sz w:val="24"/>
          <w:szCs w:val="24"/>
        </w:rPr>
        <w:t>Todavia,</w:t>
      </w:r>
      <w:r>
        <w:rPr>
          <w:sz w:val="24"/>
          <w:szCs w:val="24"/>
        </w:rPr>
        <w:t xml:space="preserve"> a Seção de Licitações (SELIC), unidade responsável por orientar os Pregoeiros, não tomou conhecimento da manifestação em tela, de forma que os apontamentos realizados não produziram os efeitos almejados.</w:t>
      </w:r>
    </w:p>
    <w:p w:rsidR="0052640A" w:rsidRPr="00C23114" w:rsidRDefault="00C23114" w:rsidP="00383BDB">
      <w:pPr>
        <w:spacing w:before="120"/>
        <w:ind w:firstLine="851"/>
        <w:jc w:val="both"/>
        <w:rPr>
          <w:sz w:val="24"/>
          <w:szCs w:val="24"/>
        </w:rPr>
      </w:pPr>
      <w:r>
        <w:rPr>
          <w:sz w:val="24"/>
          <w:szCs w:val="24"/>
        </w:rPr>
        <w:lastRenderedPageBreak/>
        <w:t xml:space="preserve">Assim, </w:t>
      </w:r>
      <w:r w:rsidR="007D750A">
        <w:rPr>
          <w:sz w:val="24"/>
          <w:szCs w:val="24"/>
        </w:rPr>
        <w:t>convém</w:t>
      </w:r>
      <w:r>
        <w:rPr>
          <w:sz w:val="24"/>
          <w:szCs w:val="24"/>
        </w:rPr>
        <w:t xml:space="preserve"> que, quando da análise do procedimento licitatório resultarem recomendações</w:t>
      </w:r>
      <w:r w:rsidR="007D750A">
        <w:rPr>
          <w:sz w:val="24"/>
          <w:szCs w:val="24"/>
        </w:rPr>
        <w:t xml:space="preserve"> dirigidas </w:t>
      </w:r>
      <w:r>
        <w:rPr>
          <w:sz w:val="24"/>
          <w:szCs w:val="24"/>
        </w:rPr>
        <w:t xml:space="preserve">a </w:t>
      </w:r>
      <w:r w:rsidR="007D750A">
        <w:rPr>
          <w:sz w:val="24"/>
          <w:szCs w:val="24"/>
        </w:rPr>
        <w:t xml:space="preserve">uma </w:t>
      </w:r>
      <w:r>
        <w:rPr>
          <w:sz w:val="24"/>
          <w:szCs w:val="24"/>
        </w:rPr>
        <w:t xml:space="preserve">área específica, </w:t>
      </w:r>
      <w:r w:rsidR="007D750A">
        <w:rPr>
          <w:sz w:val="24"/>
          <w:szCs w:val="24"/>
        </w:rPr>
        <w:t>tal unidade seja cientificada para a adoção das providências cabíveis. V</w:t>
      </w:r>
      <w:r>
        <w:rPr>
          <w:sz w:val="24"/>
          <w:szCs w:val="24"/>
        </w:rPr>
        <w:t xml:space="preserve">isando não atrapalhar o trâmite regular do processo, </w:t>
      </w:r>
      <w:r w:rsidR="007D750A">
        <w:rPr>
          <w:sz w:val="24"/>
          <w:szCs w:val="24"/>
        </w:rPr>
        <w:t>sugere-se a criação de PAD próprio.</w:t>
      </w:r>
      <w:r>
        <w:rPr>
          <w:sz w:val="24"/>
          <w:szCs w:val="24"/>
        </w:rPr>
        <w:t xml:space="preserve"> </w:t>
      </w:r>
      <w:r w:rsidRPr="00C23114">
        <w:rPr>
          <w:sz w:val="24"/>
          <w:szCs w:val="24"/>
        </w:rPr>
        <w:t xml:space="preserve"> </w:t>
      </w:r>
      <w:r w:rsidRPr="00C23114">
        <w:rPr>
          <w:sz w:val="24"/>
          <w:szCs w:val="24"/>
        </w:rPr>
        <w:tab/>
      </w:r>
    </w:p>
    <w:p w:rsidR="00C23114" w:rsidRDefault="00C23114" w:rsidP="00106B69">
      <w:pPr>
        <w:spacing w:before="120"/>
        <w:jc w:val="both"/>
        <w:rPr>
          <w:b/>
          <w:sz w:val="24"/>
          <w:szCs w:val="24"/>
        </w:rPr>
      </w:pPr>
    </w:p>
    <w:p w:rsidR="00652F7E" w:rsidRDefault="00106B69" w:rsidP="00106B69">
      <w:pPr>
        <w:spacing w:before="120"/>
        <w:jc w:val="both"/>
        <w:rPr>
          <w:b/>
          <w:sz w:val="24"/>
          <w:szCs w:val="24"/>
        </w:rPr>
      </w:pPr>
      <w:proofErr w:type="gramStart"/>
      <w:r>
        <w:rPr>
          <w:b/>
          <w:sz w:val="24"/>
          <w:szCs w:val="24"/>
        </w:rPr>
        <w:t>III.</w:t>
      </w:r>
      <w:proofErr w:type="gramEnd"/>
      <w:r w:rsidR="0052640A">
        <w:rPr>
          <w:b/>
          <w:sz w:val="24"/>
          <w:szCs w:val="24"/>
        </w:rPr>
        <w:t>4</w:t>
      </w:r>
      <w:r>
        <w:rPr>
          <w:b/>
          <w:sz w:val="24"/>
          <w:szCs w:val="24"/>
        </w:rPr>
        <w:t xml:space="preserve">. PAD </w:t>
      </w:r>
      <w:r w:rsidR="00F10E4B">
        <w:rPr>
          <w:b/>
          <w:sz w:val="24"/>
          <w:szCs w:val="24"/>
        </w:rPr>
        <w:t xml:space="preserve">325/2015 – Pregão 16/2015 – Contratação de empresa especializada para a execução dos serviços de desratização, </w:t>
      </w:r>
      <w:proofErr w:type="spellStart"/>
      <w:r w:rsidR="00F10E4B">
        <w:rPr>
          <w:b/>
          <w:sz w:val="24"/>
          <w:szCs w:val="24"/>
        </w:rPr>
        <w:t>descupinização</w:t>
      </w:r>
      <w:proofErr w:type="spellEnd"/>
      <w:r w:rsidR="00F10E4B">
        <w:rPr>
          <w:b/>
          <w:sz w:val="24"/>
          <w:szCs w:val="24"/>
        </w:rPr>
        <w:t xml:space="preserve"> e </w:t>
      </w:r>
      <w:proofErr w:type="spellStart"/>
      <w:r w:rsidR="00F10E4B">
        <w:rPr>
          <w:b/>
          <w:sz w:val="24"/>
          <w:szCs w:val="24"/>
        </w:rPr>
        <w:t>desinsetização</w:t>
      </w:r>
      <w:proofErr w:type="spellEnd"/>
      <w:r w:rsidR="00F10E4B">
        <w:rPr>
          <w:b/>
          <w:sz w:val="24"/>
          <w:szCs w:val="24"/>
        </w:rPr>
        <w:t xml:space="preserve"> das dependências </w:t>
      </w:r>
      <w:r w:rsidR="00652F7E">
        <w:rPr>
          <w:b/>
          <w:sz w:val="24"/>
          <w:szCs w:val="24"/>
        </w:rPr>
        <w:t>dos prédios dos fóruns e cartórios eleitorais do interior do Estado da Bahia.</w:t>
      </w:r>
    </w:p>
    <w:p w:rsidR="00652F7E" w:rsidRDefault="00652F7E" w:rsidP="00106B69">
      <w:pPr>
        <w:spacing w:before="120"/>
        <w:jc w:val="both"/>
        <w:rPr>
          <w:b/>
          <w:sz w:val="24"/>
          <w:szCs w:val="24"/>
        </w:rPr>
      </w:pPr>
    </w:p>
    <w:p w:rsidR="00652F7E" w:rsidRDefault="00652F7E" w:rsidP="00383BDB">
      <w:pPr>
        <w:spacing w:before="120"/>
        <w:ind w:firstLine="851"/>
        <w:jc w:val="both"/>
        <w:rPr>
          <w:b/>
          <w:sz w:val="24"/>
          <w:szCs w:val="24"/>
        </w:rPr>
      </w:pPr>
      <w:proofErr w:type="gramStart"/>
      <w:r>
        <w:rPr>
          <w:b/>
          <w:sz w:val="24"/>
          <w:szCs w:val="24"/>
        </w:rPr>
        <w:t>III.</w:t>
      </w:r>
      <w:proofErr w:type="gramEnd"/>
      <w:r w:rsidR="0052640A">
        <w:rPr>
          <w:b/>
          <w:sz w:val="24"/>
          <w:szCs w:val="24"/>
        </w:rPr>
        <w:t>4</w:t>
      </w:r>
      <w:r>
        <w:rPr>
          <w:b/>
          <w:sz w:val="24"/>
          <w:szCs w:val="24"/>
        </w:rPr>
        <w:t>.1. Digitalização parcial do processo</w:t>
      </w:r>
    </w:p>
    <w:p w:rsidR="00500184" w:rsidRDefault="00B80FD1" w:rsidP="00383BDB">
      <w:pPr>
        <w:spacing w:before="120"/>
        <w:ind w:firstLine="851"/>
        <w:jc w:val="both"/>
        <w:rPr>
          <w:sz w:val="24"/>
          <w:szCs w:val="24"/>
        </w:rPr>
      </w:pPr>
      <w:r w:rsidRPr="00B80FD1">
        <w:rPr>
          <w:sz w:val="24"/>
          <w:szCs w:val="24"/>
        </w:rPr>
        <w:t xml:space="preserve">Inicialmente, </w:t>
      </w:r>
      <w:r w:rsidR="00AF0A80">
        <w:rPr>
          <w:sz w:val="24"/>
          <w:szCs w:val="24"/>
        </w:rPr>
        <w:t>insta ressaltar</w:t>
      </w:r>
      <w:r>
        <w:rPr>
          <w:sz w:val="24"/>
          <w:szCs w:val="24"/>
        </w:rPr>
        <w:t xml:space="preserve"> que o Processo SADP nº. 56.088/2013, que originou o PAD 325/2015, foi digitalizado </w:t>
      </w:r>
      <w:r w:rsidR="003E6E11">
        <w:rPr>
          <w:sz w:val="24"/>
          <w:szCs w:val="24"/>
        </w:rPr>
        <w:t>de forma parcial (</w:t>
      </w:r>
      <w:r w:rsidR="009F62C7" w:rsidRPr="00B475E7">
        <w:rPr>
          <w:sz w:val="24"/>
          <w:szCs w:val="24"/>
        </w:rPr>
        <w:t>passou-se</w:t>
      </w:r>
      <w:r w:rsidR="003E6E11" w:rsidRPr="00B475E7">
        <w:rPr>
          <w:sz w:val="24"/>
          <w:szCs w:val="24"/>
        </w:rPr>
        <w:t xml:space="preserve"> </w:t>
      </w:r>
      <w:r w:rsidR="003E6E11">
        <w:rPr>
          <w:sz w:val="24"/>
          <w:szCs w:val="24"/>
        </w:rPr>
        <w:t xml:space="preserve">da folha 46 para a 415), </w:t>
      </w:r>
      <w:r w:rsidR="00AF0A80">
        <w:rPr>
          <w:sz w:val="24"/>
          <w:szCs w:val="24"/>
        </w:rPr>
        <w:t xml:space="preserve">tornando </w:t>
      </w:r>
      <w:r w:rsidR="003E6E11">
        <w:rPr>
          <w:sz w:val="24"/>
          <w:szCs w:val="24"/>
        </w:rPr>
        <w:t>necessári</w:t>
      </w:r>
      <w:r w:rsidR="00AF0A80">
        <w:rPr>
          <w:sz w:val="24"/>
          <w:szCs w:val="24"/>
        </w:rPr>
        <w:t>a</w:t>
      </w:r>
      <w:r w:rsidR="003E6E11">
        <w:rPr>
          <w:sz w:val="24"/>
          <w:szCs w:val="24"/>
        </w:rPr>
        <w:t xml:space="preserve"> </w:t>
      </w:r>
      <w:r w:rsidR="00AF0A80">
        <w:rPr>
          <w:sz w:val="24"/>
          <w:szCs w:val="24"/>
        </w:rPr>
        <w:t xml:space="preserve">a </w:t>
      </w:r>
      <w:r w:rsidR="003E6E11">
        <w:rPr>
          <w:sz w:val="24"/>
          <w:szCs w:val="24"/>
        </w:rPr>
        <w:t>requisi</w:t>
      </w:r>
      <w:r w:rsidR="00AF0A80">
        <w:rPr>
          <w:sz w:val="24"/>
          <w:szCs w:val="24"/>
        </w:rPr>
        <w:t>ção</w:t>
      </w:r>
      <w:r w:rsidR="003E6E11">
        <w:rPr>
          <w:sz w:val="24"/>
          <w:szCs w:val="24"/>
        </w:rPr>
        <w:t xml:space="preserve"> </w:t>
      </w:r>
      <w:r w:rsidR="00AF0A80">
        <w:rPr>
          <w:sz w:val="24"/>
          <w:szCs w:val="24"/>
        </w:rPr>
        <w:t>d</w:t>
      </w:r>
      <w:r w:rsidR="003E6E11">
        <w:rPr>
          <w:sz w:val="24"/>
          <w:szCs w:val="24"/>
        </w:rPr>
        <w:t xml:space="preserve">os autos em meio físico (OTRS dirigida à Seção de </w:t>
      </w:r>
      <w:r w:rsidR="00AF0A80">
        <w:rPr>
          <w:sz w:val="24"/>
          <w:szCs w:val="24"/>
        </w:rPr>
        <w:t xml:space="preserve">Processamento Documental e </w:t>
      </w:r>
      <w:r w:rsidR="003E6E11">
        <w:rPr>
          <w:sz w:val="24"/>
          <w:szCs w:val="24"/>
        </w:rPr>
        <w:t>Arquivo)</w:t>
      </w:r>
      <w:r w:rsidR="00AF0A80">
        <w:rPr>
          <w:sz w:val="24"/>
          <w:szCs w:val="24"/>
        </w:rPr>
        <w:t xml:space="preserve"> para viabilizar a presente fiscalização</w:t>
      </w:r>
      <w:r w:rsidR="003E6E11">
        <w:rPr>
          <w:sz w:val="24"/>
          <w:szCs w:val="24"/>
        </w:rPr>
        <w:t>.</w:t>
      </w:r>
      <w:r w:rsidR="00AF0A80">
        <w:rPr>
          <w:sz w:val="24"/>
          <w:szCs w:val="24"/>
        </w:rPr>
        <w:t xml:space="preserve"> Tal prática dificulta o entendimento do processo, uma vez que eventos importantes, a exemplo da anulação do Pregão nº. 56/2014</w:t>
      </w:r>
      <w:proofErr w:type="gramStart"/>
      <w:r w:rsidR="00AF0A80">
        <w:rPr>
          <w:sz w:val="24"/>
          <w:szCs w:val="24"/>
        </w:rPr>
        <w:t>,</w:t>
      </w:r>
      <w:r w:rsidR="00642333">
        <w:rPr>
          <w:sz w:val="24"/>
          <w:szCs w:val="24"/>
        </w:rPr>
        <w:t xml:space="preserve"> </w:t>
      </w:r>
      <w:r w:rsidR="00AF0A80">
        <w:rPr>
          <w:sz w:val="24"/>
          <w:szCs w:val="24"/>
        </w:rPr>
        <w:t>deixam</w:t>
      </w:r>
      <w:proofErr w:type="gramEnd"/>
      <w:r w:rsidR="00AF0A80">
        <w:rPr>
          <w:sz w:val="24"/>
          <w:szCs w:val="24"/>
        </w:rPr>
        <w:t xml:space="preserve"> de ser visualizados pelos interessados. </w:t>
      </w:r>
    </w:p>
    <w:p w:rsidR="00500184" w:rsidRDefault="00500184" w:rsidP="00383BDB">
      <w:pPr>
        <w:spacing w:before="120"/>
        <w:ind w:firstLine="851"/>
        <w:jc w:val="both"/>
        <w:rPr>
          <w:sz w:val="24"/>
          <w:szCs w:val="24"/>
        </w:rPr>
      </w:pPr>
      <w:r>
        <w:rPr>
          <w:sz w:val="24"/>
          <w:szCs w:val="24"/>
        </w:rPr>
        <w:t>Considerando que, atualmente, os expedientes já iniciam em meio digital, mostra-se despicienda qualquer recomendação acerca do tema, servindo a presente observação apenas para registrar a falha.</w:t>
      </w:r>
    </w:p>
    <w:p w:rsidR="00500184" w:rsidRDefault="00500184" w:rsidP="00106B69">
      <w:pPr>
        <w:spacing w:before="120"/>
        <w:jc w:val="both"/>
        <w:rPr>
          <w:sz w:val="24"/>
          <w:szCs w:val="24"/>
        </w:rPr>
      </w:pPr>
    </w:p>
    <w:p w:rsidR="008B61C2" w:rsidRPr="00E24C7F" w:rsidRDefault="00500184" w:rsidP="00383BDB">
      <w:pPr>
        <w:spacing w:before="120"/>
        <w:ind w:firstLine="851"/>
        <w:jc w:val="both"/>
        <w:rPr>
          <w:b/>
          <w:sz w:val="24"/>
          <w:szCs w:val="24"/>
        </w:rPr>
      </w:pPr>
      <w:proofErr w:type="gramStart"/>
      <w:r w:rsidRPr="00E24C7F">
        <w:rPr>
          <w:b/>
          <w:sz w:val="24"/>
          <w:szCs w:val="24"/>
        </w:rPr>
        <w:t>III.</w:t>
      </w:r>
      <w:proofErr w:type="gramEnd"/>
      <w:r w:rsidR="0052640A" w:rsidRPr="00E24C7F">
        <w:rPr>
          <w:b/>
          <w:sz w:val="24"/>
          <w:szCs w:val="24"/>
        </w:rPr>
        <w:t>4</w:t>
      </w:r>
      <w:r w:rsidRPr="00E24C7F">
        <w:rPr>
          <w:b/>
          <w:sz w:val="24"/>
          <w:szCs w:val="24"/>
        </w:rPr>
        <w:t>.2.</w:t>
      </w:r>
      <w:r w:rsidR="00A26B1A" w:rsidRPr="00E24C7F">
        <w:rPr>
          <w:b/>
          <w:sz w:val="24"/>
          <w:szCs w:val="24"/>
        </w:rPr>
        <w:t xml:space="preserve"> </w:t>
      </w:r>
      <w:r w:rsidR="00E24C7F" w:rsidRPr="00E24C7F">
        <w:rPr>
          <w:b/>
          <w:sz w:val="24"/>
          <w:szCs w:val="24"/>
        </w:rPr>
        <w:t>Necessidade de j</w:t>
      </w:r>
      <w:r w:rsidR="004F1F0D" w:rsidRPr="00E24C7F">
        <w:rPr>
          <w:b/>
          <w:sz w:val="24"/>
          <w:szCs w:val="24"/>
        </w:rPr>
        <w:t>untada dos documentos do pregão, ainda que ele seja anulado</w:t>
      </w:r>
      <w:r w:rsidR="00AF1333">
        <w:rPr>
          <w:b/>
          <w:sz w:val="24"/>
          <w:szCs w:val="24"/>
        </w:rPr>
        <w:t>.</w:t>
      </w:r>
    </w:p>
    <w:p w:rsidR="00227BD4" w:rsidRDefault="00E24C7F" w:rsidP="00383BDB">
      <w:pPr>
        <w:spacing w:before="120"/>
        <w:ind w:firstLine="851"/>
        <w:jc w:val="both"/>
        <w:rPr>
          <w:sz w:val="24"/>
          <w:szCs w:val="24"/>
        </w:rPr>
      </w:pPr>
      <w:r w:rsidRPr="00E24C7F">
        <w:rPr>
          <w:sz w:val="24"/>
          <w:szCs w:val="24"/>
        </w:rPr>
        <w:t xml:space="preserve">Verificou-se </w:t>
      </w:r>
      <w:r>
        <w:rPr>
          <w:sz w:val="24"/>
          <w:szCs w:val="24"/>
        </w:rPr>
        <w:t>a ausência dos documentos relativos ao Pregão 56/2014, que restou anulado após a abertura da sessão. A ata gerada pelo sistema</w:t>
      </w:r>
      <w:r w:rsidR="004C634F" w:rsidRPr="00B475E7">
        <w:rPr>
          <w:rStyle w:val="Refdenotaderodap"/>
          <w:sz w:val="24"/>
          <w:szCs w:val="24"/>
        </w:rPr>
        <w:footnoteReference w:id="2"/>
      </w:r>
      <w:r w:rsidR="00882F64">
        <w:rPr>
          <w:sz w:val="24"/>
          <w:szCs w:val="24"/>
        </w:rPr>
        <w:t xml:space="preserve"> e </w:t>
      </w:r>
      <w:r>
        <w:rPr>
          <w:sz w:val="24"/>
          <w:szCs w:val="24"/>
        </w:rPr>
        <w:t xml:space="preserve">os documentos de habilitação enviados pelas empresas ou obtidos diretamente pela Pregoeira deixaram de ser oportunamente </w:t>
      </w:r>
      <w:r w:rsidR="004C634F">
        <w:rPr>
          <w:sz w:val="24"/>
          <w:szCs w:val="24"/>
        </w:rPr>
        <w:t>anexados aos autos.</w:t>
      </w:r>
    </w:p>
    <w:p w:rsidR="00E24C7F" w:rsidRPr="00882F64" w:rsidRDefault="004C634F" w:rsidP="00383BDB">
      <w:pPr>
        <w:spacing w:before="120"/>
        <w:ind w:firstLine="851"/>
        <w:jc w:val="both"/>
        <w:rPr>
          <w:sz w:val="24"/>
          <w:szCs w:val="24"/>
        </w:rPr>
      </w:pPr>
      <w:r w:rsidRPr="00882F64">
        <w:rPr>
          <w:sz w:val="24"/>
          <w:szCs w:val="24"/>
        </w:rPr>
        <w:t>Recomenda-se</w:t>
      </w:r>
      <w:r w:rsidR="00882F64" w:rsidRPr="00882F64">
        <w:rPr>
          <w:sz w:val="24"/>
          <w:szCs w:val="24"/>
        </w:rPr>
        <w:t xml:space="preserve"> que os Pregoeiros sejam orientados a anexar ao processo toda a documentação relativa à licitação, ainda que esta venha a ser anulada ou revogada, bem como os documentos enviados pelas empresas vencedoras, mesmo que insuficientes, redundando na sua inabilitação.</w:t>
      </w:r>
    </w:p>
    <w:p w:rsidR="004C634F" w:rsidRPr="002B1E56" w:rsidRDefault="004C634F" w:rsidP="00383BDB">
      <w:pPr>
        <w:spacing w:before="120"/>
        <w:ind w:firstLine="851"/>
        <w:jc w:val="both"/>
        <w:rPr>
          <w:sz w:val="24"/>
          <w:szCs w:val="24"/>
          <w:highlight w:val="yellow"/>
        </w:rPr>
      </w:pPr>
    </w:p>
    <w:p w:rsidR="00106B69" w:rsidRDefault="008B61C2" w:rsidP="00106B69">
      <w:pPr>
        <w:spacing w:before="120"/>
        <w:jc w:val="both"/>
        <w:rPr>
          <w:b/>
          <w:sz w:val="24"/>
          <w:szCs w:val="24"/>
        </w:rPr>
      </w:pPr>
      <w:proofErr w:type="gramStart"/>
      <w:r>
        <w:rPr>
          <w:b/>
          <w:sz w:val="24"/>
          <w:szCs w:val="24"/>
        </w:rPr>
        <w:t>III.</w:t>
      </w:r>
      <w:proofErr w:type="gramEnd"/>
      <w:r>
        <w:rPr>
          <w:b/>
          <w:sz w:val="24"/>
          <w:szCs w:val="24"/>
        </w:rPr>
        <w:t xml:space="preserve">5. PAD 118/2015 – </w:t>
      </w:r>
      <w:r w:rsidRPr="008B61C2">
        <w:rPr>
          <w:b/>
          <w:sz w:val="24"/>
          <w:szCs w:val="24"/>
        </w:rPr>
        <w:t xml:space="preserve">Pregão 37/2015 – Contratação de pessoa jurídica para prestação contínua de serviços de preparação de documentos para mudança de suporte, microfilmagem, inspeção dos documentos microfilmados e supervisão. </w:t>
      </w:r>
      <w:r>
        <w:rPr>
          <w:b/>
          <w:sz w:val="24"/>
          <w:szCs w:val="24"/>
        </w:rPr>
        <w:t xml:space="preserve"> </w:t>
      </w:r>
      <w:r w:rsidR="00500184" w:rsidRPr="00500184">
        <w:rPr>
          <w:b/>
          <w:sz w:val="24"/>
          <w:szCs w:val="24"/>
        </w:rPr>
        <w:t xml:space="preserve"> </w:t>
      </w:r>
      <w:r w:rsidR="00AF0A80" w:rsidRPr="00500184">
        <w:rPr>
          <w:b/>
          <w:sz w:val="24"/>
          <w:szCs w:val="24"/>
        </w:rPr>
        <w:t xml:space="preserve"> </w:t>
      </w:r>
      <w:r w:rsidR="003E6E11" w:rsidRPr="00500184">
        <w:rPr>
          <w:b/>
          <w:sz w:val="24"/>
          <w:szCs w:val="24"/>
        </w:rPr>
        <w:t xml:space="preserve"> </w:t>
      </w:r>
      <w:r w:rsidR="00652F7E" w:rsidRPr="00500184">
        <w:rPr>
          <w:b/>
          <w:sz w:val="24"/>
          <w:szCs w:val="24"/>
        </w:rPr>
        <w:t xml:space="preserve"> </w:t>
      </w:r>
    </w:p>
    <w:p w:rsidR="0086118D" w:rsidRDefault="00730F94" w:rsidP="00E24C7F">
      <w:pPr>
        <w:spacing w:before="120"/>
        <w:jc w:val="both"/>
        <w:rPr>
          <w:sz w:val="24"/>
          <w:szCs w:val="24"/>
        </w:rPr>
      </w:pPr>
      <w:r>
        <w:rPr>
          <w:b/>
          <w:sz w:val="24"/>
          <w:szCs w:val="24"/>
        </w:rPr>
        <w:tab/>
      </w:r>
      <w:r w:rsidR="00276972">
        <w:rPr>
          <w:sz w:val="24"/>
          <w:szCs w:val="24"/>
        </w:rPr>
        <w:t>O PAD 118/2015 teve sua primeira licitação anulada (Pregão nº. 70/2014), e</w:t>
      </w:r>
      <w:r w:rsidR="00E9026B">
        <w:rPr>
          <w:sz w:val="24"/>
          <w:szCs w:val="24"/>
        </w:rPr>
        <w:t xml:space="preserve">m grau de recurso, em face do reconhecimento pela Administração de condição restritiva do caráter competitivo do certame, qual seja, a exigência de qualificação técnico-operacional concernente à </w:t>
      </w:r>
      <w:r w:rsidR="00E9026B">
        <w:rPr>
          <w:sz w:val="24"/>
          <w:szCs w:val="24"/>
        </w:rPr>
        <w:lastRenderedPageBreak/>
        <w:t>comprovação, mediante a apresentação de atestado</w:t>
      </w:r>
      <w:r w:rsidR="00C513D7">
        <w:rPr>
          <w:sz w:val="24"/>
          <w:szCs w:val="24"/>
        </w:rPr>
        <w:t>s</w:t>
      </w:r>
      <w:r w:rsidR="00E9026B">
        <w:rPr>
          <w:sz w:val="24"/>
          <w:szCs w:val="24"/>
        </w:rPr>
        <w:t>, da realização de serviço idêntico ao licitado em características e quantitativos.</w:t>
      </w:r>
    </w:p>
    <w:p w:rsidR="00F16101" w:rsidRDefault="00F16101" w:rsidP="00383BDB">
      <w:pPr>
        <w:spacing w:before="120"/>
        <w:ind w:firstLine="851"/>
        <w:jc w:val="both"/>
        <w:rPr>
          <w:sz w:val="24"/>
          <w:szCs w:val="24"/>
        </w:rPr>
      </w:pPr>
      <w:r>
        <w:rPr>
          <w:sz w:val="24"/>
          <w:szCs w:val="24"/>
        </w:rPr>
        <w:t>A questão foi constatada</w:t>
      </w:r>
      <w:r w:rsidR="00E9026B">
        <w:rPr>
          <w:sz w:val="24"/>
          <w:szCs w:val="24"/>
        </w:rPr>
        <w:t xml:space="preserve"> pela ASJUR1</w:t>
      </w:r>
      <w:r w:rsidR="00616E93">
        <w:rPr>
          <w:sz w:val="24"/>
          <w:szCs w:val="24"/>
        </w:rPr>
        <w:t xml:space="preserve"> (Assessoria Jurídica de Licitações e Contratos)</w:t>
      </w:r>
      <w:r>
        <w:rPr>
          <w:sz w:val="24"/>
          <w:szCs w:val="24"/>
        </w:rPr>
        <w:t xml:space="preserve"> que, em parecer prévio à abertura do pregão, pontuou o que segue:</w:t>
      </w:r>
    </w:p>
    <w:p w:rsidR="00732899" w:rsidRDefault="00F16101" w:rsidP="00F16101">
      <w:pPr>
        <w:spacing w:before="120"/>
        <w:ind w:left="1701"/>
        <w:jc w:val="both"/>
        <w:rPr>
          <w:sz w:val="22"/>
          <w:szCs w:val="22"/>
        </w:rPr>
      </w:pPr>
      <w:proofErr w:type="gramStart"/>
      <w:r w:rsidRPr="00F16101">
        <w:rPr>
          <w:sz w:val="22"/>
          <w:szCs w:val="22"/>
        </w:rPr>
        <w:t>“Considerando que esse quantitativo equivale</w:t>
      </w:r>
      <w:proofErr w:type="gramEnd"/>
      <w:r w:rsidRPr="00F16101">
        <w:rPr>
          <w:sz w:val="22"/>
          <w:szCs w:val="22"/>
        </w:rPr>
        <w:t xml:space="preserve"> à produção esperada, e que a capacidade técnica deve se restringir </w:t>
      </w:r>
      <w:r w:rsidR="00732899">
        <w:rPr>
          <w:sz w:val="22"/>
          <w:szCs w:val="22"/>
        </w:rPr>
        <w:t>a</w:t>
      </w:r>
      <w:r w:rsidRPr="00F16101">
        <w:rPr>
          <w:sz w:val="22"/>
          <w:szCs w:val="22"/>
        </w:rPr>
        <w:t>o suficiente para garantir a boa execução dos serviços (não podendo ter caráter que restrinja a competição de forma inadequada), julgamos prudente</w:t>
      </w:r>
      <w:r w:rsidR="00E9026B" w:rsidRPr="00F16101">
        <w:rPr>
          <w:sz w:val="22"/>
          <w:szCs w:val="22"/>
        </w:rPr>
        <w:t xml:space="preserve"> </w:t>
      </w:r>
      <w:r w:rsidRPr="00F16101">
        <w:rPr>
          <w:sz w:val="22"/>
          <w:szCs w:val="22"/>
        </w:rPr>
        <w:t>que a unidade solicitante informe se a comprovação dos serviços nesse quantitativo (5.200 folhas) é imprescindível para comprovar a boa qualificação técnica da empresa; em caso negativo, deve ser alterado para o quantitativo suficiente para tal finalidade. A título de informação, o TCU vem entendendo como limite máximo 50% do quantitativo pretendido na contratação.</w:t>
      </w:r>
    </w:p>
    <w:p w:rsidR="00E9026B" w:rsidRPr="00F16101" w:rsidRDefault="00732899" w:rsidP="00F16101">
      <w:pPr>
        <w:spacing w:before="120"/>
        <w:ind w:left="1701"/>
        <w:jc w:val="both"/>
        <w:rPr>
          <w:sz w:val="22"/>
          <w:szCs w:val="22"/>
        </w:rPr>
      </w:pPr>
      <w:r>
        <w:rPr>
          <w:sz w:val="22"/>
          <w:szCs w:val="22"/>
        </w:rPr>
        <w:t>Na referida análise, deve a SEPDOC avaliar se realmente somente empresas que comprovem que prestaram os serviços no quantitativo esperado seriam capazes de prestar os serviços ora pretendidos ou se uma empresa que comprove que realizou os serviços com produção diária menor (</w:t>
      </w:r>
      <w:proofErr w:type="spellStart"/>
      <w:r>
        <w:rPr>
          <w:sz w:val="22"/>
          <w:szCs w:val="22"/>
        </w:rPr>
        <w:t>ex</w:t>
      </w:r>
      <w:proofErr w:type="spellEnd"/>
      <w:r>
        <w:rPr>
          <w:sz w:val="22"/>
          <w:szCs w:val="22"/>
        </w:rPr>
        <w:t xml:space="preserve">: 4000 folhas, 3000) também teria capacidade técnica para fazê-lo. Seja qual for </w:t>
      </w:r>
      <w:proofErr w:type="gramStart"/>
      <w:r>
        <w:rPr>
          <w:sz w:val="22"/>
          <w:szCs w:val="22"/>
        </w:rPr>
        <w:t>a</w:t>
      </w:r>
      <w:proofErr w:type="gramEnd"/>
      <w:r>
        <w:rPr>
          <w:sz w:val="22"/>
          <w:szCs w:val="22"/>
        </w:rPr>
        <w:t xml:space="preserve"> conclusão, devem ser consignadas nos autos as devidas justificativas.</w:t>
      </w:r>
      <w:r w:rsidR="00F16101" w:rsidRPr="00F16101">
        <w:rPr>
          <w:sz w:val="22"/>
          <w:szCs w:val="22"/>
        </w:rPr>
        <w:t>”</w:t>
      </w:r>
      <w:r>
        <w:rPr>
          <w:sz w:val="22"/>
          <w:szCs w:val="22"/>
        </w:rPr>
        <w:t xml:space="preserve"> (fl. 26, </w:t>
      </w:r>
      <w:proofErr w:type="spellStart"/>
      <w:r>
        <w:rPr>
          <w:sz w:val="22"/>
          <w:szCs w:val="22"/>
        </w:rPr>
        <w:t>Doc</w:t>
      </w:r>
      <w:proofErr w:type="spellEnd"/>
      <w:r>
        <w:rPr>
          <w:sz w:val="22"/>
          <w:szCs w:val="22"/>
        </w:rPr>
        <w:t xml:space="preserve"> 658/2015)</w:t>
      </w:r>
    </w:p>
    <w:p w:rsidR="00616E93" w:rsidRDefault="00616E93" w:rsidP="00383BDB">
      <w:pPr>
        <w:spacing w:before="120"/>
        <w:ind w:firstLine="851"/>
        <w:jc w:val="both"/>
        <w:rPr>
          <w:sz w:val="24"/>
          <w:szCs w:val="24"/>
        </w:rPr>
      </w:pPr>
      <w:r>
        <w:rPr>
          <w:sz w:val="24"/>
          <w:szCs w:val="24"/>
        </w:rPr>
        <w:t xml:space="preserve">Todavia, a SEPDOC manteve a exigência sob o argumento de que </w:t>
      </w:r>
      <w:r w:rsidRPr="00D415B1">
        <w:rPr>
          <w:i/>
          <w:sz w:val="24"/>
          <w:szCs w:val="24"/>
        </w:rPr>
        <w:t xml:space="preserve">“a capacidade de trabalho das empresas que executam os serviços solicitados é superior ao quantitativo estabelecido no item </w:t>
      </w:r>
      <w:r w:rsidR="00D415B1" w:rsidRPr="00D415B1">
        <w:rPr>
          <w:i/>
          <w:sz w:val="24"/>
          <w:szCs w:val="24"/>
        </w:rPr>
        <w:t>3.1”</w:t>
      </w:r>
      <w:r w:rsidR="00C513D7">
        <w:rPr>
          <w:sz w:val="24"/>
          <w:szCs w:val="24"/>
        </w:rPr>
        <w:t xml:space="preserve">. Observa-se que a manifestação da área não respondeu aos </w:t>
      </w:r>
      <w:r w:rsidR="0099177A">
        <w:rPr>
          <w:sz w:val="24"/>
          <w:szCs w:val="24"/>
        </w:rPr>
        <w:t>apont</w:t>
      </w:r>
      <w:r w:rsidR="00C513D7">
        <w:rPr>
          <w:sz w:val="24"/>
          <w:szCs w:val="24"/>
        </w:rPr>
        <w:t xml:space="preserve">amentos feitos pela ASJUR1. Ainda que as empresas do ramo tivessem capacidade superior à exigida (o que se mostrou bastante questionável diante da inabilitação da primeira colocada), </w:t>
      </w:r>
      <w:r w:rsidR="0099177A">
        <w:rPr>
          <w:sz w:val="24"/>
          <w:szCs w:val="24"/>
        </w:rPr>
        <w:t xml:space="preserve">tal fato não sustenta a manutenção da condição de qualificação técnica. O que embasa a exigência é a pertinência para a demonstração da capacidade de execução do objeto licitado. </w:t>
      </w:r>
      <w:r w:rsidR="00C513D7">
        <w:rPr>
          <w:sz w:val="24"/>
          <w:szCs w:val="24"/>
        </w:rPr>
        <w:t xml:space="preserve"> </w:t>
      </w:r>
    </w:p>
    <w:p w:rsidR="00383BDB" w:rsidRDefault="00D415B1" w:rsidP="00383BDB">
      <w:pPr>
        <w:spacing w:before="120"/>
        <w:ind w:firstLine="851"/>
        <w:jc w:val="both"/>
        <w:rPr>
          <w:sz w:val="24"/>
          <w:szCs w:val="24"/>
        </w:rPr>
      </w:pPr>
      <w:r>
        <w:rPr>
          <w:sz w:val="24"/>
          <w:szCs w:val="24"/>
        </w:rPr>
        <w:t>O tema da qualificação técnica já foi objeto de recomendação desta SEAGES</w:t>
      </w:r>
      <w:r w:rsidR="006F6382">
        <w:rPr>
          <w:sz w:val="24"/>
          <w:szCs w:val="24"/>
        </w:rPr>
        <w:t xml:space="preserve"> em duas oportunidades</w:t>
      </w:r>
      <w:r w:rsidR="006F6382">
        <w:rPr>
          <w:rStyle w:val="Refdenotaderodap"/>
          <w:sz w:val="24"/>
          <w:szCs w:val="24"/>
        </w:rPr>
        <w:footnoteReference w:id="3"/>
      </w:r>
      <w:r w:rsidR="006F6382">
        <w:rPr>
          <w:sz w:val="24"/>
          <w:szCs w:val="24"/>
        </w:rPr>
        <w:t>, sendo ainda constantemente abordado pela ASJUR1 em s</w:t>
      </w:r>
      <w:r w:rsidR="0099177A">
        <w:rPr>
          <w:sz w:val="24"/>
          <w:szCs w:val="24"/>
        </w:rPr>
        <w:t>eus pareceres</w:t>
      </w:r>
      <w:r w:rsidR="006F6382">
        <w:rPr>
          <w:sz w:val="24"/>
          <w:szCs w:val="24"/>
        </w:rPr>
        <w:t xml:space="preserve">. Ainda </w:t>
      </w:r>
      <w:r w:rsidR="006F6382" w:rsidRPr="003F2E20">
        <w:rPr>
          <w:sz w:val="24"/>
          <w:szCs w:val="24"/>
        </w:rPr>
        <w:lastRenderedPageBreak/>
        <w:t>assim, as unidades solicitantes apresentam dificuldade no momento de definir e justificar as exigências.</w:t>
      </w:r>
      <w:r w:rsidR="006F6382">
        <w:rPr>
          <w:sz w:val="24"/>
          <w:szCs w:val="24"/>
        </w:rPr>
        <w:t xml:space="preserve"> </w:t>
      </w:r>
    </w:p>
    <w:p w:rsidR="0086118D" w:rsidRDefault="00383BDB" w:rsidP="00383BDB">
      <w:pPr>
        <w:spacing w:before="120"/>
        <w:ind w:firstLine="851"/>
        <w:jc w:val="both"/>
        <w:rPr>
          <w:sz w:val="24"/>
          <w:szCs w:val="24"/>
        </w:rPr>
      </w:pPr>
      <w:r>
        <w:rPr>
          <w:sz w:val="24"/>
          <w:szCs w:val="24"/>
        </w:rPr>
        <w:t xml:space="preserve">Nesta perspectiva, </w:t>
      </w:r>
      <w:proofErr w:type="gramStart"/>
      <w:r>
        <w:rPr>
          <w:sz w:val="24"/>
          <w:szCs w:val="24"/>
        </w:rPr>
        <w:t>recomenda-se</w:t>
      </w:r>
      <w:proofErr w:type="gramEnd"/>
      <w:r>
        <w:rPr>
          <w:sz w:val="24"/>
          <w:szCs w:val="24"/>
        </w:rPr>
        <w:t xml:space="preserve"> que o Tribunal promova c</w:t>
      </w:r>
      <w:r w:rsidR="00367505" w:rsidRPr="00367505">
        <w:rPr>
          <w:sz w:val="24"/>
          <w:szCs w:val="24"/>
        </w:rPr>
        <w:t>apacitação</w:t>
      </w:r>
      <w:r w:rsidR="0099177A">
        <w:rPr>
          <w:sz w:val="24"/>
          <w:szCs w:val="24"/>
        </w:rPr>
        <w:t xml:space="preserve"> acerca da matéria, buscando envolver servidores das diversas áreas, responsáveis pela elaboração de termos de referência/projetos básicos</w:t>
      </w:r>
      <w:r w:rsidR="00367505" w:rsidRPr="00367505">
        <w:rPr>
          <w:sz w:val="24"/>
          <w:szCs w:val="24"/>
        </w:rPr>
        <w:t>.</w:t>
      </w:r>
    </w:p>
    <w:p w:rsidR="00AC0040" w:rsidRDefault="00AC0040" w:rsidP="00383BDB">
      <w:pPr>
        <w:spacing w:before="120"/>
        <w:ind w:firstLine="851"/>
        <w:jc w:val="both"/>
        <w:rPr>
          <w:sz w:val="24"/>
          <w:szCs w:val="24"/>
        </w:rPr>
      </w:pPr>
      <w:r>
        <w:rPr>
          <w:sz w:val="24"/>
          <w:szCs w:val="24"/>
        </w:rPr>
        <w:t xml:space="preserve">Convém, ainda, que a Seção de Licitações (SELIC) colabore </w:t>
      </w:r>
      <w:r w:rsidR="00A15D78">
        <w:rPr>
          <w:sz w:val="24"/>
          <w:szCs w:val="24"/>
        </w:rPr>
        <w:t xml:space="preserve">com </w:t>
      </w:r>
      <w:r>
        <w:rPr>
          <w:sz w:val="24"/>
          <w:szCs w:val="24"/>
        </w:rPr>
        <w:t xml:space="preserve">as unidades, </w:t>
      </w:r>
      <w:r w:rsidR="00B10B1C">
        <w:rPr>
          <w:sz w:val="24"/>
          <w:szCs w:val="24"/>
        </w:rPr>
        <w:t xml:space="preserve">orientando-as e funcionando como primeiro filtro/controle no que tange às regras de habilitação.  </w:t>
      </w:r>
    </w:p>
    <w:p w:rsidR="00D8291A" w:rsidRDefault="00D8291A" w:rsidP="00125D74">
      <w:pPr>
        <w:spacing w:after="0"/>
        <w:jc w:val="both"/>
        <w:rPr>
          <w:b/>
          <w:sz w:val="24"/>
          <w:szCs w:val="24"/>
        </w:rPr>
      </w:pPr>
    </w:p>
    <w:p w:rsidR="00AB7B5A" w:rsidRDefault="00125D74" w:rsidP="00125D74">
      <w:pPr>
        <w:spacing w:after="0"/>
        <w:jc w:val="both"/>
        <w:rPr>
          <w:b/>
          <w:sz w:val="24"/>
          <w:szCs w:val="24"/>
        </w:rPr>
      </w:pPr>
      <w:proofErr w:type="gramStart"/>
      <w:r w:rsidRPr="00125D74">
        <w:rPr>
          <w:b/>
          <w:sz w:val="24"/>
          <w:szCs w:val="24"/>
        </w:rPr>
        <w:t>III.</w:t>
      </w:r>
      <w:proofErr w:type="gramEnd"/>
      <w:r w:rsidRPr="00125D74">
        <w:rPr>
          <w:b/>
          <w:sz w:val="24"/>
          <w:szCs w:val="24"/>
        </w:rPr>
        <w:t xml:space="preserve">6. </w:t>
      </w:r>
      <w:r w:rsidR="00730F94">
        <w:rPr>
          <w:b/>
          <w:sz w:val="24"/>
          <w:szCs w:val="24"/>
        </w:rPr>
        <w:t>Situações comuns</w:t>
      </w:r>
      <w:r w:rsidRPr="00872AB5">
        <w:rPr>
          <w:b/>
          <w:sz w:val="24"/>
          <w:szCs w:val="24"/>
        </w:rPr>
        <w:t xml:space="preserve"> aos </w:t>
      </w:r>
      <w:proofErr w:type="spellStart"/>
      <w:r w:rsidRPr="00872AB5">
        <w:rPr>
          <w:b/>
          <w:sz w:val="24"/>
          <w:szCs w:val="24"/>
        </w:rPr>
        <w:t>PAD’s</w:t>
      </w:r>
      <w:proofErr w:type="spellEnd"/>
      <w:r w:rsidRPr="00872AB5">
        <w:rPr>
          <w:b/>
          <w:sz w:val="24"/>
          <w:szCs w:val="24"/>
        </w:rPr>
        <w:t xml:space="preserve"> </w:t>
      </w:r>
      <w:r>
        <w:rPr>
          <w:b/>
          <w:sz w:val="24"/>
          <w:szCs w:val="24"/>
        </w:rPr>
        <w:t>118</w:t>
      </w:r>
      <w:r w:rsidRPr="00872AB5">
        <w:rPr>
          <w:b/>
          <w:sz w:val="24"/>
          <w:szCs w:val="24"/>
        </w:rPr>
        <w:t>/2015</w:t>
      </w:r>
      <w:r w:rsidRPr="008C221D">
        <w:t xml:space="preserve"> </w:t>
      </w:r>
      <w:r>
        <w:t>(</w:t>
      </w:r>
      <w:r>
        <w:rPr>
          <w:b/>
          <w:sz w:val="24"/>
          <w:szCs w:val="24"/>
        </w:rPr>
        <w:t>Pregão nº. 37</w:t>
      </w:r>
      <w:r w:rsidRPr="008C221D">
        <w:rPr>
          <w:b/>
          <w:sz w:val="24"/>
          <w:szCs w:val="24"/>
        </w:rPr>
        <w:t xml:space="preserve">/2015 – </w:t>
      </w:r>
      <w:r w:rsidRPr="008B61C2">
        <w:rPr>
          <w:b/>
          <w:sz w:val="24"/>
          <w:szCs w:val="24"/>
        </w:rPr>
        <w:t>Contratação de pessoa jurídica para prestação contínua de serviços de preparação de documentos para mudança de suporte, microfilmagem, inspeção dos documentos microfilmados e supervisão</w:t>
      </w:r>
      <w:r>
        <w:rPr>
          <w:b/>
          <w:sz w:val="24"/>
          <w:szCs w:val="24"/>
        </w:rPr>
        <w:t>)</w:t>
      </w:r>
      <w:r w:rsidRPr="00872AB5">
        <w:rPr>
          <w:b/>
          <w:sz w:val="24"/>
          <w:szCs w:val="24"/>
        </w:rPr>
        <w:t xml:space="preserve"> e </w:t>
      </w:r>
      <w:r w:rsidR="001650B8">
        <w:rPr>
          <w:b/>
          <w:sz w:val="24"/>
          <w:szCs w:val="24"/>
        </w:rPr>
        <w:t>325/2015 (Pregão nº. 16</w:t>
      </w:r>
      <w:r w:rsidRPr="00872AB5">
        <w:rPr>
          <w:b/>
          <w:sz w:val="24"/>
          <w:szCs w:val="24"/>
        </w:rPr>
        <w:t>/2015</w:t>
      </w:r>
      <w:r>
        <w:rPr>
          <w:b/>
          <w:sz w:val="24"/>
          <w:szCs w:val="24"/>
        </w:rPr>
        <w:t xml:space="preserve"> -</w:t>
      </w:r>
      <w:r w:rsidRPr="00872AB5">
        <w:rPr>
          <w:b/>
          <w:sz w:val="24"/>
          <w:szCs w:val="24"/>
        </w:rPr>
        <w:t xml:space="preserve"> </w:t>
      </w:r>
      <w:r w:rsidR="001650B8">
        <w:rPr>
          <w:b/>
          <w:sz w:val="24"/>
          <w:szCs w:val="24"/>
        </w:rPr>
        <w:t xml:space="preserve">Contratação de empresa especializada para a execução dos serviços de desratização, </w:t>
      </w:r>
      <w:proofErr w:type="spellStart"/>
      <w:r w:rsidR="001650B8">
        <w:rPr>
          <w:b/>
          <w:sz w:val="24"/>
          <w:szCs w:val="24"/>
        </w:rPr>
        <w:t>descupinização</w:t>
      </w:r>
      <w:proofErr w:type="spellEnd"/>
      <w:r w:rsidR="001650B8">
        <w:rPr>
          <w:b/>
          <w:sz w:val="24"/>
          <w:szCs w:val="24"/>
        </w:rPr>
        <w:t xml:space="preserve"> e </w:t>
      </w:r>
      <w:proofErr w:type="spellStart"/>
      <w:r w:rsidR="001650B8">
        <w:rPr>
          <w:b/>
          <w:sz w:val="24"/>
          <w:szCs w:val="24"/>
        </w:rPr>
        <w:t>desinsetização</w:t>
      </w:r>
      <w:proofErr w:type="spellEnd"/>
      <w:r w:rsidR="001650B8">
        <w:rPr>
          <w:b/>
          <w:sz w:val="24"/>
          <w:szCs w:val="24"/>
        </w:rPr>
        <w:t xml:space="preserve"> das dependências dos prédios dos fóruns e cartórios eleitorais do interior do Estado da Bahia</w:t>
      </w:r>
      <w:r>
        <w:rPr>
          <w:b/>
          <w:sz w:val="24"/>
          <w:szCs w:val="24"/>
        </w:rPr>
        <w:t>)</w:t>
      </w:r>
      <w:r w:rsidR="001650B8">
        <w:rPr>
          <w:b/>
          <w:sz w:val="24"/>
          <w:szCs w:val="24"/>
        </w:rPr>
        <w:t>.</w:t>
      </w:r>
    </w:p>
    <w:p w:rsidR="00AB7B5A" w:rsidRDefault="00AB7B5A" w:rsidP="00125D74">
      <w:pPr>
        <w:spacing w:after="0"/>
        <w:jc w:val="both"/>
        <w:rPr>
          <w:b/>
          <w:sz w:val="24"/>
          <w:szCs w:val="24"/>
        </w:rPr>
      </w:pPr>
    </w:p>
    <w:p w:rsidR="00AB7B5A" w:rsidRDefault="00AB7B5A" w:rsidP="00383BDB">
      <w:pPr>
        <w:tabs>
          <w:tab w:val="left" w:pos="709"/>
        </w:tabs>
        <w:spacing w:before="120"/>
        <w:jc w:val="both"/>
        <w:rPr>
          <w:b/>
          <w:sz w:val="24"/>
          <w:szCs w:val="24"/>
        </w:rPr>
      </w:pPr>
      <w:r>
        <w:rPr>
          <w:b/>
          <w:sz w:val="24"/>
          <w:szCs w:val="24"/>
        </w:rPr>
        <w:tab/>
      </w:r>
      <w:proofErr w:type="gramStart"/>
      <w:r>
        <w:rPr>
          <w:b/>
          <w:sz w:val="24"/>
          <w:szCs w:val="24"/>
        </w:rPr>
        <w:t>III.</w:t>
      </w:r>
      <w:proofErr w:type="gramEnd"/>
      <w:r>
        <w:rPr>
          <w:b/>
          <w:sz w:val="24"/>
          <w:szCs w:val="24"/>
        </w:rPr>
        <w:t xml:space="preserve">6.1. Ampliação da comunicação de abertura do procedimento licitatório </w:t>
      </w:r>
    </w:p>
    <w:p w:rsidR="00AB7B5A" w:rsidRDefault="00735BA7" w:rsidP="00730F94">
      <w:pPr>
        <w:spacing w:before="120"/>
        <w:ind w:firstLine="709"/>
        <w:jc w:val="both"/>
        <w:rPr>
          <w:sz w:val="24"/>
          <w:szCs w:val="24"/>
        </w:rPr>
      </w:pPr>
      <w:r>
        <w:rPr>
          <w:sz w:val="24"/>
          <w:szCs w:val="24"/>
        </w:rPr>
        <w:t xml:space="preserve">A </w:t>
      </w:r>
      <w:r w:rsidRPr="0036173B">
        <w:rPr>
          <w:sz w:val="24"/>
          <w:szCs w:val="24"/>
        </w:rPr>
        <w:t xml:space="preserve">SEAQUI (Seção de </w:t>
      </w:r>
      <w:r>
        <w:rPr>
          <w:sz w:val="24"/>
          <w:szCs w:val="24"/>
        </w:rPr>
        <w:t xml:space="preserve">Análise e </w:t>
      </w:r>
      <w:r w:rsidRPr="0036173B">
        <w:rPr>
          <w:sz w:val="24"/>
          <w:szCs w:val="24"/>
        </w:rPr>
        <w:t>Aquisiç</w:t>
      </w:r>
      <w:r>
        <w:rPr>
          <w:sz w:val="24"/>
          <w:szCs w:val="24"/>
        </w:rPr>
        <w:t>ão</w:t>
      </w:r>
      <w:r w:rsidRPr="0036173B">
        <w:rPr>
          <w:sz w:val="24"/>
          <w:szCs w:val="24"/>
        </w:rPr>
        <w:t>)</w:t>
      </w:r>
      <w:r>
        <w:rPr>
          <w:sz w:val="24"/>
          <w:szCs w:val="24"/>
        </w:rPr>
        <w:t xml:space="preserve"> adota como procedimento a comunicação da realização do pregão às empresas que participaram da fase de cotação de preços </w:t>
      </w:r>
      <w:r w:rsidRPr="0036173B">
        <w:rPr>
          <w:sz w:val="24"/>
          <w:szCs w:val="24"/>
        </w:rPr>
        <w:t>(para a formação</w:t>
      </w:r>
      <w:r>
        <w:rPr>
          <w:sz w:val="24"/>
          <w:szCs w:val="24"/>
        </w:rPr>
        <w:t xml:space="preserve"> do valor médio da contratação). Considera-se essa uma ótima prática na medida em que majora a chance de êxito da licitação. Nesse sentido, sugere-se que nas hipóteses de anulação</w:t>
      </w:r>
      <w:r w:rsidR="001633B2">
        <w:rPr>
          <w:sz w:val="24"/>
          <w:szCs w:val="24"/>
        </w:rPr>
        <w:t xml:space="preserve"> (como no caso dos </w:t>
      </w:r>
      <w:proofErr w:type="spellStart"/>
      <w:r w:rsidR="001633B2">
        <w:rPr>
          <w:sz w:val="24"/>
          <w:szCs w:val="24"/>
        </w:rPr>
        <w:t>PAD’s</w:t>
      </w:r>
      <w:proofErr w:type="spellEnd"/>
      <w:r w:rsidR="001633B2">
        <w:rPr>
          <w:sz w:val="24"/>
          <w:szCs w:val="24"/>
        </w:rPr>
        <w:t xml:space="preserve"> 118/2015</w:t>
      </w:r>
      <w:r w:rsidR="001633B2">
        <w:rPr>
          <w:rStyle w:val="Refdenotaderodap"/>
          <w:sz w:val="24"/>
          <w:szCs w:val="24"/>
        </w:rPr>
        <w:footnoteReference w:id="4"/>
      </w:r>
      <w:r w:rsidR="001633B2">
        <w:rPr>
          <w:sz w:val="24"/>
          <w:szCs w:val="24"/>
        </w:rPr>
        <w:t xml:space="preserve"> e 325/2015</w:t>
      </w:r>
      <w:r w:rsidR="001633B2">
        <w:rPr>
          <w:rStyle w:val="Refdenotaderodap"/>
          <w:sz w:val="24"/>
          <w:szCs w:val="24"/>
        </w:rPr>
        <w:footnoteReference w:id="5"/>
      </w:r>
      <w:r w:rsidR="001633B2">
        <w:rPr>
          <w:sz w:val="24"/>
          <w:szCs w:val="24"/>
        </w:rPr>
        <w:t>)</w:t>
      </w:r>
      <w:r>
        <w:rPr>
          <w:sz w:val="24"/>
          <w:szCs w:val="24"/>
        </w:rPr>
        <w:t xml:space="preserve"> as empresas que encaminharam propostas no pregão sejam também comunicadas acerca da reabertura do certame.  </w:t>
      </w:r>
    </w:p>
    <w:p w:rsidR="00AB7B5A" w:rsidRDefault="00AB7B5A" w:rsidP="00383BDB">
      <w:pPr>
        <w:ind w:firstLine="851"/>
        <w:jc w:val="both"/>
        <w:rPr>
          <w:sz w:val="24"/>
          <w:szCs w:val="24"/>
        </w:rPr>
      </w:pPr>
      <w:r>
        <w:rPr>
          <w:sz w:val="24"/>
          <w:szCs w:val="24"/>
        </w:rPr>
        <w:t xml:space="preserve">Ressalte-se que se trata de sugestão, a qual deverá ser analisada pela unidade executora tendo em vista o impacto que a </w:t>
      </w:r>
      <w:r w:rsidR="001633B2">
        <w:rPr>
          <w:sz w:val="24"/>
          <w:szCs w:val="24"/>
        </w:rPr>
        <w:t>amplia</w:t>
      </w:r>
      <w:r>
        <w:rPr>
          <w:sz w:val="24"/>
          <w:szCs w:val="24"/>
        </w:rPr>
        <w:t>ção desta comunicação ocasionará às suas atividades.</w:t>
      </w:r>
    </w:p>
    <w:p w:rsidR="00B475E7" w:rsidRDefault="00B475E7" w:rsidP="00383BDB">
      <w:pPr>
        <w:ind w:firstLine="851"/>
        <w:jc w:val="both"/>
        <w:rPr>
          <w:b/>
          <w:sz w:val="24"/>
          <w:szCs w:val="24"/>
        </w:rPr>
      </w:pPr>
    </w:p>
    <w:p w:rsidR="00730F94" w:rsidRDefault="00730F94" w:rsidP="00383BDB">
      <w:pPr>
        <w:ind w:firstLine="851"/>
        <w:jc w:val="both"/>
        <w:rPr>
          <w:b/>
          <w:sz w:val="24"/>
          <w:szCs w:val="24"/>
        </w:rPr>
      </w:pPr>
      <w:proofErr w:type="gramStart"/>
      <w:r w:rsidRPr="00730F94">
        <w:rPr>
          <w:b/>
          <w:sz w:val="24"/>
          <w:szCs w:val="24"/>
        </w:rPr>
        <w:t>III.</w:t>
      </w:r>
      <w:proofErr w:type="gramEnd"/>
      <w:r w:rsidRPr="00730F94">
        <w:rPr>
          <w:b/>
          <w:sz w:val="24"/>
          <w:szCs w:val="24"/>
        </w:rPr>
        <w:t>6.2. Duração desarrazoadamente longa do processo</w:t>
      </w:r>
    </w:p>
    <w:p w:rsidR="00730F94" w:rsidRPr="00730F94" w:rsidRDefault="00730F94" w:rsidP="00383BDB">
      <w:pPr>
        <w:ind w:firstLine="851"/>
        <w:jc w:val="both"/>
        <w:rPr>
          <w:sz w:val="24"/>
          <w:szCs w:val="24"/>
        </w:rPr>
      </w:pPr>
      <w:r w:rsidRPr="00730F94">
        <w:rPr>
          <w:sz w:val="24"/>
          <w:szCs w:val="24"/>
        </w:rPr>
        <w:t>O P</w:t>
      </w:r>
      <w:r>
        <w:rPr>
          <w:sz w:val="24"/>
          <w:szCs w:val="24"/>
        </w:rPr>
        <w:t xml:space="preserve">AD 118/2015 foi instaurado em 07.05.13 e o pregão homologado em 28.10.2015, ou seja, foram necessários mais de dois anos para efetivar a contratação. </w:t>
      </w:r>
      <w:r w:rsidR="00E15C71">
        <w:rPr>
          <w:sz w:val="24"/>
          <w:szCs w:val="24"/>
        </w:rPr>
        <w:t>Neste interregno, os serviços de microfilmagem sofreram solução de continuidade</w:t>
      </w:r>
      <w:r w:rsidR="00E500C2">
        <w:rPr>
          <w:sz w:val="24"/>
          <w:szCs w:val="24"/>
        </w:rPr>
        <w:t xml:space="preserve"> (durante o trâmite do PAD 118/2015 o contrato anterior atingiu o prazo máximo admitido em lei)</w:t>
      </w:r>
      <w:r w:rsidR="00E15C71">
        <w:rPr>
          <w:sz w:val="24"/>
          <w:szCs w:val="24"/>
        </w:rPr>
        <w:t>,</w:t>
      </w:r>
      <w:r w:rsidR="00E500C2">
        <w:rPr>
          <w:sz w:val="24"/>
          <w:szCs w:val="24"/>
        </w:rPr>
        <w:t xml:space="preserve"> causando prejuízo</w:t>
      </w:r>
      <w:r w:rsidR="006803EE">
        <w:rPr>
          <w:sz w:val="24"/>
          <w:szCs w:val="24"/>
        </w:rPr>
        <w:t>s</w:t>
      </w:r>
      <w:r w:rsidR="00E500C2">
        <w:rPr>
          <w:sz w:val="24"/>
          <w:szCs w:val="24"/>
        </w:rPr>
        <w:t xml:space="preserve"> ao Tribunal, nos termos relatados pela COGED (Coordenadoria de Gestão Documental, Informação e Memória) em resposta à RDI nº. 18/2015/COGES: </w:t>
      </w:r>
    </w:p>
    <w:p w:rsidR="006803EE" w:rsidRDefault="00E500C2" w:rsidP="006803EE">
      <w:pPr>
        <w:pStyle w:val="NormalWeb"/>
        <w:spacing w:before="120" w:beforeAutospacing="0" w:after="120" w:afterAutospacing="0"/>
        <w:ind w:left="1701"/>
        <w:jc w:val="both"/>
        <w:rPr>
          <w:sz w:val="22"/>
          <w:szCs w:val="22"/>
        </w:rPr>
      </w:pPr>
      <w:proofErr w:type="gramStart"/>
      <w:r w:rsidRPr="006803EE">
        <w:rPr>
          <w:sz w:val="22"/>
          <w:szCs w:val="22"/>
        </w:rPr>
        <w:t>“No período em que esta</w:t>
      </w:r>
      <w:proofErr w:type="gramEnd"/>
      <w:r w:rsidRPr="006803EE">
        <w:rPr>
          <w:sz w:val="22"/>
          <w:szCs w:val="22"/>
        </w:rPr>
        <w:t xml:space="preserve"> unidade deixou de preparar e microfilmar documentos ficou inviável (por falta de espaço físico disponível) ao Arquivo Central deste Regional receber </w:t>
      </w:r>
      <w:r w:rsidRPr="006803EE">
        <w:rPr>
          <w:sz w:val="22"/>
          <w:szCs w:val="22"/>
        </w:rPr>
        <w:lastRenderedPageBreak/>
        <w:t xml:space="preserve">documentação de todas as unidades do TRE e cartórios eleitorais do estado que perderam na otimização de seu espaço físico disponível. </w:t>
      </w:r>
    </w:p>
    <w:p w:rsidR="00F873CA" w:rsidRDefault="00E500C2" w:rsidP="006803EE">
      <w:pPr>
        <w:pStyle w:val="NormalWeb"/>
        <w:spacing w:before="120" w:beforeAutospacing="0" w:after="120" w:afterAutospacing="0"/>
        <w:ind w:left="1701"/>
        <w:jc w:val="both"/>
        <w:rPr>
          <w:sz w:val="22"/>
          <w:szCs w:val="22"/>
        </w:rPr>
      </w:pPr>
      <w:r w:rsidRPr="006803EE">
        <w:rPr>
          <w:sz w:val="22"/>
          <w:szCs w:val="22"/>
        </w:rPr>
        <w:t xml:space="preserve">A pesquisa e consulta à massa documental não transferida para o Arquivo Central (notadamente dos cartórios eleitorais) restou prejudicada, haja vista que sua indexação e registro são melhores tratados quando de seu arquivamento pela unidade técnica responsável (SEPARQ). Na prática, houve demora na recuperação de informações e de documentos por parte dessas unidades, </w:t>
      </w:r>
      <w:proofErr w:type="gramStart"/>
      <w:r w:rsidRPr="006803EE">
        <w:rPr>
          <w:sz w:val="22"/>
          <w:szCs w:val="22"/>
        </w:rPr>
        <w:t>seja</w:t>
      </w:r>
      <w:proofErr w:type="gramEnd"/>
      <w:r w:rsidRPr="006803EE">
        <w:rPr>
          <w:sz w:val="22"/>
          <w:szCs w:val="22"/>
        </w:rPr>
        <w:t xml:space="preserve"> para auxiliar na tomada de decisão ou para disponibilizar a seus clientes externos e internos.”</w:t>
      </w:r>
      <w:r w:rsidR="006803EE">
        <w:rPr>
          <w:sz w:val="22"/>
          <w:szCs w:val="22"/>
        </w:rPr>
        <w:t xml:space="preserve"> (Doc. 149207/2015)</w:t>
      </w:r>
    </w:p>
    <w:p w:rsidR="006803EE" w:rsidRDefault="006803EE" w:rsidP="006803EE">
      <w:pPr>
        <w:pStyle w:val="NormalWeb"/>
        <w:spacing w:before="120" w:beforeAutospacing="0" w:after="120" w:afterAutospacing="0"/>
        <w:ind w:firstLine="851"/>
        <w:jc w:val="both"/>
      </w:pPr>
      <w:r>
        <w:t>Da mesma forma, o PAD 325/2015, iniciado em 30.07.2013, somente teve a licitação concluída com êxito em 15.09.2015, ultrapassando também o período de dois anos.</w:t>
      </w:r>
    </w:p>
    <w:p w:rsidR="006803EE" w:rsidRDefault="00276972" w:rsidP="00276972">
      <w:pPr>
        <w:pStyle w:val="NormalWeb"/>
        <w:tabs>
          <w:tab w:val="left" w:pos="851"/>
        </w:tabs>
        <w:spacing w:before="120" w:beforeAutospacing="0" w:after="120" w:afterAutospacing="0"/>
        <w:jc w:val="both"/>
      </w:pPr>
      <w:r>
        <w:tab/>
        <w:t>Em ambos os casos observou-se a anulação do primeiro certame realizado, acrescentando-se, em relação ao PAD 325/2015, diversos questionamentos e impugnações ao edital</w:t>
      </w:r>
      <w:r w:rsidR="0099177A">
        <w:t xml:space="preserve"> (que resultaram em nova anulação)</w:t>
      </w:r>
      <w:r>
        <w:t>.</w:t>
      </w:r>
    </w:p>
    <w:p w:rsidR="0099177A" w:rsidRDefault="00F91077" w:rsidP="0099177A">
      <w:pPr>
        <w:pStyle w:val="NormalWeb"/>
        <w:tabs>
          <w:tab w:val="left" w:pos="851"/>
        </w:tabs>
        <w:spacing w:before="120" w:beforeAutospacing="0" w:after="120" w:afterAutospacing="0"/>
        <w:ind w:firstLine="851"/>
        <w:jc w:val="both"/>
      </w:pPr>
      <w:r>
        <w:t xml:space="preserve"> </w:t>
      </w:r>
      <w:r w:rsidRPr="00013981">
        <w:t xml:space="preserve">No que tange ao PAD 118/2015, </w:t>
      </w:r>
      <w:r w:rsidR="00013981" w:rsidRPr="00013981">
        <w:t xml:space="preserve">verificou-se que </w:t>
      </w:r>
      <w:r w:rsidRPr="00013981">
        <w:t xml:space="preserve">a principal causa do atraso </w:t>
      </w:r>
      <w:r w:rsidR="00013981" w:rsidRPr="00013981">
        <w:t xml:space="preserve">foi </w:t>
      </w:r>
      <w:proofErr w:type="gramStart"/>
      <w:r w:rsidR="00013981" w:rsidRPr="00013981">
        <w:t>a</w:t>
      </w:r>
      <w:proofErr w:type="gramEnd"/>
      <w:r w:rsidR="00013981" w:rsidRPr="00013981">
        <w:t xml:space="preserve"> exigência de qualificação técnica exorbitante, conforme relatado </w:t>
      </w:r>
      <w:r w:rsidRPr="00013981">
        <w:t xml:space="preserve">no item III.5 </w:t>
      </w:r>
      <w:r w:rsidR="00013981" w:rsidRPr="00013981">
        <w:t>supra</w:t>
      </w:r>
      <w:r w:rsidRPr="00013981">
        <w:t>.</w:t>
      </w:r>
      <w:r>
        <w:t xml:space="preserve">  </w:t>
      </w:r>
    </w:p>
    <w:p w:rsidR="007931CD" w:rsidRDefault="00F91077" w:rsidP="0099177A">
      <w:pPr>
        <w:pStyle w:val="NormalWeb"/>
        <w:tabs>
          <w:tab w:val="left" w:pos="851"/>
        </w:tabs>
        <w:spacing w:before="120" w:beforeAutospacing="0" w:after="120" w:afterAutospacing="0"/>
        <w:ind w:firstLine="851"/>
        <w:jc w:val="both"/>
      </w:pPr>
      <w:r>
        <w:t>De referência ao PAD 325/2015</w:t>
      </w:r>
      <w:r w:rsidR="00013981">
        <w:t xml:space="preserve"> (Pregões nº 56/2014 e 16/2015)</w:t>
      </w:r>
      <w:r>
        <w:t xml:space="preserve">, chama a atenção desta SEAGES o fato de que os mesmos serviços foram contratados para a Capital (Processo SADP nº. </w:t>
      </w:r>
      <w:proofErr w:type="gramStart"/>
      <w:r>
        <w:t>42.597/2013</w:t>
      </w:r>
      <w:r w:rsidR="007931CD">
        <w:t>, Pregão</w:t>
      </w:r>
      <w:proofErr w:type="gramEnd"/>
      <w:r w:rsidR="007931CD">
        <w:t xml:space="preserve"> nº. 33/2014</w:t>
      </w:r>
      <w:r>
        <w:t>), porém os termos de referência</w:t>
      </w:r>
      <w:r w:rsidR="005D2337">
        <w:t>/instrumentos convocatórios</w:t>
      </w:r>
      <w:r>
        <w:t xml:space="preserve"> utilizados </w:t>
      </w:r>
      <w:r w:rsidR="007931CD">
        <w:t xml:space="preserve">não seguiram o mesmo padrão. </w:t>
      </w:r>
    </w:p>
    <w:p w:rsidR="00F91077" w:rsidRDefault="007931CD" w:rsidP="008D3626">
      <w:pPr>
        <w:pStyle w:val="NormalWeb"/>
        <w:tabs>
          <w:tab w:val="left" w:pos="851"/>
        </w:tabs>
        <w:spacing w:before="120" w:beforeAutospacing="0" w:after="120" w:afterAutospacing="0"/>
        <w:ind w:firstLine="851"/>
        <w:jc w:val="both"/>
      </w:pPr>
      <w:r>
        <w:t xml:space="preserve">Verifica-se que o </w:t>
      </w:r>
      <w:r w:rsidRPr="00013981">
        <w:t>Pregão 56/2014</w:t>
      </w:r>
      <w:r>
        <w:t xml:space="preserve"> foi anulado por conter </w:t>
      </w:r>
      <w:r w:rsidR="0098156B">
        <w:t xml:space="preserve">exigência sem amparo legal (o edital previa, além da apresentação de licença ambiental e licença sanitária, alvará de funcionamento), a qual não constou no certame realizado para idêntico objeto </w:t>
      </w:r>
      <w:r w:rsidR="008D3626">
        <w:t>a ser executado nesta Sede (P</w:t>
      </w:r>
      <w:r w:rsidR="0098156B">
        <w:t xml:space="preserve">regão </w:t>
      </w:r>
      <w:r w:rsidR="008D3626">
        <w:t xml:space="preserve">33/2014). </w:t>
      </w:r>
      <w:r w:rsidR="002C1433">
        <w:t xml:space="preserve">Já o </w:t>
      </w:r>
      <w:r w:rsidR="002C1433" w:rsidRPr="00013981">
        <w:t>Pregão 16/2015 teve</w:t>
      </w:r>
      <w:r w:rsidR="002C1433">
        <w:t xml:space="preserve"> </w:t>
      </w:r>
      <w:r w:rsidR="003B5D01">
        <w:t>duas impugnações parcialmente</w:t>
      </w:r>
      <w:r w:rsidR="002C1433">
        <w:t xml:space="preserve"> acolhida</w:t>
      </w:r>
      <w:r w:rsidR="003B5D01">
        <w:t>s</w:t>
      </w:r>
      <w:r w:rsidR="002C1433">
        <w:t xml:space="preserve"> para alterar o edital, incluindo a</w:t>
      </w:r>
      <w:r w:rsidR="003B5D01">
        <w:t>s</w:t>
      </w:r>
      <w:r w:rsidR="002C1433">
        <w:t xml:space="preserve"> exigência</w:t>
      </w:r>
      <w:r w:rsidR="003B5D01">
        <w:t>s</w:t>
      </w:r>
      <w:r w:rsidR="002C1433">
        <w:t xml:space="preserve"> de registro da empresa licitante </w:t>
      </w:r>
      <w:r w:rsidR="005D2337">
        <w:t>junto ao conselho profissional de seu responsável técnico</w:t>
      </w:r>
      <w:r w:rsidR="00013981">
        <w:t xml:space="preserve"> </w:t>
      </w:r>
      <w:r w:rsidR="003B5D01">
        <w:t>e a comprovação de que este profissional é</w:t>
      </w:r>
      <w:r w:rsidR="003B5D01" w:rsidRPr="003B5D01">
        <w:t xml:space="preserve"> </w:t>
      </w:r>
      <w:r w:rsidR="003B5D01">
        <w:t xml:space="preserve">detentor de atestado de responsabilidade técnica, devidamente registrado na entidade profissional competente, pela execução de serviço de desratização, </w:t>
      </w:r>
      <w:proofErr w:type="spellStart"/>
      <w:r w:rsidR="003B5D01">
        <w:t>descupinização</w:t>
      </w:r>
      <w:proofErr w:type="spellEnd"/>
      <w:r w:rsidR="003B5D01">
        <w:t xml:space="preserve"> e </w:t>
      </w:r>
      <w:proofErr w:type="spellStart"/>
      <w:r w:rsidR="003B5D01">
        <w:t>desinsetização</w:t>
      </w:r>
      <w:proofErr w:type="spellEnd"/>
      <w:r w:rsidR="003B5D01">
        <w:t xml:space="preserve">, condições que se fizeram presentes no </w:t>
      </w:r>
      <w:r w:rsidR="005D2337">
        <w:t>Pregão 33/2014.</w:t>
      </w:r>
      <w:r>
        <w:t xml:space="preserve">  </w:t>
      </w:r>
    </w:p>
    <w:p w:rsidR="003B5D01" w:rsidRDefault="003B5D01" w:rsidP="008D3626">
      <w:pPr>
        <w:pStyle w:val="NormalWeb"/>
        <w:tabs>
          <w:tab w:val="left" w:pos="851"/>
        </w:tabs>
        <w:spacing w:before="120" w:beforeAutospacing="0" w:after="120" w:afterAutospacing="0"/>
        <w:ind w:firstLine="851"/>
        <w:jc w:val="both"/>
      </w:pPr>
      <w:r>
        <w:t xml:space="preserve">Além disso, o termo de referência sofreu diversas modificações para adequar a forma de execução e pagamento, por exemplo, ao quanto </w:t>
      </w:r>
      <w:r w:rsidR="00F26790">
        <w:t>previsto no Processo SADP nº. 42.597/2013.</w:t>
      </w:r>
    </w:p>
    <w:p w:rsidR="00F26790" w:rsidRDefault="00F26790" w:rsidP="00F26790">
      <w:pPr>
        <w:pStyle w:val="NormalWeb"/>
        <w:tabs>
          <w:tab w:val="left" w:pos="851"/>
        </w:tabs>
        <w:spacing w:before="120" w:beforeAutospacing="0" w:after="120" w:afterAutospacing="0"/>
        <w:ind w:firstLine="851"/>
        <w:jc w:val="both"/>
      </w:pPr>
      <w:r>
        <w:t xml:space="preserve">Conclui-se, portanto, que várias situações que ocasionaram o atraso na finalização do certame poderiam ter sido evitadas caso a experiência adquirida quando da contratação dos serviços para Salvador tivesse sido aproveitada para a </w:t>
      </w:r>
      <w:r w:rsidR="004F1F0D">
        <w:t>contratação voltada para as zonas do interior.</w:t>
      </w:r>
    </w:p>
    <w:p w:rsidR="00276972" w:rsidRPr="006803EE" w:rsidRDefault="00276972" w:rsidP="00276972">
      <w:pPr>
        <w:pStyle w:val="NormalWeb"/>
        <w:tabs>
          <w:tab w:val="left" w:pos="851"/>
        </w:tabs>
        <w:spacing w:before="120" w:beforeAutospacing="0" w:after="120" w:afterAutospacing="0"/>
        <w:jc w:val="both"/>
        <w:rPr>
          <w:b/>
        </w:rPr>
      </w:pPr>
      <w:r>
        <w:tab/>
      </w:r>
      <w:r w:rsidR="004F1F0D" w:rsidRPr="002B1E56">
        <w:t>Assim, recomenda-se</w:t>
      </w:r>
      <w:r w:rsidR="002B1E56" w:rsidRPr="002B1E56">
        <w:t xml:space="preserve"> que</w:t>
      </w:r>
      <w:r w:rsidR="00DA4CF7">
        <w:t>,</w:t>
      </w:r>
      <w:r w:rsidR="002B1E56">
        <w:t xml:space="preserve"> </w:t>
      </w:r>
      <w:r w:rsidR="00DA4CF7">
        <w:t xml:space="preserve">para as contratações recorrentes, </w:t>
      </w:r>
      <w:r w:rsidR="002B1E56">
        <w:t xml:space="preserve">as áreas solicitantes </w:t>
      </w:r>
      <w:r w:rsidR="00DA4CF7">
        <w:t>utilizem os termos</w:t>
      </w:r>
      <w:r w:rsidR="002B1E56">
        <w:t xml:space="preserve"> </w:t>
      </w:r>
      <w:r w:rsidR="00DA4CF7">
        <w:t>de referência da última contratação do mesmo objeto, ressaltando as modificações por ventura realizadas</w:t>
      </w:r>
      <w:r w:rsidR="005311EE">
        <w:t>,</w:t>
      </w:r>
      <w:r w:rsidR="00DA4CF7">
        <w:t xml:space="preserve"> consignando as respectivas justificativas para as alterações. </w:t>
      </w:r>
      <w:r w:rsidR="004F1F0D">
        <w:t xml:space="preserve"> </w:t>
      </w:r>
    </w:p>
    <w:p w:rsidR="00E500C2" w:rsidRDefault="00E500C2" w:rsidP="00F873CA">
      <w:pPr>
        <w:pStyle w:val="NormalWeb"/>
        <w:spacing w:before="120" w:beforeAutospacing="0" w:after="120" w:afterAutospacing="0"/>
        <w:jc w:val="both"/>
        <w:rPr>
          <w:b/>
        </w:rPr>
      </w:pPr>
    </w:p>
    <w:p w:rsidR="004F5841" w:rsidRPr="006337FC" w:rsidRDefault="004F5841" w:rsidP="004F5841">
      <w:pPr>
        <w:spacing w:before="120"/>
        <w:ind w:firstLine="851"/>
        <w:jc w:val="both"/>
        <w:rPr>
          <w:b/>
          <w:sz w:val="24"/>
          <w:szCs w:val="24"/>
        </w:rPr>
      </w:pPr>
      <w:proofErr w:type="gramStart"/>
      <w:r w:rsidRPr="006337FC">
        <w:rPr>
          <w:b/>
          <w:sz w:val="24"/>
          <w:szCs w:val="24"/>
        </w:rPr>
        <w:t>III.</w:t>
      </w:r>
      <w:proofErr w:type="gramEnd"/>
      <w:r w:rsidRPr="006337FC">
        <w:rPr>
          <w:b/>
          <w:sz w:val="24"/>
          <w:szCs w:val="24"/>
        </w:rPr>
        <w:t>6.3. Juntada dos documentos originais de habilitação</w:t>
      </w:r>
    </w:p>
    <w:p w:rsidR="00137888" w:rsidRDefault="00137888" w:rsidP="00137888">
      <w:pPr>
        <w:spacing w:before="120"/>
        <w:ind w:firstLine="851"/>
        <w:jc w:val="both"/>
        <w:rPr>
          <w:sz w:val="24"/>
          <w:szCs w:val="24"/>
        </w:rPr>
      </w:pPr>
      <w:r>
        <w:rPr>
          <w:sz w:val="24"/>
          <w:szCs w:val="24"/>
        </w:rPr>
        <w:t xml:space="preserve">Visando resguardar a Administração da ocorrência de eventuais fraudes praticadas pelos licitantes, os editais deste Órgão estabelecem </w:t>
      </w:r>
      <w:r w:rsidR="006026A9">
        <w:rPr>
          <w:sz w:val="24"/>
          <w:szCs w:val="24"/>
        </w:rPr>
        <w:t xml:space="preserve">que </w:t>
      </w:r>
      <w:proofErr w:type="gramStart"/>
      <w:r w:rsidR="006026A9">
        <w:rPr>
          <w:sz w:val="24"/>
          <w:szCs w:val="24"/>
        </w:rPr>
        <w:t>cumpre</w:t>
      </w:r>
      <w:proofErr w:type="gramEnd"/>
      <w:r w:rsidR="006026A9">
        <w:rPr>
          <w:sz w:val="24"/>
          <w:szCs w:val="24"/>
        </w:rPr>
        <w:t xml:space="preserve"> às empresas vencedoras o </w:t>
      </w:r>
      <w:r>
        <w:rPr>
          <w:sz w:val="24"/>
          <w:szCs w:val="24"/>
        </w:rPr>
        <w:t>envi</w:t>
      </w:r>
      <w:r w:rsidR="006026A9">
        <w:rPr>
          <w:sz w:val="24"/>
          <w:szCs w:val="24"/>
        </w:rPr>
        <w:t>o</w:t>
      </w:r>
      <w:r>
        <w:rPr>
          <w:sz w:val="24"/>
          <w:szCs w:val="24"/>
        </w:rPr>
        <w:t xml:space="preserve"> </w:t>
      </w:r>
      <w:r w:rsidR="006026A9">
        <w:rPr>
          <w:sz w:val="24"/>
          <w:szCs w:val="24"/>
        </w:rPr>
        <w:t>d</w:t>
      </w:r>
      <w:r>
        <w:rPr>
          <w:sz w:val="24"/>
          <w:szCs w:val="24"/>
        </w:rPr>
        <w:t xml:space="preserve">as vias </w:t>
      </w:r>
      <w:r>
        <w:rPr>
          <w:sz w:val="24"/>
          <w:szCs w:val="24"/>
        </w:rPr>
        <w:lastRenderedPageBreak/>
        <w:t xml:space="preserve">originais ou cópias autenticadas dos documentos de habilitação não obtidos virtualmente (pelo sistema </w:t>
      </w:r>
      <w:proofErr w:type="spellStart"/>
      <w:r>
        <w:rPr>
          <w:sz w:val="24"/>
          <w:szCs w:val="24"/>
        </w:rPr>
        <w:t>Comprasnet</w:t>
      </w:r>
      <w:proofErr w:type="spellEnd"/>
      <w:r>
        <w:rPr>
          <w:sz w:val="24"/>
          <w:szCs w:val="24"/>
        </w:rPr>
        <w:t>) ou que não constem do SICAF</w:t>
      </w:r>
      <w:r>
        <w:rPr>
          <w:rStyle w:val="Refdenotaderodap"/>
          <w:sz w:val="24"/>
          <w:szCs w:val="24"/>
        </w:rPr>
        <w:footnoteReference w:id="6"/>
      </w:r>
      <w:r>
        <w:rPr>
          <w:sz w:val="24"/>
          <w:szCs w:val="24"/>
        </w:rPr>
        <w:t xml:space="preserve">. </w:t>
      </w:r>
    </w:p>
    <w:p w:rsidR="00137888" w:rsidRDefault="00137888" w:rsidP="00137888">
      <w:pPr>
        <w:spacing w:before="120"/>
        <w:ind w:firstLine="851"/>
        <w:jc w:val="both"/>
        <w:rPr>
          <w:sz w:val="24"/>
          <w:szCs w:val="24"/>
        </w:rPr>
      </w:pPr>
      <w:r>
        <w:rPr>
          <w:sz w:val="24"/>
          <w:szCs w:val="24"/>
        </w:rPr>
        <w:t>Até maio de 2014, a verificação do cumprimento de tal obrigação</w:t>
      </w:r>
      <w:r w:rsidR="006026A9">
        <w:rPr>
          <w:sz w:val="24"/>
          <w:szCs w:val="24"/>
        </w:rPr>
        <w:t xml:space="preserve"> recaí</w:t>
      </w:r>
      <w:r>
        <w:rPr>
          <w:sz w:val="24"/>
          <w:szCs w:val="24"/>
        </w:rPr>
        <w:t>a sobre o Pregoeiro.</w:t>
      </w:r>
      <w:r w:rsidR="00ED53CF">
        <w:rPr>
          <w:sz w:val="24"/>
          <w:szCs w:val="24"/>
        </w:rPr>
        <w:t xml:space="preserve"> De acordo com o antigo</w:t>
      </w:r>
      <w:r>
        <w:rPr>
          <w:sz w:val="24"/>
          <w:szCs w:val="24"/>
        </w:rPr>
        <w:t xml:space="preserve"> instr</w:t>
      </w:r>
      <w:r w:rsidR="00ED53CF">
        <w:rPr>
          <w:sz w:val="24"/>
          <w:szCs w:val="24"/>
        </w:rPr>
        <w:t>umento convocatório, a detentora da melhor oferta teria até cinco dias úteis após a realização do pregão para protocolizar a documentação original ou autenticada, tendo o descumprimento do prazo, por consequência, a</w:t>
      </w:r>
      <w:r w:rsidR="006026A9">
        <w:rPr>
          <w:sz w:val="24"/>
          <w:szCs w:val="24"/>
        </w:rPr>
        <w:t xml:space="preserve"> sua</w:t>
      </w:r>
      <w:r w:rsidR="00ED53CF">
        <w:rPr>
          <w:sz w:val="24"/>
          <w:szCs w:val="24"/>
        </w:rPr>
        <w:t xml:space="preserve"> inabilitação</w:t>
      </w:r>
      <w:r w:rsidR="00ED53CF">
        <w:rPr>
          <w:rStyle w:val="Refdenotaderodap"/>
          <w:sz w:val="24"/>
          <w:szCs w:val="24"/>
        </w:rPr>
        <w:footnoteReference w:id="7"/>
      </w:r>
      <w:r w:rsidR="00ED53CF">
        <w:rPr>
          <w:sz w:val="24"/>
          <w:szCs w:val="24"/>
        </w:rPr>
        <w:t>.</w:t>
      </w:r>
    </w:p>
    <w:p w:rsidR="006026A9" w:rsidRPr="000B1339" w:rsidRDefault="006026A9" w:rsidP="006026A9">
      <w:pPr>
        <w:spacing w:before="120"/>
        <w:ind w:firstLine="851"/>
        <w:jc w:val="both"/>
        <w:rPr>
          <w:sz w:val="24"/>
          <w:szCs w:val="24"/>
        </w:rPr>
      </w:pPr>
      <w:r>
        <w:rPr>
          <w:sz w:val="24"/>
          <w:szCs w:val="24"/>
        </w:rPr>
        <w:t>Considerando a reiteração do descumprimento do mencionado prazo pelas licitantes e com o intuito de privilegiar a obtenção do menor preço</w:t>
      </w:r>
      <w:r w:rsidR="000B1339">
        <w:rPr>
          <w:sz w:val="24"/>
          <w:szCs w:val="24"/>
        </w:rPr>
        <w:t xml:space="preserve"> pela Administração</w:t>
      </w:r>
      <w:r>
        <w:rPr>
          <w:sz w:val="24"/>
          <w:szCs w:val="24"/>
        </w:rPr>
        <w:t>, esta SEAGES, nos autos do Processo SADP nº. 3.658/2012</w:t>
      </w:r>
      <w:proofErr w:type="gramStart"/>
      <w:r w:rsidR="000B1339">
        <w:rPr>
          <w:sz w:val="24"/>
          <w:szCs w:val="24"/>
        </w:rPr>
        <w:t>, recomendou</w:t>
      </w:r>
      <w:proofErr w:type="gramEnd"/>
      <w:r w:rsidR="000B1339">
        <w:rPr>
          <w:sz w:val="24"/>
          <w:szCs w:val="24"/>
        </w:rPr>
        <w:t xml:space="preserve"> a alteração dos editais para fazer constar que a entrega dos documentos</w:t>
      </w:r>
      <w:r w:rsidR="000B1339" w:rsidRPr="000B1339">
        <w:rPr>
          <w:sz w:val="24"/>
          <w:szCs w:val="24"/>
        </w:rPr>
        <w:t xml:space="preserve"> </w:t>
      </w:r>
      <w:r w:rsidR="000B1339">
        <w:rPr>
          <w:sz w:val="24"/>
          <w:szCs w:val="24"/>
        </w:rPr>
        <w:t>de habilitação originais/cópias autênticas constituísse condição para a contratação, postergando-se o cumprimento da obrigação para o momento da assinatura do contrato/recebimento da nota de empenho.</w:t>
      </w:r>
    </w:p>
    <w:p w:rsidR="00ED53CF" w:rsidRPr="000B1339" w:rsidRDefault="000B1339" w:rsidP="000B1339">
      <w:pPr>
        <w:spacing w:before="120"/>
        <w:ind w:firstLine="851"/>
        <w:jc w:val="both"/>
        <w:rPr>
          <w:sz w:val="24"/>
          <w:szCs w:val="24"/>
        </w:rPr>
      </w:pPr>
      <w:r w:rsidRPr="000B1339">
        <w:rPr>
          <w:sz w:val="24"/>
          <w:szCs w:val="24"/>
        </w:rPr>
        <w:t xml:space="preserve">A modificação </w:t>
      </w:r>
      <w:r>
        <w:rPr>
          <w:sz w:val="24"/>
          <w:szCs w:val="24"/>
        </w:rPr>
        <w:t xml:space="preserve">proposta foi incorporada aos editais, de forma que os Pregões </w:t>
      </w:r>
      <w:proofErr w:type="spellStart"/>
      <w:r>
        <w:rPr>
          <w:sz w:val="24"/>
          <w:szCs w:val="24"/>
        </w:rPr>
        <w:t>nºs</w:t>
      </w:r>
      <w:proofErr w:type="spellEnd"/>
      <w:r>
        <w:rPr>
          <w:sz w:val="24"/>
          <w:szCs w:val="24"/>
        </w:rPr>
        <w:t xml:space="preserve">. 37/2015 (PAD 118/2015) e 16/2015 (PAD 325/2015) contemplaram as seguintes </w:t>
      </w:r>
      <w:r w:rsidR="00500838">
        <w:rPr>
          <w:sz w:val="24"/>
          <w:szCs w:val="24"/>
        </w:rPr>
        <w:t>cláusulas</w:t>
      </w:r>
      <w:r>
        <w:rPr>
          <w:sz w:val="24"/>
          <w:szCs w:val="24"/>
        </w:rPr>
        <w:t xml:space="preserve">: </w:t>
      </w:r>
    </w:p>
    <w:p w:rsidR="00E92A5A" w:rsidRPr="00E92A5A" w:rsidRDefault="00E92A5A" w:rsidP="000B1339">
      <w:pPr>
        <w:spacing w:after="0"/>
        <w:ind w:left="1701"/>
        <w:jc w:val="both"/>
        <w:rPr>
          <w:sz w:val="22"/>
          <w:szCs w:val="22"/>
        </w:rPr>
      </w:pPr>
      <w:r w:rsidRPr="00E92A5A">
        <w:rPr>
          <w:sz w:val="22"/>
          <w:szCs w:val="22"/>
        </w:rPr>
        <w:t>Edital Pregão nº. 37/2015</w:t>
      </w:r>
      <w:r>
        <w:rPr>
          <w:sz w:val="22"/>
          <w:szCs w:val="22"/>
        </w:rPr>
        <w:t xml:space="preserve"> (PAD 118/2015)</w:t>
      </w:r>
      <w:r w:rsidR="000B1339">
        <w:rPr>
          <w:sz w:val="22"/>
          <w:szCs w:val="22"/>
        </w:rPr>
        <w:t>:</w:t>
      </w:r>
    </w:p>
    <w:p w:rsidR="004F5841" w:rsidRDefault="000B1339" w:rsidP="000B1339">
      <w:pPr>
        <w:spacing w:after="0"/>
        <w:ind w:left="1701"/>
        <w:jc w:val="both"/>
        <w:rPr>
          <w:sz w:val="22"/>
          <w:szCs w:val="22"/>
        </w:rPr>
      </w:pPr>
      <w:r>
        <w:rPr>
          <w:sz w:val="22"/>
          <w:szCs w:val="22"/>
        </w:rPr>
        <w:t>“</w:t>
      </w:r>
      <w:r w:rsidR="00E92A5A" w:rsidRPr="00E92A5A">
        <w:rPr>
          <w:sz w:val="22"/>
          <w:szCs w:val="22"/>
        </w:rPr>
        <w:t xml:space="preserve">42. A documentação de habilitação, em original ou cópia autenticada, e as planilhas de custos e formação de </w:t>
      </w:r>
      <w:proofErr w:type="gramStart"/>
      <w:r w:rsidR="00E92A5A" w:rsidRPr="00E92A5A">
        <w:rPr>
          <w:sz w:val="22"/>
          <w:szCs w:val="22"/>
        </w:rPr>
        <w:t>preços corrigidas</w:t>
      </w:r>
      <w:proofErr w:type="gramEnd"/>
      <w:r w:rsidR="00E92A5A" w:rsidRPr="00E92A5A">
        <w:rPr>
          <w:sz w:val="22"/>
          <w:szCs w:val="22"/>
        </w:rPr>
        <w:t xml:space="preserve"> deverão ser protocolizadas no Tribunal Regional Eleitoral da Bahia, até a data da assinatura do contrato.</w:t>
      </w:r>
      <w:r>
        <w:rPr>
          <w:sz w:val="22"/>
          <w:szCs w:val="22"/>
        </w:rPr>
        <w:t>”</w:t>
      </w:r>
    </w:p>
    <w:p w:rsidR="000B1339" w:rsidRDefault="000B1339" w:rsidP="000B1339">
      <w:pPr>
        <w:spacing w:after="0"/>
        <w:ind w:left="1701"/>
        <w:jc w:val="both"/>
        <w:rPr>
          <w:sz w:val="22"/>
          <w:szCs w:val="22"/>
        </w:rPr>
      </w:pPr>
    </w:p>
    <w:p w:rsidR="00E92A5A" w:rsidRDefault="00E92A5A" w:rsidP="000B1339">
      <w:pPr>
        <w:spacing w:after="0"/>
        <w:ind w:left="1701"/>
        <w:jc w:val="both"/>
        <w:rPr>
          <w:sz w:val="22"/>
          <w:szCs w:val="22"/>
        </w:rPr>
      </w:pPr>
      <w:r>
        <w:rPr>
          <w:sz w:val="22"/>
          <w:szCs w:val="22"/>
        </w:rPr>
        <w:t xml:space="preserve">Edital </w:t>
      </w:r>
      <w:r w:rsidR="00833A44">
        <w:rPr>
          <w:sz w:val="22"/>
          <w:szCs w:val="22"/>
        </w:rPr>
        <w:t>do Preg</w:t>
      </w:r>
      <w:r w:rsidR="009F7339">
        <w:rPr>
          <w:sz w:val="22"/>
          <w:szCs w:val="22"/>
        </w:rPr>
        <w:t>ão</w:t>
      </w:r>
      <w:r>
        <w:rPr>
          <w:sz w:val="22"/>
          <w:szCs w:val="22"/>
        </w:rPr>
        <w:t xml:space="preserve"> nº. 16/2015 (PAD 325/2015)</w:t>
      </w:r>
      <w:r w:rsidR="000B1339">
        <w:rPr>
          <w:sz w:val="22"/>
          <w:szCs w:val="22"/>
        </w:rPr>
        <w:t>:</w:t>
      </w:r>
    </w:p>
    <w:p w:rsidR="00E92A5A" w:rsidRPr="00E92A5A" w:rsidRDefault="000B1339" w:rsidP="000B1339">
      <w:pPr>
        <w:spacing w:after="0"/>
        <w:ind w:left="1701"/>
        <w:jc w:val="both"/>
        <w:rPr>
          <w:sz w:val="22"/>
          <w:szCs w:val="22"/>
        </w:rPr>
      </w:pPr>
      <w:r>
        <w:rPr>
          <w:sz w:val="22"/>
          <w:szCs w:val="22"/>
        </w:rPr>
        <w:t>“</w:t>
      </w:r>
      <w:r w:rsidR="00E92A5A" w:rsidRPr="00E92A5A">
        <w:rPr>
          <w:sz w:val="22"/>
          <w:szCs w:val="22"/>
        </w:rPr>
        <w:t>6.3. A documentação em original ou cópia autenticada deverá ser protocolizada no Tribunal Regional Eleitoral da Bahia, até a data da assinatura do contrato.</w:t>
      </w:r>
      <w:r>
        <w:rPr>
          <w:sz w:val="22"/>
          <w:szCs w:val="22"/>
        </w:rPr>
        <w:t>”</w:t>
      </w:r>
    </w:p>
    <w:p w:rsidR="004F5841" w:rsidRDefault="00986C8E" w:rsidP="00986C8E">
      <w:pPr>
        <w:pStyle w:val="NormalWeb"/>
        <w:spacing w:before="120" w:beforeAutospacing="0" w:after="120" w:afterAutospacing="0"/>
        <w:ind w:firstLine="851"/>
        <w:jc w:val="both"/>
      </w:pPr>
      <w:r>
        <w:t xml:space="preserve">Nos moldes a partir de então previstos, a constatação </w:t>
      </w:r>
      <w:r w:rsidRPr="00986C8E">
        <w:t xml:space="preserve">do </w:t>
      </w:r>
      <w:r>
        <w:t>envio da documentação original/</w:t>
      </w:r>
      <w:proofErr w:type="gramStart"/>
      <w:r>
        <w:t>cópia autêntica</w:t>
      </w:r>
      <w:proofErr w:type="gramEnd"/>
      <w:r>
        <w:t xml:space="preserve"> passou </w:t>
      </w:r>
      <w:r w:rsidRPr="00986C8E">
        <w:t xml:space="preserve">a ser </w:t>
      </w:r>
      <w:r>
        <w:t xml:space="preserve">atribuição </w:t>
      </w:r>
      <w:r w:rsidRPr="00986C8E">
        <w:t xml:space="preserve">da SEAQUI (nos casos de </w:t>
      </w:r>
      <w:r>
        <w:t xml:space="preserve">entrega de </w:t>
      </w:r>
      <w:r w:rsidRPr="00986C8E">
        <w:t>nota de empenho) e da SECONT</w:t>
      </w:r>
      <w:r>
        <w:t xml:space="preserve"> (nas hipóteses de formalização de contrato). </w:t>
      </w:r>
    </w:p>
    <w:p w:rsidR="00944CA5" w:rsidRDefault="00986C8E" w:rsidP="00986C8E">
      <w:pPr>
        <w:pStyle w:val="NormalWeb"/>
        <w:spacing w:before="120" w:beforeAutospacing="0" w:after="120" w:afterAutospacing="0"/>
        <w:ind w:firstLine="851"/>
        <w:jc w:val="both"/>
      </w:pPr>
      <w:r>
        <w:t xml:space="preserve">Ocorre, porém, que </w:t>
      </w:r>
      <w:r w:rsidR="009F7339">
        <w:t>nestes</w:t>
      </w:r>
      <w:r w:rsidR="00944CA5">
        <w:t xml:space="preserve"> dois processos fiscalizados observou-se que os ajustes foram assinados sem que as vias originais ou cópias autênticas dos </w:t>
      </w:r>
      <w:r w:rsidR="003079D1">
        <w:t xml:space="preserve">referidos </w:t>
      </w:r>
      <w:r w:rsidR="00944CA5">
        <w:t>documentos de habilitação fossem apresentadas pelas empresas. Abaixo, segue relação da documentação faltante:</w:t>
      </w:r>
    </w:p>
    <w:p w:rsidR="00E30C57" w:rsidRDefault="00E30C57" w:rsidP="00986C8E">
      <w:pPr>
        <w:pStyle w:val="NormalWeb"/>
        <w:spacing w:before="120" w:beforeAutospacing="0" w:after="120" w:afterAutospacing="0"/>
        <w:ind w:firstLine="851"/>
        <w:jc w:val="both"/>
      </w:pPr>
    </w:p>
    <w:p w:rsidR="009F7339" w:rsidRPr="00013981" w:rsidRDefault="00944CA5" w:rsidP="00944CA5">
      <w:pPr>
        <w:pStyle w:val="NormalWeb"/>
        <w:numPr>
          <w:ilvl w:val="0"/>
          <w:numId w:val="21"/>
        </w:numPr>
        <w:spacing w:before="120" w:beforeAutospacing="0" w:after="120" w:afterAutospacing="0"/>
        <w:jc w:val="both"/>
      </w:pPr>
      <w:r>
        <w:lastRenderedPageBreak/>
        <w:t>PAD 118/</w:t>
      </w:r>
      <w:r w:rsidRPr="00013981">
        <w:t>2015</w:t>
      </w:r>
      <w:r w:rsidR="00013981" w:rsidRPr="00013981">
        <w:t xml:space="preserve"> </w:t>
      </w:r>
      <w:r w:rsidR="00BF09AF" w:rsidRPr="00013981">
        <w:t>(Pregão nº. 37/2015)</w:t>
      </w:r>
      <w:r w:rsidRPr="00013981">
        <w:t xml:space="preserve">: </w:t>
      </w:r>
    </w:p>
    <w:p w:rsidR="00986C8E" w:rsidRDefault="00944CA5" w:rsidP="009F7339">
      <w:pPr>
        <w:pStyle w:val="NormalWeb"/>
        <w:spacing w:before="120" w:beforeAutospacing="0" w:after="120" w:afterAutospacing="0"/>
        <w:ind w:left="1211"/>
        <w:jc w:val="both"/>
      </w:pPr>
      <w:proofErr w:type="gramStart"/>
      <w:r>
        <w:t>a.</w:t>
      </w:r>
      <w:proofErr w:type="gramEnd"/>
      <w:r>
        <w:t>1) Certidão negativa de feitos sobre falência, recuperação judicial ou recuperação extrajudicial, expedida pelo distribuidor da sede da licitante (condição 30.4.2 do edital), cuja via sem autenticação encontra-se no bojo do Doc. 105206/2015 (fl. 4);</w:t>
      </w:r>
    </w:p>
    <w:p w:rsidR="003079D1" w:rsidRDefault="00944CA5" w:rsidP="003079D1">
      <w:pPr>
        <w:pStyle w:val="NormalWeb"/>
        <w:spacing w:before="120" w:beforeAutospacing="0" w:after="120" w:afterAutospacing="0"/>
        <w:ind w:left="1211"/>
        <w:jc w:val="both"/>
      </w:pPr>
      <w:proofErr w:type="gramStart"/>
      <w:r>
        <w:t>a.</w:t>
      </w:r>
      <w:proofErr w:type="gramEnd"/>
      <w:r>
        <w:t xml:space="preserve">2) </w:t>
      </w:r>
      <w:r w:rsidR="003079D1">
        <w:t>A</w:t>
      </w:r>
      <w:r>
        <w:t>testado de capacidade técnica fornecido por pessoa jurídica de direito público ou privado, que comprove a boa execução, de modo regular, dos serviços pertinentes ao seu ramo de atividade e compatível com os serviços de gestão documental, que compreendem a preparação de documentos para mudança de suporte, a microfilmagem e a inspeção de documentos microfilmados</w:t>
      </w:r>
      <w:r w:rsidR="003079D1">
        <w:t xml:space="preserve"> (condição 30.5.1 do edital), anexados pelo Pregoeiro no Doc. 105208/2015 (fls. 01/04 e 05/10</w:t>
      </w:r>
      <w:proofErr w:type="gramStart"/>
      <w:r w:rsidR="003079D1">
        <w:t>)</w:t>
      </w:r>
      <w:proofErr w:type="gramEnd"/>
      <w:r w:rsidR="003079D1">
        <w:rPr>
          <w:rStyle w:val="Refdenotaderodap"/>
        </w:rPr>
        <w:footnoteReference w:id="8"/>
      </w:r>
      <w:r w:rsidR="003079D1">
        <w:t>;</w:t>
      </w:r>
    </w:p>
    <w:p w:rsidR="003079D1" w:rsidRPr="00013981" w:rsidRDefault="0069522D" w:rsidP="003079D1">
      <w:pPr>
        <w:pStyle w:val="NormalWeb"/>
        <w:numPr>
          <w:ilvl w:val="0"/>
          <w:numId w:val="21"/>
        </w:numPr>
        <w:spacing w:before="120" w:beforeAutospacing="0" w:after="120" w:afterAutospacing="0"/>
        <w:jc w:val="both"/>
      </w:pPr>
      <w:r>
        <w:t>PAD 325</w:t>
      </w:r>
      <w:r w:rsidR="003079D1" w:rsidRPr="009F7339">
        <w:t>/</w:t>
      </w:r>
      <w:r w:rsidR="003079D1" w:rsidRPr="00013981">
        <w:t>2015</w:t>
      </w:r>
      <w:r w:rsidR="00BF09AF" w:rsidRPr="00013981">
        <w:t xml:space="preserve"> (Pregão nº. 16/2015)</w:t>
      </w:r>
      <w:r w:rsidR="003079D1" w:rsidRPr="00013981">
        <w:t>:</w:t>
      </w:r>
    </w:p>
    <w:p w:rsidR="003079D1" w:rsidRPr="009F7339" w:rsidRDefault="009F7339" w:rsidP="003079D1">
      <w:pPr>
        <w:pStyle w:val="NormalWeb"/>
        <w:spacing w:before="120" w:beforeAutospacing="0" w:after="120" w:afterAutospacing="0"/>
        <w:ind w:left="1211"/>
        <w:jc w:val="both"/>
      </w:pPr>
      <w:proofErr w:type="gramStart"/>
      <w:r w:rsidRPr="009F7339">
        <w:t>b.</w:t>
      </w:r>
      <w:proofErr w:type="gramEnd"/>
      <w:r w:rsidRPr="009F7339">
        <w:t>1)</w:t>
      </w:r>
      <w:r w:rsidR="009A71F2">
        <w:t xml:space="preserve"> </w:t>
      </w:r>
      <w:r w:rsidR="003079D1" w:rsidRPr="009F7339">
        <w:t>Licença ambiental ou termo equivalente concedida pelo órgão ambiental competente</w:t>
      </w:r>
      <w:r w:rsidRPr="009F7339">
        <w:t xml:space="preserve"> (condição 5.1.1.5), acostada através do </w:t>
      </w:r>
      <w:r w:rsidR="003079D1" w:rsidRPr="009F7339">
        <w:t>Doc. 83182/2015 (fl. 7)</w:t>
      </w:r>
      <w:r w:rsidRPr="009F7339">
        <w:t>;</w:t>
      </w:r>
    </w:p>
    <w:p w:rsidR="003079D1" w:rsidRPr="009F7339" w:rsidRDefault="003079D1" w:rsidP="003079D1">
      <w:pPr>
        <w:pStyle w:val="NormalWeb"/>
        <w:spacing w:before="120" w:beforeAutospacing="0" w:after="120" w:afterAutospacing="0"/>
        <w:ind w:left="1211"/>
        <w:jc w:val="both"/>
      </w:pPr>
      <w:proofErr w:type="gramStart"/>
      <w:r w:rsidRPr="009F7339">
        <w:t>b.</w:t>
      </w:r>
      <w:proofErr w:type="gramEnd"/>
      <w:r w:rsidRPr="009F7339">
        <w:t>2) Licença sanitária ou termo equivalente concedida pelo órgão sanitário competente</w:t>
      </w:r>
      <w:r w:rsidR="009F7339" w:rsidRPr="009F7339">
        <w:t xml:space="preserve"> (condição 5.1.1.6), </w:t>
      </w:r>
      <w:r w:rsidR="009F7339">
        <w:t>que se encontra juntada a fl. 10 do</w:t>
      </w:r>
      <w:r w:rsidRPr="009F7339">
        <w:t xml:space="preserve"> Doc. 83178/2015</w:t>
      </w:r>
      <w:r w:rsidR="009F7339">
        <w:t>;</w:t>
      </w:r>
    </w:p>
    <w:p w:rsidR="003079D1" w:rsidRPr="009F7339" w:rsidRDefault="003079D1" w:rsidP="003079D1">
      <w:pPr>
        <w:pStyle w:val="NormalWeb"/>
        <w:spacing w:before="120" w:beforeAutospacing="0" w:after="120" w:afterAutospacing="0"/>
        <w:ind w:left="1211"/>
        <w:jc w:val="both"/>
      </w:pPr>
      <w:proofErr w:type="gramStart"/>
      <w:r w:rsidRPr="009F7339">
        <w:t>b.</w:t>
      </w:r>
      <w:proofErr w:type="gramEnd"/>
      <w:r w:rsidRPr="009F7339">
        <w:t xml:space="preserve">3) </w:t>
      </w:r>
      <w:r w:rsidR="009F7339" w:rsidRPr="009F7339">
        <w:t>P</w:t>
      </w:r>
      <w:r w:rsidR="00B76CD0" w:rsidRPr="009F7339">
        <w:t>rova de regularidade com a Fazenda Municipal, mediante Certidão de Quitação de Tributos Municipais ou certidão que comprove a regularidade com o ISS, emitida pelo órgão competente</w:t>
      </w:r>
      <w:r w:rsidR="009F7339" w:rsidRPr="009F7339">
        <w:t xml:space="preserve"> (condição 5.1.2.4), </w:t>
      </w:r>
      <w:r w:rsidR="009A71F2">
        <w:t>consoante fl. 8 do</w:t>
      </w:r>
      <w:r w:rsidR="00B76CD0" w:rsidRPr="009F7339">
        <w:t xml:space="preserve"> Doc. 83180/2015</w:t>
      </w:r>
      <w:r w:rsidR="009A71F2">
        <w:t>;</w:t>
      </w:r>
    </w:p>
    <w:p w:rsidR="00B76CD0" w:rsidRDefault="00B76CD0" w:rsidP="003079D1">
      <w:pPr>
        <w:pStyle w:val="NormalWeb"/>
        <w:spacing w:before="120" w:beforeAutospacing="0" w:after="120" w:afterAutospacing="0"/>
        <w:ind w:left="1211"/>
        <w:jc w:val="both"/>
      </w:pPr>
      <w:proofErr w:type="gramStart"/>
      <w:r w:rsidRPr="00BB788B">
        <w:t>b.</w:t>
      </w:r>
      <w:proofErr w:type="gramEnd"/>
      <w:r w:rsidRPr="00BB788B">
        <w:t xml:space="preserve">4) Atestado de Capacidade Técnico-Operacional que comprove a prestação anterior de serviço de desratização, </w:t>
      </w:r>
      <w:proofErr w:type="spellStart"/>
      <w:r w:rsidRPr="00BB788B">
        <w:t>descupinização</w:t>
      </w:r>
      <w:proofErr w:type="spellEnd"/>
      <w:r w:rsidRPr="00BB788B">
        <w:t xml:space="preserve"> e </w:t>
      </w:r>
      <w:proofErr w:type="spellStart"/>
      <w:r w:rsidRPr="00BB788B">
        <w:t>desinsetização</w:t>
      </w:r>
      <w:proofErr w:type="spellEnd"/>
      <w:r w:rsidR="00BB788B" w:rsidRPr="00BB788B">
        <w:t xml:space="preserve"> (condição 5.1.5.1) e </w:t>
      </w:r>
      <w:r w:rsidR="00BB788B">
        <w:t>c</w:t>
      </w:r>
      <w:r w:rsidRPr="00BB788B">
        <w:t xml:space="preserve">omprovação de que o responsável técnico </w:t>
      </w:r>
      <w:r w:rsidR="00BB788B">
        <w:t xml:space="preserve">da licitante </w:t>
      </w:r>
      <w:r w:rsidRPr="00BB788B">
        <w:t xml:space="preserve">é detentor de atestado de responsabilidade técnica, devidamente registrado na entidade profissional competente, pela execução de serviço de desratização, </w:t>
      </w:r>
      <w:proofErr w:type="spellStart"/>
      <w:r w:rsidRPr="00BB788B">
        <w:t>descupinização</w:t>
      </w:r>
      <w:proofErr w:type="spellEnd"/>
      <w:r w:rsidRPr="00BB788B">
        <w:t xml:space="preserve"> e </w:t>
      </w:r>
      <w:proofErr w:type="spellStart"/>
      <w:r w:rsidRPr="00BB788B">
        <w:t>desinsetização</w:t>
      </w:r>
      <w:proofErr w:type="spellEnd"/>
      <w:r w:rsidR="00BB788B">
        <w:t xml:space="preserve"> (condição 5.1.5.3), documentos que foram anexados por meio dos </w:t>
      </w:r>
      <w:r w:rsidRPr="00BB788B">
        <w:t>Docs. 83178/2015</w:t>
      </w:r>
      <w:r w:rsidR="00D31929" w:rsidRPr="00BB788B">
        <w:t xml:space="preserve"> (fl. 1) e 83180/2015 (fl. 7).</w:t>
      </w:r>
    </w:p>
    <w:p w:rsidR="00BB788B" w:rsidRDefault="00BB788B" w:rsidP="0069522D">
      <w:pPr>
        <w:pStyle w:val="NormalWeb"/>
        <w:spacing w:before="120" w:beforeAutospacing="0" w:after="120" w:afterAutospacing="0"/>
        <w:ind w:firstLine="851"/>
        <w:jc w:val="both"/>
      </w:pPr>
      <w:r>
        <w:t xml:space="preserve">Recomenda-se que as empresas </w:t>
      </w:r>
      <w:r w:rsidR="0069522D">
        <w:t>Inova Tecnologia em Serviços Ltda</w:t>
      </w:r>
      <w:r>
        <w:t>.</w:t>
      </w:r>
      <w:r w:rsidR="0069522D">
        <w:t xml:space="preserve">, adjudicatária do Pregão nº. 37/2015, e </w:t>
      </w:r>
      <w:proofErr w:type="spellStart"/>
      <w:r w:rsidR="0069522D">
        <w:t>Josemiria</w:t>
      </w:r>
      <w:proofErr w:type="spellEnd"/>
      <w:r w:rsidR="0069522D">
        <w:t xml:space="preserve"> Miranda Silva Santana </w:t>
      </w:r>
      <w:r w:rsidR="00396E93">
        <w:t>–</w:t>
      </w:r>
      <w:r w:rsidR="0069522D">
        <w:t xml:space="preserve"> ME</w:t>
      </w:r>
      <w:r w:rsidR="00396E93">
        <w:t>, vencedora do Pregão nº. 16/2015</w:t>
      </w:r>
      <w:proofErr w:type="gramStart"/>
      <w:r w:rsidR="00396E93">
        <w:t>, sejam</w:t>
      </w:r>
      <w:proofErr w:type="gramEnd"/>
      <w:r w:rsidR="00396E93">
        <w:t xml:space="preserve"> instadas a apresentar as vias originais ou cópias autenticadas dos documentos de habilitação não obtidos virtualmente.</w:t>
      </w:r>
    </w:p>
    <w:p w:rsidR="00396E93" w:rsidRDefault="00396E93" w:rsidP="00396E93">
      <w:pPr>
        <w:pStyle w:val="NormalWeb"/>
        <w:spacing w:before="120" w:beforeAutospacing="0" w:after="120" w:afterAutospacing="0"/>
        <w:ind w:firstLine="851"/>
        <w:jc w:val="both"/>
      </w:pPr>
      <w:r>
        <w:t>Recomenda-se, ainda, que os Pregoeiros sejam orientados a consignar no Relatório Final o rol de documentos que deverão ser exigidos das empresas como condição para a contratação, nos termos definidos no edital.</w:t>
      </w:r>
    </w:p>
    <w:p w:rsidR="00396E93" w:rsidRDefault="00396E93" w:rsidP="00396E93">
      <w:pPr>
        <w:pStyle w:val="NormalWeb"/>
        <w:spacing w:before="120" w:beforeAutospacing="0" w:after="120" w:afterAutospacing="0"/>
        <w:ind w:firstLine="851"/>
        <w:jc w:val="both"/>
      </w:pPr>
      <w:r>
        <w:t xml:space="preserve">Por fim, sugere-se que </w:t>
      </w:r>
      <w:r w:rsidR="00D25065">
        <w:t xml:space="preserve">a SEAQUI e a SECONT reproduzam esse rol no momento da convocação para a retirada da nota de empenho ou assinatura do contrato, alertando as empresas acerca da obrigatoriedade da apresentação da referida </w:t>
      </w:r>
      <w:r w:rsidR="00D25065" w:rsidRPr="00013981">
        <w:t>documentação</w:t>
      </w:r>
      <w:r w:rsidR="00BF09AF" w:rsidRPr="00013981">
        <w:t xml:space="preserve"> no ato da contratação</w:t>
      </w:r>
      <w:r w:rsidR="00D25065">
        <w:t xml:space="preserve">. </w:t>
      </w:r>
    </w:p>
    <w:p w:rsidR="005D21DE" w:rsidRDefault="005D21DE" w:rsidP="00396E93">
      <w:pPr>
        <w:pStyle w:val="NormalWeb"/>
        <w:spacing w:before="120" w:beforeAutospacing="0" w:after="120" w:afterAutospacing="0"/>
        <w:ind w:firstLine="851"/>
        <w:jc w:val="both"/>
      </w:pPr>
    </w:p>
    <w:p w:rsidR="00E30C57" w:rsidRDefault="00E30C57" w:rsidP="00396E93">
      <w:pPr>
        <w:pStyle w:val="NormalWeb"/>
        <w:spacing w:before="120" w:beforeAutospacing="0" w:after="120" w:afterAutospacing="0"/>
        <w:jc w:val="both"/>
        <w:rPr>
          <w:b/>
        </w:rPr>
      </w:pPr>
    </w:p>
    <w:p w:rsidR="00033BA1" w:rsidRPr="004F5633" w:rsidRDefault="00D436DA" w:rsidP="00396E93">
      <w:pPr>
        <w:pStyle w:val="NormalWeb"/>
        <w:spacing w:before="120" w:beforeAutospacing="0" w:after="120" w:afterAutospacing="0"/>
        <w:jc w:val="both"/>
        <w:rPr>
          <w:b/>
        </w:rPr>
      </w:pPr>
      <w:r w:rsidRPr="004F5633">
        <w:rPr>
          <w:b/>
        </w:rPr>
        <w:t>IV. RECOMENDAÇÕES</w:t>
      </w:r>
      <w:r w:rsidR="00033BA1" w:rsidRPr="004F5633">
        <w:rPr>
          <w:b/>
        </w:rPr>
        <w:t xml:space="preserve"> </w:t>
      </w:r>
    </w:p>
    <w:p w:rsidR="00E30C57" w:rsidRDefault="00E30C57" w:rsidP="00383BDB">
      <w:pPr>
        <w:ind w:firstLine="851"/>
        <w:jc w:val="both"/>
        <w:rPr>
          <w:rFonts w:cs="Courier New"/>
          <w:sz w:val="24"/>
          <w:szCs w:val="24"/>
        </w:rPr>
      </w:pPr>
    </w:p>
    <w:p w:rsidR="006B0EF4" w:rsidRDefault="006B0EF4" w:rsidP="00383BDB">
      <w:pPr>
        <w:ind w:firstLine="851"/>
        <w:jc w:val="both"/>
        <w:rPr>
          <w:rFonts w:cs="Courier New"/>
          <w:sz w:val="24"/>
          <w:szCs w:val="24"/>
        </w:rPr>
      </w:pPr>
      <w:r w:rsidRPr="004F5633">
        <w:rPr>
          <w:rFonts w:cs="Courier New"/>
          <w:sz w:val="24"/>
          <w:szCs w:val="24"/>
          <w:lang w:val="x-none"/>
        </w:rPr>
        <w:t>No tocante às vulnerabilidades evidenciadas no item II</w:t>
      </w:r>
      <w:r w:rsidR="00390197" w:rsidRPr="004F5633">
        <w:rPr>
          <w:rFonts w:cs="Courier New"/>
          <w:sz w:val="24"/>
          <w:szCs w:val="24"/>
        </w:rPr>
        <w:t>I.CONCLUSÃO</w:t>
      </w:r>
      <w:r w:rsidRPr="004F5633">
        <w:rPr>
          <w:rFonts w:cs="Courier New"/>
          <w:sz w:val="24"/>
          <w:szCs w:val="24"/>
          <w:lang w:val="x-none"/>
        </w:rPr>
        <w:t>, submete-se ao exame superior, visando posterior apreciação pela Presidência desta Casa, as</w:t>
      </w:r>
      <w:r w:rsidR="00390197" w:rsidRPr="004F5633">
        <w:rPr>
          <w:rFonts w:cs="Courier New"/>
          <w:sz w:val="24"/>
          <w:szCs w:val="24"/>
        </w:rPr>
        <w:t xml:space="preserve"> seguintes recomendações</w:t>
      </w:r>
      <w:r w:rsidRPr="004F5633">
        <w:rPr>
          <w:rFonts w:cs="Courier New"/>
          <w:sz w:val="24"/>
          <w:szCs w:val="24"/>
          <w:lang w:val="x-none"/>
        </w:rPr>
        <w:t>:</w:t>
      </w:r>
    </w:p>
    <w:p w:rsidR="00E30C57" w:rsidRPr="00E30C57" w:rsidRDefault="00E30C57" w:rsidP="00383BDB">
      <w:pPr>
        <w:ind w:firstLine="851"/>
        <w:jc w:val="both"/>
        <w:rPr>
          <w:rFonts w:cs="Courier New"/>
          <w:sz w:val="24"/>
          <w:szCs w:val="24"/>
        </w:rPr>
      </w:pPr>
    </w:p>
    <w:p w:rsidR="00A06394" w:rsidRPr="00013981" w:rsidRDefault="00C92791" w:rsidP="006B0EF4">
      <w:pPr>
        <w:pStyle w:val="NormalWeb"/>
        <w:spacing w:before="0" w:beforeAutospacing="0" w:after="120" w:afterAutospacing="0"/>
        <w:ind w:firstLine="851"/>
        <w:jc w:val="both"/>
      </w:pPr>
      <w:proofErr w:type="gramStart"/>
      <w:r>
        <w:t>IV.</w:t>
      </w:r>
      <w:proofErr w:type="gramEnd"/>
      <w:r>
        <w:t>1</w:t>
      </w:r>
      <w:r w:rsidR="00D5398E">
        <w:t xml:space="preserve">. </w:t>
      </w:r>
      <w:r w:rsidR="00A06394">
        <w:t>Especificamente em relação ao PAD 352/2015</w:t>
      </w:r>
      <w:r w:rsidR="00013981">
        <w:t xml:space="preserve">, </w:t>
      </w:r>
      <w:r w:rsidR="00A06394">
        <w:t>recomenda</w:t>
      </w:r>
      <w:r w:rsidR="00106B69">
        <w:t>r</w:t>
      </w:r>
      <w:r w:rsidR="00A06394">
        <w:t xml:space="preserve"> que o relatório detalhado sobre as Ocorrências Impeditivas Indiretas da empresa Center </w:t>
      </w:r>
      <w:proofErr w:type="spellStart"/>
      <w:r w:rsidR="00A06394">
        <w:t>Sponchiado</w:t>
      </w:r>
      <w:proofErr w:type="spellEnd"/>
      <w:r w:rsidR="00A06394">
        <w:t xml:space="preserve"> Ltda</w:t>
      </w:r>
      <w:r w:rsidR="00106B69">
        <w:t>.</w:t>
      </w:r>
      <w:r w:rsidR="00A06394">
        <w:t xml:space="preserve"> – EPP seja anexado aos autos, confirmando a lisura da habilitação</w:t>
      </w:r>
      <w:r w:rsidR="00500838">
        <w:t xml:space="preserve"> </w:t>
      </w:r>
      <w:r w:rsidR="00500838" w:rsidRPr="00013981">
        <w:t xml:space="preserve">(ref. subitem </w:t>
      </w:r>
      <w:proofErr w:type="gramStart"/>
      <w:r w:rsidR="00500838" w:rsidRPr="00013981">
        <w:t>III.</w:t>
      </w:r>
      <w:proofErr w:type="gramEnd"/>
      <w:r w:rsidR="00500838" w:rsidRPr="00013981">
        <w:t>1 – Pregão nº 31/2015)</w:t>
      </w:r>
      <w:r w:rsidR="00A06394" w:rsidRPr="00013981">
        <w:t>;</w:t>
      </w:r>
    </w:p>
    <w:p w:rsidR="004E6802" w:rsidRPr="00013981" w:rsidRDefault="00C92791" w:rsidP="00132223">
      <w:pPr>
        <w:pStyle w:val="NormalWeb"/>
        <w:spacing w:before="120" w:beforeAutospacing="0" w:after="120" w:afterAutospacing="0"/>
        <w:ind w:firstLine="851"/>
        <w:jc w:val="both"/>
      </w:pPr>
      <w:proofErr w:type="gramStart"/>
      <w:r>
        <w:t>IV.</w:t>
      </w:r>
      <w:proofErr w:type="gramEnd"/>
      <w:r>
        <w:t>2</w:t>
      </w:r>
      <w:r w:rsidR="004E6802">
        <w:t xml:space="preserve">. </w:t>
      </w:r>
      <w:r w:rsidR="001B66D6">
        <w:t xml:space="preserve"> </w:t>
      </w:r>
      <w:r w:rsidR="00106B69">
        <w:t xml:space="preserve">Orientar os Pregoeiros que, em atenção </w:t>
      </w:r>
      <w:r w:rsidR="00500838">
        <w:t>a</w:t>
      </w:r>
      <w:r w:rsidR="00106B69">
        <w:t xml:space="preserve">o princípio da publicidade, divulguem no </w:t>
      </w:r>
      <w:proofErr w:type="spellStart"/>
      <w:r w:rsidR="00106B69">
        <w:t>Comprasnet</w:t>
      </w:r>
      <w:proofErr w:type="spellEnd"/>
      <w:r w:rsidR="00106B69">
        <w:t xml:space="preserve"> todos os pedidos de esclarecimento, impugnações, bem como suas respectivas respostas, juntando aos autos os documentos gerados pelo sistema (</w:t>
      </w:r>
      <w:r w:rsidR="00500838">
        <w:t>ref. subitem</w:t>
      </w:r>
      <w:r w:rsidR="00106B69">
        <w:t xml:space="preserve"> </w:t>
      </w:r>
      <w:proofErr w:type="gramStart"/>
      <w:r w:rsidR="00106B69">
        <w:t>III.</w:t>
      </w:r>
      <w:proofErr w:type="gramEnd"/>
      <w:r w:rsidR="00106B69">
        <w:t>2</w:t>
      </w:r>
      <w:r w:rsidR="00500838">
        <w:t xml:space="preserve"> </w:t>
      </w:r>
      <w:r w:rsidR="00500838" w:rsidRPr="00013981">
        <w:t>– Pregão nº 28/2015</w:t>
      </w:r>
      <w:r w:rsidR="00106B69" w:rsidRPr="00013981">
        <w:t xml:space="preserve">);  </w:t>
      </w:r>
    </w:p>
    <w:p w:rsidR="00C42651" w:rsidRDefault="00C42651" w:rsidP="00132223">
      <w:pPr>
        <w:pStyle w:val="NormalWeb"/>
        <w:spacing w:before="120" w:beforeAutospacing="0" w:after="120" w:afterAutospacing="0"/>
        <w:ind w:firstLine="851"/>
        <w:jc w:val="both"/>
      </w:pPr>
      <w:proofErr w:type="gramStart"/>
      <w:r>
        <w:t>IV.</w:t>
      </w:r>
      <w:proofErr w:type="gramEnd"/>
      <w:r>
        <w:t xml:space="preserve">3. </w:t>
      </w:r>
      <w:r w:rsidR="009144E6">
        <w:t xml:space="preserve">Recomendar que as unidades </w:t>
      </w:r>
      <w:proofErr w:type="gramStart"/>
      <w:r w:rsidR="009144E6">
        <w:t>sejam</w:t>
      </w:r>
      <w:proofErr w:type="gramEnd"/>
      <w:r w:rsidR="009144E6">
        <w:t xml:space="preserve"> cientificadas acerca dos apontamentos realizados pela ASSESD quando da análise da regularidade do procedimento licitatório</w:t>
      </w:r>
      <w:r w:rsidR="00500838">
        <w:t>,</w:t>
      </w:r>
      <w:r w:rsidR="009144E6">
        <w:t xml:space="preserve"> para a adoção das providências cabíveis (</w:t>
      </w:r>
      <w:r w:rsidR="00500838">
        <w:t>ref. sub</w:t>
      </w:r>
      <w:r w:rsidR="009144E6">
        <w:t>item III.3.2</w:t>
      </w:r>
      <w:r w:rsidR="00500838">
        <w:t xml:space="preserve"> – </w:t>
      </w:r>
      <w:r w:rsidR="00500838" w:rsidRPr="00013981">
        <w:t>Pregão nº 34/2015</w:t>
      </w:r>
      <w:r w:rsidR="009144E6" w:rsidRPr="00013981">
        <w:t>);</w:t>
      </w:r>
    </w:p>
    <w:p w:rsidR="00DE763E" w:rsidRPr="00013981" w:rsidRDefault="00DE763E" w:rsidP="00DE763E">
      <w:pPr>
        <w:spacing w:before="120"/>
        <w:ind w:firstLine="851"/>
        <w:jc w:val="both"/>
        <w:rPr>
          <w:sz w:val="24"/>
          <w:szCs w:val="24"/>
        </w:rPr>
      </w:pPr>
      <w:proofErr w:type="gramStart"/>
      <w:r w:rsidRPr="001C45E9">
        <w:rPr>
          <w:sz w:val="24"/>
          <w:szCs w:val="24"/>
        </w:rPr>
        <w:t>IV.</w:t>
      </w:r>
      <w:proofErr w:type="gramEnd"/>
      <w:r w:rsidRPr="001C45E9">
        <w:rPr>
          <w:sz w:val="24"/>
          <w:szCs w:val="24"/>
        </w:rPr>
        <w:t>4. Recomendar</w:t>
      </w:r>
      <w:r w:rsidRPr="00882F64">
        <w:rPr>
          <w:sz w:val="24"/>
          <w:szCs w:val="24"/>
        </w:rPr>
        <w:t xml:space="preserve"> que os Pregoeiros </w:t>
      </w:r>
      <w:proofErr w:type="gramStart"/>
      <w:r w:rsidRPr="00882F64">
        <w:rPr>
          <w:sz w:val="24"/>
          <w:szCs w:val="24"/>
        </w:rPr>
        <w:t>sejam</w:t>
      </w:r>
      <w:proofErr w:type="gramEnd"/>
      <w:r w:rsidRPr="00882F64">
        <w:rPr>
          <w:sz w:val="24"/>
          <w:szCs w:val="24"/>
        </w:rPr>
        <w:t xml:space="preserve"> orientados a anexar ao processo toda a documentação relativa à licitação, ainda que esta venha a ser anulada ou revogada, bem como os documentos enviados pelas empresas vencedoras, mesmo que insuficientes,</w:t>
      </w:r>
      <w:r w:rsidR="001C45E9">
        <w:rPr>
          <w:sz w:val="24"/>
          <w:szCs w:val="24"/>
        </w:rPr>
        <w:t xml:space="preserve"> redundando na sua inabilitação (</w:t>
      </w:r>
      <w:r w:rsidR="00500838">
        <w:rPr>
          <w:sz w:val="24"/>
          <w:szCs w:val="24"/>
        </w:rPr>
        <w:t>ref. sub</w:t>
      </w:r>
      <w:r w:rsidR="001C45E9">
        <w:rPr>
          <w:sz w:val="24"/>
          <w:szCs w:val="24"/>
        </w:rPr>
        <w:t>item III.4.2</w:t>
      </w:r>
      <w:r w:rsidR="00500838">
        <w:rPr>
          <w:sz w:val="24"/>
          <w:szCs w:val="24"/>
        </w:rPr>
        <w:t xml:space="preserve"> – </w:t>
      </w:r>
      <w:r w:rsidR="00500838" w:rsidRPr="00013981">
        <w:rPr>
          <w:sz w:val="24"/>
          <w:szCs w:val="24"/>
        </w:rPr>
        <w:t>Pregão nº 16/2015</w:t>
      </w:r>
      <w:r w:rsidR="001C45E9" w:rsidRPr="00013981">
        <w:rPr>
          <w:sz w:val="24"/>
          <w:szCs w:val="24"/>
        </w:rPr>
        <w:t>);</w:t>
      </w:r>
    </w:p>
    <w:p w:rsidR="001C45E9" w:rsidRDefault="001C45E9" w:rsidP="001C45E9">
      <w:pPr>
        <w:spacing w:before="120"/>
        <w:ind w:firstLine="851"/>
        <w:jc w:val="both"/>
        <w:rPr>
          <w:sz w:val="24"/>
          <w:szCs w:val="24"/>
        </w:rPr>
      </w:pPr>
      <w:proofErr w:type="gramStart"/>
      <w:r>
        <w:rPr>
          <w:sz w:val="24"/>
          <w:szCs w:val="24"/>
        </w:rPr>
        <w:t>IV.</w:t>
      </w:r>
      <w:proofErr w:type="gramEnd"/>
      <w:r>
        <w:rPr>
          <w:sz w:val="24"/>
          <w:szCs w:val="24"/>
        </w:rPr>
        <w:t xml:space="preserve">5. Recomendar que </w:t>
      </w:r>
      <w:r w:rsidR="00500838" w:rsidRPr="00013981">
        <w:rPr>
          <w:sz w:val="24"/>
          <w:szCs w:val="24"/>
        </w:rPr>
        <w:t xml:space="preserve">a </w:t>
      </w:r>
      <w:r w:rsidR="00013981" w:rsidRPr="00013981">
        <w:rPr>
          <w:sz w:val="24"/>
          <w:szCs w:val="24"/>
        </w:rPr>
        <w:t>Secretaria de Gestão Administrativa (</w:t>
      </w:r>
      <w:r w:rsidR="00500838" w:rsidRPr="00013981">
        <w:rPr>
          <w:sz w:val="24"/>
          <w:szCs w:val="24"/>
        </w:rPr>
        <w:t>SG</w:t>
      </w:r>
      <w:r w:rsidR="00013981" w:rsidRPr="00013981">
        <w:rPr>
          <w:sz w:val="24"/>
          <w:szCs w:val="24"/>
        </w:rPr>
        <w:t>A)</w:t>
      </w:r>
      <w:r w:rsidR="00500838" w:rsidRPr="00013981">
        <w:rPr>
          <w:sz w:val="24"/>
          <w:szCs w:val="24"/>
        </w:rPr>
        <w:t xml:space="preserve">, em parceria com a </w:t>
      </w:r>
      <w:r w:rsidR="00013981" w:rsidRPr="00013981">
        <w:rPr>
          <w:sz w:val="24"/>
          <w:szCs w:val="24"/>
        </w:rPr>
        <w:t>Secretaria de Gestão de Pessoas (</w:t>
      </w:r>
      <w:r w:rsidR="00500838" w:rsidRPr="00013981">
        <w:rPr>
          <w:sz w:val="24"/>
          <w:szCs w:val="24"/>
        </w:rPr>
        <w:t>SGP</w:t>
      </w:r>
      <w:r w:rsidR="00013981" w:rsidRPr="00013981">
        <w:rPr>
          <w:sz w:val="24"/>
          <w:szCs w:val="24"/>
        </w:rPr>
        <w:t>)</w:t>
      </w:r>
      <w:r w:rsidR="00500838" w:rsidRPr="00013981">
        <w:rPr>
          <w:sz w:val="24"/>
          <w:szCs w:val="24"/>
        </w:rPr>
        <w:t xml:space="preserve">, </w:t>
      </w:r>
      <w:r>
        <w:rPr>
          <w:sz w:val="24"/>
          <w:szCs w:val="24"/>
        </w:rPr>
        <w:t>promova</w:t>
      </w:r>
      <w:r w:rsidR="00500838">
        <w:rPr>
          <w:sz w:val="24"/>
          <w:szCs w:val="24"/>
        </w:rPr>
        <w:t>m</w:t>
      </w:r>
      <w:r>
        <w:rPr>
          <w:sz w:val="24"/>
          <w:szCs w:val="24"/>
        </w:rPr>
        <w:t xml:space="preserve"> c</w:t>
      </w:r>
      <w:r w:rsidRPr="00367505">
        <w:rPr>
          <w:sz w:val="24"/>
          <w:szCs w:val="24"/>
        </w:rPr>
        <w:t>apacitação</w:t>
      </w:r>
      <w:r>
        <w:rPr>
          <w:sz w:val="24"/>
          <w:szCs w:val="24"/>
        </w:rPr>
        <w:t xml:space="preserve"> </w:t>
      </w:r>
      <w:r w:rsidR="00AC0040">
        <w:rPr>
          <w:sz w:val="24"/>
          <w:szCs w:val="24"/>
        </w:rPr>
        <w:t>sobre habilitação (com enfoque na qualificação técnica)</w:t>
      </w:r>
      <w:r>
        <w:rPr>
          <w:sz w:val="24"/>
          <w:szCs w:val="24"/>
        </w:rPr>
        <w:t>, buscando envolver servidores das diversas áreas, responsáveis pela elaboração de termos de referência/projetos básicos</w:t>
      </w:r>
      <w:r w:rsidR="00B10B1C">
        <w:rPr>
          <w:sz w:val="24"/>
          <w:szCs w:val="24"/>
        </w:rPr>
        <w:t>, bem como a Seção de Licitações</w:t>
      </w:r>
      <w:r w:rsidR="00022788">
        <w:rPr>
          <w:sz w:val="24"/>
          <w:szCs w:val="24"/>
        </w:rPr>
        <w:t>, que deverá orientar as unidades, funcionando como primeiro filtro/controle</w:t>
      </w:r>
      <w:r w:rsidR="00B10B1C">
        <w:rPr>
          <w:sz w:val="24"/>
          <w:szCs w:val="24"/>
        </w:rPr>
        <w:t xml:space="preserve"> </w:t>
      </w:r>
      <w:r w:rsidR="00251D6A">
        <w:rPr>
          <w:sz w:val="24"/>
          <w:szCs w:val="24"/>
        </w:rPr>
        <w:t xml:space="preserve">quanto à referida matéria </w:t>
      </w:r>
      <w:r>
        <w:rPr>
          <w:sz w:val="24"/>
          <w:szCs w:val="24"/>
        </w:rPr>
        <w:t>(</w:t>
      </w:r>
      <w:r w:rsidR="00500838">
        <w:rPr>
          <w:sz w:val="24"/>
          <w:szCs w:val="24"/>
        </w:rPr>
        <w:t>ref. sub</w:t>
      </w:r>
      <w:r>
        <w:rPr>
          <w:sz w:val="24"/>
          <w:szCs w:val="24"/>
        </w:rPr>
        <w:t xml:space="preserve">item </w:t>
      </w:r>
      <w:proofErr w:type="gramStart"/>
      <w:r>
        <w:rPr>
          <w:sz w:val="24"/>
          <w:szCs w:val="24"/>
        </w:rPr>
        <w:t>III.</w:t>
      </w:r>
      <w:proofErr w:type="gramEnd"/>
      <w:r>
        <w:rPr>
          <w:sz w:val="24"/>
          <w:szCs w:val="24"/>
        </w:rPr>
        <w:t>5</w:t>
      </w:r>
      <w:r w:rsidR="00500838">
        <w:rPr>
          <w:sz w:val="24"/>
          <w:szCs w:val="24"/>
        </w:rPr>
        <w:t xml:space="preserve"> </w:t>
      </w:r>
      <w:r w:rsidR="00500838" w:rsidRPr="00013981">
        <w:rPr>
          <w:sz w:val="24"/>
          <w:szCs w:val="24"/>
        </w:rPr>
        <w:t>– Pregão nº 37/2015</w:t>
      </w:r>
      <w:r w:rsidRPr="00013981">
        <w:rPr>
          <w:sz w:val="24"/>
          <w:szCs w:val="24"/>
        </w:rPr>
        <w:t>);</w:t>
      </w:r>
    </w:p>
    <w:p w:rsidR="00251D6A" w:rsidRDefault="00251D6A" w:rsidP="00251D6A">
      <w:pPr>
        <w:ind w:firstLine="851"/>
        <w:jc w:val="both"/>
        <w:rPr>
          <w:sz w:val="24"/>
          <w:szCs w:val="24"/>
        </w:rPr>
      </w:pPr>
      <w:proofErr w:type="gramStart"/>
      <w:r>
        <w:rPr>
          <w:sz w:val="24"/>
          <w:szCs w:val="24"/>
        </w:rPr>
        <w:t>IV.</w:t>
      </w:r>
      <w:proofErr w:type="gramEnd"/>
      <w:r>
        <w:rPr>
          <w:sz w:val="24"/>
          <w:szCs w:val="24"/>
        </w:rPr>
        <w:t>6. Sugerir que a SEAQUI (Seção de Análise e Aquisição) avalie a possibilidade de comunicar a reabertura do certame às empresas que encaminharam propostas para o pregão posteriormente anulado/revogado (</w:t>
      </w:r>
      <w:r w:rsidR="00500838">
        <w:rPr>
          <w:sz w:val="24"/>
          <w:szCs w:val="24"/>
        </w:rPr>
        <w:t>ref. sub</w:t>
      </w:r>
      <w:r>
        <w:rPr>
          <w:sz w:val="24"/>
          <w:szCs w:val="24"/>
        </w:rPr>
        <w:t xml:space="preserve">item </w:t>
      </w:r>
      <w:proofErr w:type="gramStart"/>
      <w:r>
        <w:rPr>
          <w:sz w:val="24"/>
          <w:szCs w:val="24"/>
        </w:rPr>
        <w:t>III.</w:t>
      </w:r>
      <w:proofErr w:type="gramEnd"/>
      <w:r>
        <w:rPr>
          <w:sz w:val="24"/>
          <w:szCs w:val="24"/>
        </w:rPr>
        <w:t>6.1);</w:t>
      </w:r>
    </w:p>
    <w:p w:rsidR="00251D6A" w:rsidRDefault="00251D6A" w:rsidP="001C45E9">
      <w:pPr>
        <w:spacing w:before="120"/>
        <w:ind w:firstLine="851"/>
        <w:jc w:val="both"/>
        <w:rPr>
          <w:sz w:val="24"/>
          <w:szCs w:val="24"/>
        </w:rPr>
      </w:pPr>
      <w:proofErr w:type="gramStart"/>
      <w:r>
        <w:rPr>
          <w:sz w:val="24"/>
          <w:szCs w:val="24"/>
        </w:rPr>
        <w:t>IV.</w:t>
      </w:r>
      <w:proofErr w:type="gramEnd"/>
      <w:r>
        <w:rPr>
          <w:sz w:val="24"/>
          <w:szCs w:val="24"/>
        </w:rPr>
        <w:t xml:space="preserve">7. </w:t>
      </w:r>
      <w:r w:rsidR="007F3092">
        <w:rPr>
          <w:sz w:val="24"/>
          <w:szCs w:val="24"/>
        </w:rPr>
        <w:t>R</w:t>
      </w:r>
      <w:r w:rsidR="007F3092" w:rsidRPr="007F3092">
        <w:rPr>
          <w:sz w:val="24"/>
          <w:szCs w:val="24"/>
        </w:rPr>
        <w:t>ecomenda</w:t>
      </w:r>
      <w:r w:rsidR="007F3092">
        <w:rPr>
          <w:sz w:val="24"/>
          <w:szCs w:val="24"/>
        </w:rPr>
        <w:t>r</w:t>
      </w:r>
      <w:r w:rsidR="007F3092" w:rsidRPr="007F3092">
        <w:rPr>
          <w:sz w:val="24"/>
          <w:szCs w:val="24"/>
        </w:rPr>
        <w:t xml:space="preserve"> que, para as contratações recorrentes, as áreas solicitantes utilizem os termos de referência da última contratação do mesmo objeto, ressaltando as modificações por ventura realizadas</w:t>
      </w:r>
      <w:r w:rsidR="005311EE">
        <w:rPr>
          <w:sz w:val="24"/>
          <w:szCs w:val="24"/>
        </w:rPr>
        <w:t>,</w:t>
      </w:r>
      <w:r w:rsidR="007F3092" w:rsidRPr="007F3092">
        <w:rPr>
          <w:sz w:val="24"/>
          <w:szCs w:val="24"/>
        </w:rPr>
        <w:t xml:space="preserve"> consignando as respectivas justificativas para as alterações</w:t>
      </w:r>
      <w:r w:rsidR="007F3092">
        <w:rPr>
          <w:sz w:val="24"/>
          <w:szCs w:val="24"/>
        </w:rPr>
        <w:t xml:space="preserve"> </w:t>
      </w:r>
      <w:r>
        <w:rPr>
          <w:sz w:val="24"/>
          <w:szCs w:val="24"/>
        </w:rPr>
        <w:t>(</w:t>
      </w:r>
      <w:r w:rsidR="00500838">
        <w:rPr>
          <w:sz w:val="24"/>
          <w:szCs w:val="24"/>
        </w:rPr>
        <w:t>ref. sub</w:t>
      </w:r>
      <w:r>
        <w:rPr>
          <w:sz w:val="24"/>
          <w:szCs w:val="24"/>
        </w:rPr>
        <w:t xml:space="preserve">item </w:t>
      </w:r>
      <w:proofErr w:type="gramStart"/>
      <w:r>
        <w:rPr>
          <w:sz w:val="24"/>
          <w:szCs w:val="24"/>
        </w:rPr>
        <w:t>III.</w:t>
      </w:r>
      <w:proofErr w:type="gramEnd"/>
      <w:r>
        <w:rPr>
          <w:sz w:val="24"/>
          <w:szCs w:val="24"/>
        </w:rPr>
        <w:t>6.2);</w:t>
      </w:r>
    </w:p>
    <w:p w:rsidR="0054258F" w:rsidRPr="00013981" w:rsidRDefault="00251D6A" w:rsidP="0054258F">
      <w:pPr>
        <w:pStyle w:val="NormalWeb"/>
        <w:spacing w:before="120" w:beforeAutospacing="0" w:after="120" w:afterAutospacing="0"/>
        <w:ind w:firstLine="851"/>
        <w:jc w:val="both"/>
      </w:pPr>
      <w:proofErr w:type="gramStart"/>
      <w:r>
        <w:t>IV.</w:t>
      </w:r>
      <w:proofErr w:type="gramEnd"/>
      <w:r>
        <w:t>8.</w:t>
      </w:r>
      <w:r w:rsidR="0054258F" w:rsidRPr="0054258F">
        <w:t xml:space="preserve"> </w:t>
      </w:r>
      <w:r w:rsidR="0054258F">
        <w:t xml:space="preserve">Recomendar que as empresas </w:t>
      </w:r>
      <w:proofErr w:type="gramStart"/>
      <w:r w:rsidR="0054258F">
        <w:t>Inova</w:t>
      </w:r>
      <w:proofErr w:type="gramEnd"/>
      <w:r w:rsidR="0054258F">
        <w:t xml:space="preserve"> Tecnologia em Serviços Ltda., adjudicatária do Pregão nº. 37/2015, e </w:t>
      </w:r>
      <w:proofErr w:type="spellStart"/>
      <w:r w:rsidR="0054258F">
        <w:t>Josemiria</w:t>
      </w:r>
      <w:proofErr w:type="spellEnd"/>
      <w:r w:rsidR="0054258F">
        <w:t xml:space="preserve"> Miranda Silva Santana – ME, vencedora do Pregão nº. 16/2015</w:t>
      </w:r>
      <w:proofErr w:type="gramStart"/>
      <w:r w:rsidR="0054258F">
        <w:t>, sejam</w:t>
      </w:r>
      <w:proofErr w:type="gramEnd"/>
      <w:r w:rsidR="0054258F">
        <w:t xml:space="preserve"> instadas a apresentar as vias originais ou cópias autenticadas dos documentos de habilitação não obtidos virtualmente (</w:t>
      </w:r>
      <w:r w:rsidR="00500838">
        <w:t>ref. sub</w:t>
      </w:r>
      <w:r w:rsidR="0054258F">
        <w:t>item III.6.3</w:t>
      </w:r>
      <w:r w:rsidR="00500838">
        <w:t xml:space="preserve"> – </w:t>
      </w:r>
      <w:r w:rsidR="00500838" w:rsidRPr="00013981">
        <w:t>Pregão nº 16/2015 e Pregão nº 37/2015</w:t>
      </w:r>
      <w:r w:rsidR="0054258F" w:rsidRPr="00013981">
        <w:t>);</w:t>
      </w:r>
    </w:p>
    <w:p w:rsidR="00E30C57" w:rsidRDefault="00E30C57" w:rsidP="0054258F">
      <w:pPr>
        <w:pStyle w:val="NormalWeb"/>
        <w:spacing w:before="120" w:beforeAutospacing="0" w:after="120" w:afterAutospacing="0"/>
        <w:ind w:firstLine="851"/>
        <w:jc w:val="both"/>
      </w:pPr>
    </w:p>
    <w:p w:rsidR="00251D6A" w:rsidRDefault="0054258F" w:rsidP="0054258F">
      <w:pPr>
        <w:pStyle w:val="NormalWeb"/>
        <w:spacing w:before="120" w:beforeAutospacing="0" w:after="120" w:afterAutospacing="0"/>
        <w:ind w:firstLine="851"/>
        <w:jc w:val="both"/>
      </w:pPr>
      <w:proofErr w:type="gramStart"/>
      <w:r>
        <w:lastRenderedPageBreak/>
        <w:t>IV.</w:t>
      </w:r>
      <w:proofErr w:type="gramEnd"/>
      <w:r>
        <w:t xml:space="preserve">9. Recomendar que os Pregoeiros </w:t>
      </w:r>
      <w:proofErr w:type="gramStart"/>
      <w:r>
        <w:t>sejam</w:t>
      </w:r>
      <w:proofErr w:type="gramEnd"/>
      <w:r>
        <w:t xml:space="preserve"> orientados a consignar no Relatório Final o rol de documentos que deverão ser exigidos das empresas como condição para a contratação, nos termos definidos no edital, sugerindo-se que a SEAQUI e a SECONT reproduzam esse rol no momento da convocação para a retirada da nota de empenho ou assinatura do contrato, alertando as empresas acerca da obrigatoriedade da apresentação da referida documentação</w:t>
      </w:r>
      <w:r w:rsidR="00251D6A">
        <w:t xml:space="preserve"> (</w:t>
      </w:r>
      <w:r w:rsidR="00500838">
        <w:t>ref. sub</w:t>
      </w:r>
      <w:r w:rsidR="00251D6A">
        <w:t>item III.6.3).</w:t>
      </w:r>
    </w:p>
    <w:p w:rsidR="00E30C57" w:rsidRDefault="00E30C57" w:rsidP="00251D6A">
      <w:pPr>
        <w:pStyle w:val="Corpodetexto3"/>
        <w:tabs>
          <w:tab w:val="left" w:pos="851"/>
        </w:tabs>
        <w:spacing w:before="120" w:after="120" w:line="360" w:lineRule="auto"/>
        <w:jc w:val="right"/>
        <w:rPr>
          <w:szCs w:val="24"/>
        </w:rPr>
      </w:pPr>
    </w:p>
    <w:p w:rsidR="00B726BC" w:rsidRPr="000300E2" w:rsidRDefault="00B909C2" w:rsidP="00251D6A">
      <w:pPr>
        <w:pStyle w:val="Corpodetexto3"/>
        <w:tabs>
          <w:tab w:val="left" w:pos="851"/>
        </w:tabs>
        <w:spacing w:before="120" w:after="120" w:line="360" w:lineRule="auto"/>
        <w:jc w:val="right"/>
        <w:rPr>
          <w:szCs w:val="24"/>
        </w:rPr>
      </w:pPr>
      <w:r w:rsidRPr="000300E2">
        <w:rPr>
          <w:szCs w:val="24"/>
        </w:rPr>
        <w:t xml:space="preserve">                                                             </w:t>
      </w:r>
      <w:r w:rsidR="00E34184">
        <w:rPr>
          <w:szCs w:val="24"/>
        </w:rPr>
        <w:t xml:space="preserve">      </w:t>
      </w:r>
      <w:r w:rsidR="00BD0DAC">
        <w:rPr>
          <w:szCs w:val="24"/>
        </w:rPr>
        <w:t xml:space="preserve">              </w:t>
      </w:r>
      <w:r w:rsidRPr="000300E2">
        <w:rPr>
          <w:szCs w:val="24"/>
        </w:rPr>
        <w:t>S</w:t>
      </w:r>
      <w:r w:rsidR="00B726BC" w:rsidRPr="000300E2">
        <w:rPr>
          <w:szCs w:val="24"/>
        </w:rPr>
        <w:t xml:space="preserve">alvador (BA), </w:t>
      </w:r>
      <w:r w:rsidR="00251D6A">
        <w:rPr>
          <w:szCs w:val="24"/>
        </w:rPr>
        <w:t>2</w:t>
      </w:r>
      <w:r w:rsidR="0004496F">
        <w:rPr>
          <w:szCs w:val="24"/>
        </w:rPr>
        <w:t>2</w:t>
      </w:r>
      <w:r w:rsidR="00106B69">
        <w:rPr>
          <w:szCs w:val="24"/>
        </w:rPr>
        <w:t xml:space="preserve"> </w:t>
      </w:r>
      <w:r w:rsidR="00C728E7">
        <w:rPr>
          <w:szCs w:val="24"/>
        </w:rPr>
        <w:t xml:space="preserve">de </w:t>
      </w:r>
      <w:r w:rsidR="00106B69">
        <w:rPr>
          <w:szCs w:val="24"/>
        </w:rPr>
        <w:t>janei</w:t>
      </w:r>
      <w:r w:rsidR="00C728E7">
        <w:rPr>
          <w:szCs w:val="24"/>
        </w:rPr>
        <w:t>ro</w:t>
      </w:r>
      <w:r w:rsidR="002E65B0">
        <w:rPr>
          <w:szCs w:val="24"/>
        </w:rPr>
        <w:t xml:space="preserve"> </w:t>
      </w:r>
      <w:r w:rsidR="00914D3A" w:rsidRPr="000300E2">
        <w:rPr>
          <w:szCs w:val="24"/>
        </w:rPr>
        <w:t>de 201</w:t>
      </w:r>
      <w:r w:rsidR="00106B69">
        <w:rPr>
          <w:szCs w:val="24"/>
        </w:rPr>
        <w:t>6</w:t>
      </w:r>
      <w:r w:rsidR="00B726BC" w:rsidRPr="000300E2">
        <w:rPr>
          <w:szCs w:val="24"/>
        </w:rPr>
        <w:t>.</w:t>
      </w:r>
    </w:p>
    <w:p w:rsidR="0078376F" w:rsidRPr="000300E2" w:rsidRDefault="00E00E4B" w:rsidP="00384E77">
      <w:pPr>
        <w:pStyle w:val="Corpodetexto3"/>
        <w:ind w:left="851"/>
        <w:rPr>
          <w:b/>
          <w:szCs w:val="24"/>
        </w:rPr>
      </w:pPr>
      <w:r>
        <w:rPr>
          <w:b/>
          <w:szCs w:val="24"/>
        </w:rPr>
        <w:t xml:space="preserve">Ana Carolina M. V. </w:t>
      </w:r>
      <w:proofErr w:type="gramStart"/>
      <w:r>
        <w:rPr>
          <w:b/>
          <w:szCs w:val="24"/>
        </w:rPr>
        <w:t>Iunes</w:t>
      </w:r>
      <w:proofErr w:type="gramEnd"/>
    </w:p>
    <w:p w:rsidR="00797DDB" w:rsidRDefault="00797DDB" w:rsidP="00384E77">
      <w:pPr>
        <w:pStyle w:val="Corpodetexto3"/>
        <w:ind w:left="851"/>
        <w:rPr>
          <w:i/>
          <w:sz w:val="20"/>
        </w:rPr>
      </w:pPr>
      <w:r>
        <w:rPr>
          <w:i/>
          <w:sz w:val="20"/>
        </w:rPr>
        <w:t>Auditora Interna</w:t>
      </w:r>
    </w:p>
    <w:p w:rsidR="00E00E4B" w:rsidRDefault="00E00E4B" w:rsidP="00384E77">
      <w:pPr>
        <w:pStyle w:val="Corpodetexto3"/>
        <w:ind w:left="851"/>
        <w:rPr>
          <w:i/>
          <w:sz w:val="20"/>
        </w:rPr>
      </w:pPr>
    </w:p>
    <w:p w:rsidR="00E00E4B" w:rsidRDefault="00E00E4B" w:rsidP="00384E77">
      <w:pPr>
        <w:pStyle w:val="Corpodetexto3"/>
        <w:ind w:left="851"/>
        <w:rPr>
          <w:b/>
          <w:szCs w:val="24"/>
        </w:rPr>
      </w:pPr>
      <w:r w:rsidRPr="0022743B">
        <w:rPr>
          <w:b/>
          <w:szCs w:val="24"/>
        </w:rPr>
        <w:t>Eduardo</w:t>
      </w:r>
      <w:r w:rsidR="0022743B">
        <w:rPr>
          <w:b/>
          <w:szCs w:val="24"/>
        </w:rPr>
        <w:t xml:space="preserve"> </w:t>
      </w:r>
      <w:r w:rsidRPr="0022743B">
        <w:rPr>
          <w:b/>
          <w:szCs w:val="24"/>
        </w:rPr>
        <w:t>Machado Oliveira</w:t>
      </w:r>
    </w:p>
    <w:p w:rsidR="000616FD" w:rsidRDefault="000616FD" w:rsidP="00384E77">
      <w:pPr>
        <w:pStyle w:val="Corpodetexto3"/>
        <w:ind w:left="851"/>
        <w:rPr>
          <w:i/>
          <w:sz w:val="20"/>
        </w:rPr>
      </w:pPr>
      <w:r>
        <w:rPr>
          <w:i/>
          <w:sz w:val="20"/>
        </w:rPr>
        <w:t>Auditor Interno</w:t>
      </w:r>
    </w:p>
    <w:p w:rsidR="000616FD" w:rsidRDefault="000616FD" w:rsidP="00384E77">
      <w:pPr>
        <w:pStyle w:val="Corpodetexto3"/>
        <w:ind w:left="851"/>
        <w:rPr>
          <w:i/>
          <w:sz w:val="20"/>
        </w:rPr>
      </w:pPr>
    </w:p>
    <w:p w:rsidR="000616FD" w:rsidRPr="000616FD" w:rsidRDefault="000616FD" w:rsidP="00384E77">
      <w:pPr>
        <w:pStyle w:val="Corpodetexto3"/>
        <w:ind w:left="851"/>
        <w:rPr>
          <w:b/>
          <w:szCs w:val="24"/>
        </w:rPr>
      </w:pPr>
      <w:r w:rsidRPr="000616FD">
        <w:rPr>
          <w:b/>
          <w:szCs w:val="24"/>
        </w:rPr>
        <w:t xml:space="preserve">Patrícia </w:t>
      </w:r>
      <w:proofErr w:type="spellStart"/>
      <w:r w:rsidRPr="000616FD">
        <w:rPr>
          <w:b/>
          <w:szCs w:val="24"/>
        </w:rPr>
        <w:t>Caleffi</w:t>
      </w:r>
      <w:proofErr w:type="spellEnd"/>
    </w:p>
    <w:p w:rsidR="002C0EC7" w:rsidRDefault="0022743B" w:rsidP="00384E77">
      <w:pPr>
        <w:pStyle w:val="Corpodetexto3"/>
        <w:ind w:left="851"/>
        <w:rPr>
          <w:i/>
          <w:sz w:val="20"/>
        </w:rPr>
      </w:pPr>
      <w:r w:rsidRPr="0022743B">
        <w:rPr>
          <w:i/>
          <w:sz w:val="20"/>
        </w:rPr>
        <w:t xml:space="preserve">Chefe da SEAGES </w:t>
      </w:r>
    </w:p>
    <w:p w:rsidR="000616FD" w:rsidRDefault="000616FD" w:rsidP="00384E77">
      <w:pPr>
        <w:pStyle w:val="Corpodetexto3"/>
        <w:ind w:left="851"/>
        <w:rPr>
          <w:b/>
          <w:szCs w:val="24"/>
        </w:rPr>
      </w:pPr>
    </w:p>
    <w:p w:rsidR="00B726BC" w:rsidRPr="000300E2" w:rsidRDefault="00B726BC" w:rsidP="00384E77">
      <w:pPr>
        <w:pStyle w:val="Corpodetexto3"/>
        <w:ind w:left="851"/>
        <w:rPr>
          <w:b/>
          <w:szCs w:val="24"/>
        </w:rPr>
      </w:pPr>
      <w:r w:rsidRPr="000300E2">
        <w:rPr>
          <w:b/>
          <w:szCs w:val="24"/>
        </w:rPr>
        <w:t>Maria Isabel Moura Campos</w:t>
      </w:r>
    </w:p>
    <w:p w:rsidR="00D163DA" w:rsidRDefault="00B726BC" w:rsidP="00106B69">
      <w:pPr>
        <w:pStyle w:val="Corpodetexto3"/>
        <w:ind w:left="851"/>
        <w:rPr>
          <w:b/>
          <w:sz w:val="20"/>
          <w:u w:val="single"/>
        </w:rPr>
      </w:pPr>
      <w:r w:rsidRPr="00BD0DAC">
        <w:rPr>
          <w:i/>
          <w:sz w:val="20"/>
        </w:rPr>
        <w:t>Coordenadora</w:t>
      </w:r>
      <w:r w:rsidR="00D35BB9" w:rsidRPr="00BD0DAC">
        <w:rPr>
          <w:i/>
          <w:sz w:val="20"/>
        </w:rPr>
        <w:t xml:space="preserve"> </w:t>
      </w:r>
      <w:r w:rsidR="00914D3A" w:rsidRPr="00BD0DAC">
        <w:rPr>
          <w:i/>
          <w:sz w:val="20"/>
        </w:rPr>
        <w:t>da COGES</w:t>
      </w: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sectPr w:rsidR="00D163DA" w:rsidSect="00F873CA">
      <w:headerReference w:type="default" r:id="rId9"/>
      <w:footerReference w:type="even" r:id="rId10"/>
      <w:footerReference w:type="default" r:id="rId11"/>
      <w:headerReference w:type="first" r:id="rId12"/>
      <w:pgSz w:w="11907" w:h="16840" w:code="9"/>
      <w:pgMar w:top="1418" w:right="1134" w:bottom="1134" w:left="1134" w:header="737" w:footer="737"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80E" w:rsidRDefault="00D9680E">
      <w:r>
        <w:separator/>
      </w:r>
    </w:p>
  </w:endnote>
  <w:endnote w:type="continuationSeparator" w:id="0">
    <w:p w:rsidR="00D9680E" w:rsidRDefault="00D9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Default="00652DD2" w:rsidP="00C47BC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52DD2" w:rsidRDefault="00652DD2" w:rsidP="00B4074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50" w:rsidRDefault="00A35F50">
    <w:pPr>
      <w:pStyle w:val="Rodap"/>
    </w:pPr>
    <w:r>
      <w:t xml:space="preserve"> </w:t>
    </w:r>
  </w:p>
  <w:p w:rsidR="00652DD2" w:rsidRDefault="00652D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80E" w:rsidRDefault="00D9680E">
      <w:r>
        <w:separator/>
      </w:r>
    </w:p>
  </w:footnote>
  <w:footnote w:type="continuationSeparator" w:id="0">
    <w:p w:rsidR="00D9680E" w:rsidRDefault="00D9680E">
      <w:r>
        <w:continuationSeparator/>
      </w:r>
    </w:p>
  </w:footnote>
  <w:footnote w:id="1">
    <w:p w:rsidR="00C23114" w:rsidRPr="00C23114" w:rsidRDefault="00821C46" w:rsidP="00C23114">
      <w:pPr>
        <w:jc w:val="both"/>
      </w:pPr>
      <w:r w:rsidRPr="00C23114">
        <w:rPr>
          <w:rStyle w:val="Refdenotaderodap"/>
        </w:rPr>
        <w:footnoteRef/>
      </w:r>
      <w:r w:rsidR="00C23114" w:rsidRPr="00C23114">
        <w:t xml:space="preserve">Vale ressaltar que esta SEAGES elaborou recomendação na fiscalização do bimestre maio/junho, item </w:t>
      </w:r>
      <w:proofErr w:type="gramStart"/>
      <w:r w:rsidR="00C23114" w:rsidRPr="00C23114">
        <w:t>III.</w:t>
      </w:r>
      <w:proofErr w:type="gramEnd"/>
      <w:r w:rsidR="00C23114" w:rsidRPr="00C23114">
        <w:t xml:space="preserve">3, alínea “b”, cujo teor passa-se a transcrever: </w:t>
      </w:r>
      <w:r w:rsidR="00C23114" w:rsidRPr="00C23114">
        <w:rPr>
          <w:i/>
        </w:rPr>
        <w:t>“Em resumo, objetivando garantir a segurança jurídica, recomenda-se que os Pregoeiros sejam orientados a consignar em seu Relatório a confirmação de autenticidade da documentação de habilitação enviada pelos licitantes, bem como a obtenção direta desses documentos nos sites específicos, conforme o caso”</w:t>
      </w:r>
      <w:r w:rsidR="00C23114" w:rsidRPr="00C23114">
        <w:t>. A SGS, SGA, DG e ASJUR1</w:t>
      </w:r>
      <w:r w:rsidR="00C23114">
        <w:t xml:space="preserve"> foram </w:t>
      </w:r>
      <w:proofErr w:type="gramStart"/>
      <w:r w:rsidR="00C23114">
        <w:t>cientificadas</w:t>
      </w:r>
      <w:proofErr w:type="gramEnd"/>
      <w:r w:rsidR="00C23114">
        <w:t xml:space="preserve"> da sua homologação pela Presidência através do PAD nº. 10.163/2015.</w:t>
      </w:r>
    </w:p>
    <w:p w:rsidR="00C23114" w:rsidRPr="005A61F1" w:rsidRDefault="00C23114" w:rsidP="00C23114">
      <w:pPr>
        <w:ind w:firstLine="851"/>
        <w:jc w:val="both"/>
        <w:rPr>
          <w:sz w:val="24"/>
          <w:szCs w:val="24"/>
        </w:rPr>
      </w:pPr>
    </w:p>
    <w:p w:rsidR="00821C46" w:rsidRDefault="00821C46">
      <w:pPr>
        <w:pStyle w:val="Textodenotaderodap"/>
      </w:pPr>
    </w:p>
  </w:footnote>
  <w:footnote w:id="2">
    <w:p w:rsidR="004C634F" w:rsidRDefault="004C634F">
      <w:pPr>
        <w:pStyle w:val="Textodenotaderodap"/>
      </w:pPr>
      <w:r>
        <w:rPr>
          <w:rStyle w:val="Refdenotaderodap"/>
        </w:rPr>
        <w:footnoteRef/>
      </w:r>
      <w:r>
        <w:t xml:space="preserve"> A ata do pregão foi posteriormente juntada pela SEAQUI (fls. 333/370) para efeito de aproveitamento das propostas lançadas na licitação para a formação do preço máximo.  </w:t>
      </w:r>
    </w:p>
  </w:footnote>
  <w:footnote w:id="3">
    <w:p w:rsidR="005E63CE" w:rsidRDefault="006F6382" w:rsidP="006F6382">
      <w:pPr>
        <w:pStyle w:val="Textodenotaderodap"/>
      </w:pPr>
      <w:r>
        <w:rPr>
          <w:rStyle w:val="Refdenotaderodap"/>
        </w:rPr>
        <w:footnoteRef/>
      </w:r>
      <w:r>
        <w:t xml:space="preserve"> Abaixo, transcreve</w:t>
      </w:r>
      <w:r w:rsidR="005E63CE">
        <w:t xml:space="preserve">m-se o teor das recomendações: </w:t>
      </w:r>
    </w:p>
    <w:p w:rsidR="006F6382" w:rsidRDefault="006F6382" w:rsidP="006F6382">
      <w:pPr>
        <w:pStyle w:val="Textodenotaderodap"/>
      </w:pPr>
      <w:r>
        <w:t xml:space="preserve">a) </w:t>
      </w:r>
      <w:r w:rsidRPr="006F6382">
        <w:t>Memorando nº. 28/2014/SCI, de 13 de maio de 2014</w:t>
      </w:r>
      <w:r>
        <w:t>:</w:t>
      </w:r>
    </w:p>
    <w:p w:rsidR="006F6382" w:rsidRPr="00D415B1" w:rsidRDefault="006F6382" w:rsidP="006F6382">
      <w:pPr>
        <w:spacing w:after="0"/>
      </w:pPr>
      <w:proofErr w:type="gramStart"/>
      <w:r>
        <w:rPr>
          <w:b/>
          <w:u w:val="single"/>
        </w:rPr>
        <w:t>“</w:t>
      </w:r>
      <w:r w:rsidRPr="00D415B1">
        <w:rPr>
          <w:b/>
          <w:u w:val="single"/>
        </w:rPr>
        <w:t>RECOMENDAÇÃO Nº.</w:t>
      </w:r>
      <w:proofErr w:type="gramEnd"/>
      <w:r w:rsidRPr="00D415B1">
        <w:rPr>
          <w:b/>
          <w:u w:val="single"/>
        </w:rPr>
        <w:t xml:space="preserve"> 03/2014</w:t>
      </w:r>
    </w:p>
    <w:p w:rsidR="006F6382" w:rsidRPr="00D415B1" w:rsidRDefault="006F6382" w:rsidP="005E63CE">
      <w:pPr>
        <w:spacing w:after="0"/>
        <w:jc w:val="both"/>
      </w:pPr>
      <w:r w:rsidRPr="00D415B1">
        <w:t>Constatou-se que as unidades responsáveis pela elaboração dos Termos de Referência têm deixado de motivar exigências de habilitação técnica.</w:t>
      </w:r>
    </w:p>
    <w:p w:rsidR="006F6382" w:rsidRPr="00D415B1" w:rsidRDefault="006F6382" w:rsidP="005E63CE">
      <w:pPr>
        <w:spacing w:after="0"/>
        <w:jc w:val="both"/>
      </w:pPr>
      <w:r w:rsidRPr="00D415B1">
        <w:t xml:space="preserve">No Processo nº. 1.075/2014, o edital estabeleceu como requisito de habilitação </w:t>
      </w:r>
      <w:proofErr w:type="gramStart"/>
      <w:r w:rsidRPr="00D415B1">
        <w:t>a</w:t>
      </w:r>
      <w:proofErr w:type="gramEnd"/>
      <w:r w:rsidRPr="00D415B1">
        <w:t xml:space="preserve"> apresentação de atestados de execução de serviços de elaboração e hospedagem de cursos à distância com aproximadamente </w:t>
      </w:r>
      <w:r w:rsidRPr="00D415B1">
        <w:rPr>
          <w:u w:val="single"/>
        </w:rPr>
        <w:t>3.000 acessos</w:t>
      </w:r>
      <w:r w:rsidRPr="00D415B1">
        <w:t xml:space="preserve"> e de execução de serviços de gestão de cursos online com aproximadamente </w:t>
      </w:r>
      <w:r w:rsidRPr="00D415B1">
        <w:rPr>
          <w:u w:val="single"/>
        </w:rPr>
        <w:t>3.000 usuários</w:t>
      </w:r>
      <w:r w:rsidRPr="00D415B1">
        <w:t xml:space="preserve">, compreendendo atividades de gestão do processo de matrícula, suporte técnico, emissão de relatórios de acompanhamento e </w:t>
      </w:r>
      <w:r w:rsidRPr="005E63CE">
        <w:rPr>
          <w:i/>
        </w:rPr>
        <w:t>backup</w:t>
      </w:r>
      <w:r w:rsidRPr="00D415B1">
        <w:t>. Não foram explicitadas nos autos as justificativas técnicas para exigência no número mínimo de acessos e usuários respectivamente, inviabilizando a análise a respeito da razoabilidade/proporcionalidade da cláusula ou mesmo a aceitabilidade do somatório de atestados (seria admissível a apresentação de dois atestados, um constando 1.000 acessos e outro consignando mais 2.000? Em caso positivo, deveria exigir-se a comprovação de que os serviços foram prestados concomitantemente?).</w:t>
      </w:r>
    </w:p>
    <w:p w:rsidR="006F6382" w:rsidRPr="00D415B1" w:rsidRDefault="006F6382" w:rsidP="006F6382">
      <w:pPr>
        <w:spacing w:after="0"/>
      </w:pPr>
      <w:r w:rsidRPr="00D415B1">
        <w:t>Já no Processo nº. 3.658/2012, concernente à aquisição de mobiliário certificado, o ato convocatório previu a apresentação de atestados comprovando o fornecimento de um quantitativo mínimo de itens certificados. Ocorre, entretanto, que a unidade solicitante deixou de indicar os parâmetros utilizados para a fixação desse número.</w:t>
      </w:r>
    </w:p>
    <w:p w:rsidR="006F6382" w:rsidRPr="00D415B1" w:rsidRDefault="006F6382" w:rsidP="006F6382">
      <w:pPr>
        <w:spacing w:after="0"/>
        <w:rPr>
          <w:b/>
        </w:rPr>
      </w:pPr>
      <w:proofErr w:type="gramStart"/>
      <w:r w:rsidRPr="00D415B1">
        <w:rPr>
          <w:b/>
        </w:rPr>
        <w:t>Recomenda-se que todas as exigências de qualificação técnica sejam devidamente motivadas.</w:t>
      </w:r>
      <w:r>
        <w:rPr>
          <w:b/>
        </w:rPr>
        <w:t>”</w:t>
      </w:r>
      <w:proofErr w:type="gramEnd"/>
    </w:p>
    <w:p w:rsidR="006F6382" w:rsidRPr="006F6382" w:rsidRDefault="006F6382" w:rsidP="006F6382">
      <w:pPr>
        <w:pStyle w:val="TextosemFormatao"/>
        <w:spacing w:after="0"/>
        <w:rPr>
          <w:rFonts w:ascii="Times New Roman" w:hAnsi="Times New Roman" w:cs="Times New Roman"/>
        </w:rPr>
      </w:pPr>
      <w:r w:rsidRPr="006F6382">
        <w:rPr>
          <w:rFonts w:ascii="Times New Roman" w:hAnsi="Times New Roman" w:cs="Times New Roman"/>
        </w:rPr>
        <w:t xml:space="preserve">b) Relatório de Fiscalização dos Procedimentos Licitatórios relativos ao Bimestre Janeiro/Fevereiro de 2015: </w:t>
      </w:r>
    </w:p>
    <w:p w:rsidR="006F6382" w:rsidRDefault="006F6382" w:rsidP="002B1E56">
      <w:pPr>
        <w:pStyle w:val="TextosemFormatao"/>
        <w:spacing w:after="0"/>
      </w:pPr>
      <w:r>
        <w:rPr>
          <w:rFonts w:ascii="Times New Roman" w:hAnsi="Times New Roman" w:cs="Times New Roman"/>
          <w:b/>
        </w:rPr>
        <w:t>“</w:t>
      </w:r>
      <w:proofErr w:type="gramStart"/>
      <w:r w:rsidRPr="006F6382">
        <w:rPr>
          <w:rFonts w:ascii="Times New Roman" w:hAnsi="Times New Roman" w:cs="Times New Roman"/>
          <w:b/>
          <w:lang w:val="x-none"/>
        </w:rPr>
        <w:t>IV.</w:t>
      </w:r>
      <w:proofErr w:type="gramEnd"/>
      <w:r w:rsidRPr="006F6382">
        <w:rPr>
          <w:rFonts w:ascii="Times New Roman" w:hAnsi="Times New Roman" w:cs="Times New Roman"/>
          <w:b/>
          <w:lang w:val="x-none"/>
        </w:rPr>
        <w:t>6.</w:t>
      </w:r>
      <w:r w:rsidRPr="006F6382">
        <w:rPr>
          <w:rFonts w:ascii="Times New Roman" w:hAnsi="Times New Roman" w:cs="Times New Roman"/>
          <w:lang w:val="x-none"/>
        </w:rPr>
        <w:t xml:space="preserve"> </w:t>
      </w:r>
      <w:r w:rsidRPr="006F6382">
        <w:rPr>
          <w:rFonts w:ascii="Times New Roman" w:hAnsi="Times New Roman" w:cs="Times New Roman"/>
          <w:bCs/>
        </w:rPr>
        <w:t>Determinar às unidades demandantes a observância de que, quando se fizerem necessárias, as exigências de qualificação técnica sejam apenas as indispensáveis à garantia do cumprimento das obrigações pela contratada, devendo fundamentar detalhadamente esta necessidade, baseando-se sempre nos princípios da razoabilidade e proporcionalidade;</w:t>
      </w:r>
      <w:r>
        <w:rPr>
          <w:rFonts w:ascii="Times New Roman" w:hAnsi="Times New Roman" w:cs="Times New Roman"/>
          <w:bCs/>
        </w:rPr>
        <w:t>”.</w:t>
      </w:r>
    </w:p>
  </w:footnote>
  <w:footnote w:id="4">
    <w:p w:rsidR="001633B2" w:rsidRDefault="001633B2">
      <w:pPr>
        <w:pStyle w:val="Textodenotaderodap"/>
      </w:pPr>
      <w:r>
        <w:rPr>
          <w:rStyle w:val="Refdenotaderodap"/>
        </w:rPr>
        <w:footnoteRef/>
      </w:r>
      <w:r>
        <w:t xml:space="preserve"> Pregão 70/2014 anulado</w:t>
      </w:r>
    </w:p>
  </w:footnote>
  <w:footnote w:id="5">
    <w:p w:rsidR="001633B2" w:rsidRDefault="001633B2">
      <w:pPr>
        <w:pStyle w:val="Textodenotaderodap"/>
      </w:pPr>
      <w:r>
        <w:rPr>
          <w:rStyle w:val="Refdenotaderodap"/>
        </w:rPr>
        <w:footnoteRef/>
      </w:r>
      <w:r>
        <w:t xml:space="preserve"> Pregão 56/2014 anulado</w:t>
      </w:r>
    </w:p>
  </w:footnote>
  <w:footnote w:id="6">
    <w:p w:rsidR="00137888" w:rsidRDefault="00137888">
      <w:pPr>
        <w:pStyle w:val="Textodenotaderodap"/>
      </w:pPr>
      <w:r>
        <w:rPr>
          <w:rStyle w:val="Refdenotaderodap"/>
        </w:rPr>
        <w:footnoteRef/>
      </w:r>
      <w:r>
        <w:t xml:space="preserve"> Acrescenta-se, ainda, a desnecessidade de remessa dos originais ou cópias autenticadas dos documentos cuja validação pode ser feita pelo Pregoeiro nos sites específicos na internet.</w:t>
      </w:r>
    </w:p>
  </w:footnote>
  <w:footnote w:id="7">
    <w:p w:rsidR="00ED53CF" w:rsidRDefault="00ED53CF">
      <w:pPr>
        <w:pStyle w:val="Textodenotaderodap"/>
      </w:pPr>
      <w:r>
        <w:rPr>
          <w:rStyle w:val="Refdenotaderodap"/>
        </w:rPr>
        <w:footnoteRef/>
      </w:r>
      <w:r>
        <w:t xml:space="preserve"> Excerto do edital do Pregão Eletrônico nº. 2/2014:</w:t>
      </w:r>
    </w:p>
    <w:p w:rsidR="00ED53CF" w:rsidRPr="00ED53CF" w:rsidRDefault="006026A9" w:rsidP="006026A9">
      <w:pPr>
        <w:spacing w:after="0"/>
      </w:pPr>
      <w:r w:rsidRPr="006026A9">
        <w:t>“</w:t>
      </w:r>
      <w:r w:rsidR="00ED53CF" w:rsidRPr="00ED53CF">
        <w:rPr>
          <w:b/>
        </w:rPr>
        <w:t>6.1.</w:t>
      </w:r>
      <w:r w:rsidR="00ED53CF" w:rsidRPr="00ED53CF">
        <w:t xml:space="preserve"> Os documentos de habilitação da licitante detentora da melhor oferta, não enviados de forma virtual (pelo sistema </w:t>
      </w:r>
      <w:proofErr w:type="spellStart"/>
      <w:r w:rsidR="00ED53CF" w:rsidRPr="00ED53CF">
        <w:t>Comprasnet</w:t>
      </w:r>
      <w:proofErr w:type="spellEnd"/>
      <w:r w:rsidR="00ED53CF" w:rsidRPr="00ED53CF">
        <w:t xml:space="preserve">) ou que não constem do SICAF, serão solicitados pelo Pregoeiro, aguardando-se por </w:t>
      </w:r>
      <w:proofErr w:type="gramStart"/>
      <w:r w:rsidR="00ED53CF" w:rsidRPr="00ED53CF">
        <w:rPr>
          <w:b/>
        </w:rPr>
        <w:t>1</w:t>
      </w:r>
      <w:proofErr w:type="gramEnd"/>
      <w:r w:rsidR="00ED53CF" w:rsidRPr="00ED53CF">
        <w:rPr>
          <w:b/>
        </w:rPr>
        <w:t xml:space="preserve"> (uma) hora</w:t>
      </w:r>
      <w:r w:rsidR="00ED53CF" w:rsidRPr="00ED53CF">
        <w:t xml:space="preserve"> o seu encaminhamento, via fac-símile, e-mail, ou, ainda, através da opção “convocar anexo” no </w:t>
      </w:r>
      <w:proofErr w:type="spellStart"/>
      <w:r w:rsidR="00ED53CF" w:rsidRPr="00ED53CF">
        <w:t>Comprasnet</w:t>
      </w:r>
      <w:proofErr w:type="spellEnd"/>
      <w:r w:rsidR="00ED53CF" w:rsidRPr="00ED53CF">
        <w:t xml:space="preserve">. Uma vez recebidos, serão analisados para confirmação das exigências deste edital. </w:t>
      </w:r>
    </w:p>
    <w:p w:rsidR="00ED53CF" w:rsidRPr="00ED53CF" w:rsidRDefault="00ED53CF" w:rsidP="006026A9">
      <w:pPr>
        <w:spacing w:after="0"/>
        <w:ind w:firstLine="567"/>
      </w:pPr>
      <w:r w:rsidRPr="00ED53CF">
        <w:rPr>
          <w:b/>
        </w:rPr>
        <w:t>6.1.1.</w:t>
      </w:r>
      <w:r w:rsidRPr="00ED53CF">
        <w:t xml:space="preserve"> Enviados os documentos por e-mail, o Pregoeiro deverá confirmar, via chat, o seu recebimento. </w:t>
      </w:r>
    </w:p>
    <w:p w:rsidR="00ED53CF" w:rsidRPr="00ED53CF" w:rsidRDefault="00ED53CF" w:rsidP="006026A9">
      <w:pPr>
        <w:spacing w:after="0"/>
      </w:pPr>
      <w:r w:rsidRPr="00ED53CF">
        <w:rPr>
          <w:b/>
        </w:rPr>
        <w:t>6.2.</w:t>
      </w:r>
      <w:r w:rsidRPr="00ED53CF">
        <w:t xml:space="preserve"> </w:t>
      </w:r>
      <w:proofErr w:type="gramStart"/>
      <w:r w:rsidRPr="00ED53CF">
        <w:t>Caso não se confirmem</w:t>
      </w:r>
      <w:proofErr w:type="gramEnd"/>
      <w:r w:rsidRPr="00ED53CF">
        <w:t xml:space="preserve"> as exigências </w:t>
      </w:r>
      <w:proofErr w:type="spellStart"/>
      <w:r w:rsidRPr="00ED53CF">
        <w:t>habilitatórias</w:t>
      </w:r>
      <w:proofErr w:type="spellEnd"/>
      <w:r w:rsidRPr="00ED53CF">
        <w:t xml:space="preserve">, a licitante será inabilitada e o Pregoeiro solicitará a remessa da documentação da licitante </w:t>
      </w:r>
      <w:proofErr w:type="spellStart"/>
      <w:r w:rsidRPr="00ED53CF">
        <w:t>subseqüente</w:t>
      </w:r>
      <w:proofErr w:type="spellEnd"/>
      <w:r w:rsidRPr="00ED53CF">
        <w:t xml:space="preserve"> e assim sucessivamente até a apuração de uma proposta que atenda ao edital. </w:t>
      </w:r>
    </w:p>
    <w:p w:rsidR="00ED53CF" w:rsidRPr="00ED53CF" w:rsidRDefault="00ED53CF" w:rsidP="006026A9">
      <w:pPr>
        <w:spacing w:after="0"/>
      </w:pPr>
      <w:r w:rsidRPr="00ED53CF">
        <w:rPr>
          <w:b/>
        </w:rPr>
        <w:t>6.3.</w:t>
      </w:r>
      <w:r w:rsidRPr="00ED53CF">
        <w:rPr>
          <w:u w:val="single"/>
        </w:rPr>
        <w:t xml:space="preserve"> A documentação em original ou cópia autenticada deverá ser protocolizada no Tribunal Regional Eleitoral da Bahia, até o 5º dia útil subsequente à data de realização do Pregão.</w:t>
      </w:r>
      <w:r w:rsidRPr="00ED53CF">
        <w:t xml:space="preserve"> </w:t>
      </w:r>
    </w:p>
    <w:p w:rsidR="00ED53CF" w:rsidRDefault="00ED53CF" w:rsidP="000B1339">
      <w:pPr>
        <w:spacing w:after="0"/>
        <w:ind w:firstLine="567"/>
      </w:pPr>
      <w:r w:rsidRPr="00ED53CF">
        <w:rPr>
          <w:b/>
        </w:rPr>
        <w:t>6.3.1.</w:t>
      </w:r>
      <w:r w:rsidRPr="00ED53CF">
        <w:rPr>
          <w:u w:val="single"/>
        </w:rPr>
        <w:t xml:space="preserve"> </w:t>
      </w:r>
      <w:proofErr w:type="gramStart"/>
      <w:r w:rsidRPr="00ED53CF">
        <w:rPr>
          <w:u w:val="single"/>
        </w:rPr>
        <w:t>O descumprimento da condição supra ensejará a inabilitação da licitante</w:t>
      </w:r>
      <w:r w:rsidRPr="00ED53CF">
        <w:t>, devendo o Pregoeiro reabrir a sessão a fim de convocar o segundo colocado no certame.</w:t>
      </w:r>
      <w:r w:rsidR="006026A9">
        <w:t>”</w:t>
      </w:r>
      <w:proofErr w:type="gramEnd"/>
    </w:p>
  </w:footnote>
  <w:footnote w:id="8">
    <w:p w:rsidR="003079D1" w:rsidRDefault="003079D1">
      <w:pPr>
        <w:pStyle w:val="Textodenotaderodap"/>
      </w:pPr>
      <w:r>
        <w:rPr>
          <w:rStyle w:val="Refdenotaderodap"/>
        </w:rPr>
        <w:footnoteRef/>
      </w:r>
      <w:r>
        <w:t xml:space="preserve"> Foram encaminhados, durante o curso do pregão, dois atestados que atendiam à exigência do edital. O envio da via original ou cópia autenticada de apenas um deles é suficiente para cumprir a regra inserta no ato convocatório.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Default="00652DD2" w:rsidP="00355054">
    <w:pPr>
      <w:pStyle w:val="Cabealho"/>
      <w:framePr w:w="1134" w:h="1474" w:hRule="exact" w:wrap="around" w:vAnchor="page" w:hAnchor="page" w:x="1119" w:y="739"/>
      <w:ind w:right="119"/>
    </w:pPr>
  </w:p>
  <w:p w:rsidR="00F873CA" w:rsidRPr="00F873CA" w:rsidRDefault="00D163DA" w:rsidP="00F873CA">
    <w:pPr>
      <w:tabs>
        <w:tab w:val="left" w:pos="900"/>
        <w:tab w:val="center" w:pos="4252"/>
        <w:tab w:val="right" w:pos="8504"/>
      </w:tabs>
      <w:spacing w:after="0"/>
      <w:jc w:val="center"/>
      <w:rPr>
        <w:rFonts w:eastAsia="Calibri"/>
        <w:b/>
        <w:caps/>
        <w:lang w:eastAsia="en-US"/>
      </w:rPr>
    </w:pP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7pt;height:57.75pt" o:ole="" fillcolor="window">
          <v:imagedata r:id="rId1" o:title="" cropbottom="15491f" cropleft="9679f" cropright="9679f"/>
        </v:shape>
        <o:OLEObject Type="Embed" ProgID="Word.Picture.8" ShapeID="_x0000_i1025" DrawAspect="Content" ObjectID="_1682261175" r:id="rId2"/>
      </w:object>
    </w:r>
  </w:p>
  <w:p w:rsidR="00F873CA" w:rsidRPr="00F873CA" w:rsidRDefault="00F873CA" w:rsidP="00F873CA">
    <w:pPr>
      <w:tabs>
        <w:tab w:val="left" w:pos="0"/>
        <w:tab w:val="center" w:pos="4252"/>
        <w:tab w:val="right" w:pos="8504"/>
      </w:tabs>
      <w:spacing w:after="0"/>
      <w:jc w:val="center"/>
      <w:rPr>
        <w:rFonts w:eastAsia="Calibri"/>
        <w:b/>
        <w:caps/>
        <w:lang w:eastAsia="en-US"/>
      </w:rPr>
    </w:pPr>
    <w:r w:rsidRPr="00F873CA">
      <w:rPr>
        <w:rFonts w:eastAsia="Calibri"/>
        <w:b/>
        <w:caps/>
        <w:lang w:eastAsia="en-US"/>
      </w:rPr>
      <w:t>Tribunal Regional Eleitoral DA BAHIA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Secretaria de Controle Interno e Auditoria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 xml:space="preserve">Coordenadoria de Auditoria, Acompanhamento e Orientação da </w:t>
    </w:r>
    <w:proofErr w:type="gramStart"/>
    <w:r w:rsidRPr="00F873CA">
      <w:rPr>
        <w:rFonts w:eastAsia="Calibri"/>
        <w:lang w:eastAsia="en-US"/>
      </w:rPr>
      <w:t>Gestão</w:t>
    </w:r>
    <w:proofErr w:type="gramEnd"/>
  </w:p>
  <w:p w:rsidR="00F873CA" w:rsidRDefault="00F873CA" w:rsidP="00F873CA">
    <w:pPr>
      <w:widowControl w:val="0"/>
      <w:tabs>
        <w:tab w:val="left" w:pos="0"/>
        <w:tab w:val="left" w:pos="214"/>
      </w:tabs>
      <w:spacing w:after="0"/>
      <w:jc w:val="center"/>
      <w:rPr>
        <w:rFonts w:eastAsia="Calibri"/>
        <w:lang w:eastAsia="en-US"/>
      </w:rPr>
    </w:pPr>
    <w:r>
      <w:rPr>
        <w:rFonts w:eastAsia="Calibri"/>
        <w:lang w:eastAsia="en-US"/>
      </w:rPr>
      <w:t>Seção de Acompanhamento e Orientação à Gestão Administrativa</w:t>
    </w:r>
  </w:p>
  <w:p w:rsidR="00F873CA" w:rsidRPr="00F873CA" w:rsidRDefault="00F873CA" w:rsidP="00F873CA">
    <w:pPr>
      <w:widowControl w:val="0"/>
      <w:tabs>
        <w:tab w:val="left" w:pos="0"/>
        <w:tab w:val="left" w:pos="214"/>
      </w:tabs>
      <w:spacing w:after="0"/>
      <w:jc w:val="center"/>
      <w:rPr>
        <w:rFonts w:eastAsia="Calibri"/>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3CA" w:rsidRDefault="00F873CA" w:rsidP="00F873CA">
    <w:pPr>
      <w:pStyle w:val="Cabealho"/>
      <w:framePr w:w="1134" w:h="1474" w:hRule="exact" w:wrap="around" w:vAnchor="page" w:hAnchor="page" w:x="1753" w:y="152"/>
      <w:ind w:right="119"/>
    </w:pPr>
  </w:p>
  <w:p w:rsidR="00F873CA" w:rsidRPr="00F873CA" w:rsidRDefault="00D163DA" w:rsidP="00F873CA">
    <w:pPr>
      <w:tabs>
        <w:tab w:val="left" w:pos="900"/>
        <w:tab w:val="center" w:pos="4252"/>
        <w:tab w:val="right" w:pos="8504"/>
      </w:tabs>
      <w:spacing w:after="0"/>
      <w:jc w:val="center"/>
      <w:rPr>
        <w:rFonts w:eastAsia="Calibri"/>
        <w:b/>
        <w:caps/>
        <w:lang w:eastAsia="en-US"/>
      </w:rPr>
    </w:pP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1.7pt;height:58.95pt" o:ole="" fillcolor="window">
          <v:imagedata r:id="rId1" o:title="" cropbottom="15491f" cropleft="9679f" cropright="9679f"/>
        </v:shape>
        <o:OLEObject Type="Embed" ProgID="Word.Picture.8" ShapeID="_x0000_i1026" DrawAspect="Content" ObjectID="_1682261176" r:id="rId2"/>
      </w:object>
    </w:r>
  </w:p>
  <w:p w:rsidR="00F873CA" w:rsidRPr="00F873CA" w:rsidRDefault="00F873CA" w:rsidP="00F873CA">
    <w:pPr>
      <w:tabs>
        <w:tab w:val="left" w:pos="0"/>
        <w:tab w:val="center" w:pos="4252"/>
        <w:tab w:val="right" w:pos="8504"/>
      </w:tabs>
      <w:spacing w:after="0"/>
      <w:jc w:val="center"/>
      <w:rPr>
        <w:rFonts w:eastAsia="Calibri"/>
        <w:b/>
        <w:caps/>
        <w:lang w:eastAsia="en-US"/>
      </w:rPr>
    </w:pPr>
    <w:r w:rsidRPr="00F873CA">
      <w:rPr>
        <w:rFonts w:eastAsia="Calibri"/>
        <w:b/>
        <w:caps/>
        <w:lang w:eastAsia="en-US"/>
      </w:rPr>
      <w:t>Tribunal Regional Eleitoral DA BAHIA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Secretaria de Controle Interno e Auditoria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 xml:space="preserve">Coordenadoria de Auditoria, Acompanhamento e Orientação da </w:t>
    </w:r>
    <w:proofErr w:type="gramStart"/>
    <w:r w:rsidRPr="00F873CA">
      <w:rPr>
        <w:rFonts w:eastAsia="Calibri"/>
        <w:lang w:eastAsia="en-US"/>
      </w:rPr>
      <w:t>Gestão</w:t>
    </w:r>
    <w:proofErr w:type="gramEnd"/>
  </w:p>
  <w:p w:rsidR="00F873CA" w:rsidRDefault="00F873CA" w:rsidP="00F873CA">
    <w:pPr>
      <w:widowControl w:val="0"/>
      <w:tabs>
        <w:tab w:val="left" w:pos="0"/>
        <w:tab w:val="left" w:pos="214"/>
      </w:tabs>
      <w:spacing w:after="0"/>
      <w:jc w:val="center"/>
      <w:rPr>
        <w:rFonts w:eastAsia="Calibri"/>
        <w:lang w:eastAsia="en-US"/>
      </w:rPr>
    </w:pPr>
    <w:r>
      <w:rPr>
        <w:rFonts w:eastAsia="Calibri"/>
        <w:lang w:eastAsia="en-US"/>
      </w:rPr>
      <w:t>Seção de Acompanhamento e Orientação à Gestão Administrativa</w:t>
    </w:r>
  </w:p>
  <w:p w:rsidR="00D163DA" w:rsidRPr="00F873CA" w:rsidRDefault="00D163DA" w:rsidP="00F873CA">
    <w:pPr>
      <w:widowControl w:val="0"/>
      <w:tabs>
        <w:tab w:val="left" w:pos="0"/>
        <w:tab w:val="left" w:pos="214"/>
      </w:tabs>
      <w:spacing w:after="0"/>
      <w:jc w:val="center"/>
      <w:rPr>
        <w:rFonts w:eastAsia="Calibri"/>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428"/>
    <w:multiLevelType w:val="hybridMultilevel"/>
    <w:tmpl w:val="44B647F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D31515B"/>
    <w:multiLevelType w:val="multilevel"/>
    <w:tmpl w:val="95F09CCC"/>
    <w:lvl w:ilvl="0">
      <w:start w:val="2"/>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5A1488"/>
    <w:multiLevelType w:val="hybridMultilevel"/>
    <w:tmpl w:val="65A8362C"/>
    <w:lvl w:ilvl="0" w:tplc="5DB8B334">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
    <w:nsid w:val="10084138"/>
    <w:multiLevelType w:val="hybridMultilevel"/>
    <w:tmpl w:val="78747A8E"/>
    <w:lvl w:ilvl="0" w:tplc="3E9C7A76">
      <w:start w:val="1"/>
      <w:numFmt w:val="lowerLetter"/>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4">
    <w:nsid w:val="23290943"/>
    <w:multiLevelType w:val="hybridMultilevel"/>
    <w:tmpl w:val="C7989B96"/>
    <w:lvl w:ilvl="0" w:tplc="6C9E75F8">
      <w:start w:val="1"/>
      <w:numFmt w:val="bullet"/>
      <w:lvlText w:val=""/>
      <w:lvlJc w:val="left"/>
      <w:pPr>
        <w:tabs>
          <w:tab w:val="num" w:pos="1434"/>
        </w:tabs>
        <w:ind w:left="1434" w:hanging="360"/>
      </w:pPr>
      <w:rPr>
        <w:rFonts w:ascii="Symbol" w:hAnsi="Symbol" w:hint="default"/>
        <w:color w:val="auto"/>
      </w:rPr>
    </w:lvl>
    <w:lvl w:ilvl="1" w:tplc="04160003">
      <w:start w:val="1"/>
      <w:numFmt w:val="bullet"/>
      <w:lvlText w:val="o"/>
      <w:lvlJc w:val="left"/>
      <w:pPr>
        <w:tabs>
          <w:tab w:val="num" w:pos="2154"/>
        </w:tabs>
        <w:ind w:left="2154" w:hanging="360"/>
      </w:pPr>
      <w:rPr>
        <w:rFonts w:ascii="Courier New" w:hAnsi="Courier New" w:hint="default"/>
      </w:rPr>
    </w:lvl>
    <w:lvl w:ilvl="2" w:tplc="04160005" w:tentative="1">
      <w:start w:val="1"/>
      <w:numFmt w:val="bullet"/>
      <w:lvlText w:val=""/>
      <w:lvlJc w:val="left"/>
      <w:pPr>
        <w:tabs>
          <w:tab w:val="num" w:pos="2874"/>
        </w:tabs>
        <w:ind w:left="2874" w:hanging="360"/>
      </w:pPr>
      <w:rPr>
        <w:rFonts w:ascii="Wingdings" w:hAnsi="Wingdings" w:hint="default"/>
      </w:rPr>
    </w:lvl>
    <w:lvl w:ilvl="3" w:tplc="04160001" w:tentative="1">
      <w:start w:val="1"/>
      <w:numFmt w:val="bullet"/>
      <w:lvlText w:val=""/>
      <w:lvlJc w:val="left"/>
      <w:pPr>
        <w:tabs>
          <w:tab w:val="num" w:pos="3594"/>
        </w:tabs>
        <w:ind w:left="3594" w:hanging="360"/>
      </w:pPr>
      <w:rPr>
        <w:rFonts w:ascii="Symbol" w:hAnsi="Symbol" w:hint="default"/>
      </w:rPr>
    </w:lvl>
    <w:lvl w:ilvl="4" w:tplc="04160003" w:tentative="1">
      <w:start w:val="1"/>
      <w:numFmt w:val="bullet"/>
      <w:lvlText w:val="o"/>
      <w:lvlJc w:val="left"/>
      <w:pPr>
        <w:tabs>
          <w:tab w:val="num" w:pos="4314"/>
        </w:tabs>
        <w:ind w:left="4314" w:hanging="360"/>
      </w:pPr>
      <w:rPr>
        <w:rFonts w:ascii="Courier New" w:hAnsi="Courier New" w:hint="default"/>
      </w:rPr>
    </w:lvl>
    <w:lvl w:ilvl="5" w:tplc="04160005" w:tentative="1">
      <w:start w:val="1"/>
      <w:numFmt w:val="bullet"/>
      <w:lvlText w:val=""/>
      <w:lvlJc w:val="left"/>
      <w:pPr>
        <w:tabs>
          <w:tab w:val="num" w:pos="5034"/>
        </w:tabs>
        <w:ind w:left="5034" w:hanging="360"/>
      </w:pPr>
      <w:rPr>
        <w:rFonts w:ascii="Wingdings" w:hAnsi="Wingdings" w:hint="default"/>
      </w:rPr>
    </w:lvl>
    <w:lvl w:ilvl="6" w:tplc="04160001" w:tentative="1">
      <w:start w:val="1"/>
      <w:numFmt w:val="bullet"/>
      <w:lvlText w:val=""/>
      <w:lvlJc w:val="left"/>
      <w:pPr>
        <w:tabs>
          <w:tab w:val="num" w:pos="5754"/>
        </w:tabs>
        <w:ind w:left="5754" w:hanging="360"/>
      </w:pPr>
      <w:rPr>
        <w:rFonts w:ascii="Symbol" w:hAnsi="Symbol" w:hint="default"/>
      </w:rPr>
    </w:lvl>
    <w:lvl w:ilvl="7" w:tplc="04160003" w:tentative="1">
      <w:start w:val="1"/>
      <w:numFmt w:val="bullet"/>
      <w:lvlText w:val="o"/>
      <w:lvlJc w:val="left"/>
      <w:pPr>
        <w:tabs>
          <w:tab w:val="num" w:pos="6474"/>
        </w:tabs>
        <w:ind w:left="6474" w:hanging="360"/>
      </w:pPr>
      <w:rPr>
        <w:rFonts w:ascii="Courier New" w:hAnsi="Courier New" w:hint="default"/>
      </w:rPr>
    </w:lvl>
    <w:lvl w:ilvl="8" w:tplc="04160005" w:tentative="1">
      <w:start w:val="1"/>
      <w:numFmt w:val="bullet"/>
      <w:lvlText w:val=""/>
      <w:lvlJc w:val="left"/>
      <w:pPr>
        <w:tabs>
          <w:tab w:val="num" w:pos="7194"/>
        </w:tabs>
        <w:ind w:left="7194" w:hanging="360"/>
      </w:pPr>
      <w:rPr>
        <w:rFonts w:ascii="Wingdings" w:hAnsi="Wingdings" w:hint="default"/>
      </w:rPr>
    </w:lvl>
  </w:abstractNum>
  <w:abstractNum w:abstractNumId="5">
    <w:nsid w:val="26C62BBF"/>
    <w:multiLevelType w:val="multilevel"/>
    <w:tmpl w:val="4DECA516"/>
    <w:lvl w:ilvl="0">
      <w:start w:val="10"/>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3"/>
      <w:numFmt w:val="lowerLetter"/>
      <w:suff w:val="space"/>
      <w:lvlText w:val="%4)"/>
      <w:lvlJc w:val="left"/>
      <w:pPr>
        <w:ind w:firstLine="1134"/>
      </w:pPr>
      <w:rPr>
        <w:rFonts w:cs="Times New Roman" w:hint="default"/>
      </w:rPr>
    </w:lvl>
    <w:lvl w:ilvl="4">
      <w:start w:val="1"/>
      <w:numFmt w:val="decimal"/>
      <w:lvlText w:val="%4.%5)"/>
      <w:lvlJc w:val="left"/>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28446430"/>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84C38F4"/>
    <w:multiLevelType w:val="hybridMultilevel"/>
    <w:tmpl w:val="99AE27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7310514"/>
    <w:multiLevelType w:val="hybridMultilevel"/>
    <w:tmpl w:val="34B2FE1E"/>
    <w:lvl w:ilvl="0" w:tplc="0416000F">
      <w:start w:val="4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7409AC"/>
    <w:multiLevelType w:val="multilevel"/>
    <w:tmpl w:val="28D02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3B9324CF"/>
    <w:multiLevelType w:val="hybridMultilevel"/>
    <w:tmpl w:val="032CF9D6"/>
    <w:lvl w:ilvl="0" w:tplc="7D76BFC2">
      <w:start w:val="2"/>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773595B"/>
    <w:multiLevelType w:val="multilevel"/>
    <w:tmpl w:val="3BEA1132"/>
    <w:lvl w:ilvl="0">
      <w:start w:val="1"/>
      <w:numFmt w:val="decimal"/>
      <w:pStyle w:val="PargrafodaLista1"/>
      <w:lvlText w:val="%1"/>
      <w:lvlJc w:val="left"/>
      <w:pPr>
        <w:ind w:left="540" w:hanging="360"/>
      </w:pPr>
      <w:rPr>
        <w:rFonts w:ascii="Times New Roman" w:hAnsi="Times New Roman"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2">
    <w:nsid w:val="4E6406E8"/>
    <w:multiLevelType w:val="multilevel"/>
    <w:tmpl w:val="516022F4"/>
    <w:lvl w:ilvl="0">
      <w:start w:val="38"/>
      <w:numFmt w:val="decimal"/>
      <w:lvlText w:val="%1."/>
      <w:lvlJc w:val="left"/>
      <w:pPr>
        <w:ind w:left="480" w:hanging="480"/>
      </w:pPr>
      <w:rPr>
        <w:rFonts w:hint="default"/>
        <w:sz w:val="24"/>
      </w:rPr>
    </w:lvl>
    <w:lvl w:ilvl="1">
      <w:start w:val="1"/>
      <w:numFmt w:val="decimal"/>
      <w:lvlText w:val="%1.%2."/>
      <w:lvlJc w:val="left"/>
      <w:pPr>
        <w:ind w:left="1614" w:hanging="48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7884" w:hanging="1080"/>
      </w:pPr>
      <w:rPr>
        <w:rFonts w:hint="default"/>
        <w:sz w:val="24"/>
      </w:rPr>
    </w:lvl>
    <w:lvl w:ilvl="7">
      <w:start w:val="1"/>
      <w:numFmt w:val="decimal"/>
      <w:lvlText w:val="%1.%2.%3.%4.%5.%6.%7.%8."/>
      <w:lvlJc w:val="left"/>
      <w:pPr>
        <w:ind w:left="9378" w:hanging="1440"/>
      </w:pPr>
      <w:rPr>
        <w:rFonts w:hint="default"/>
        <w:sz w:val="24"/>
      </w:rPr>
    </w:lvl>
    <w:lvl w:ilvl="8">
      <w:start w:val="1"/>
      <w:numFmt w:val="decimal"/>
      <w:lvlText w:val="%1.%2.%3.%4.%5.%6.%7.%8.%9."/>
      <w:lvlJc w:val="left"/>
      <w:pPr>
        <w:ind w:left="10512" w:hanging="1440"/>
      </w:pPr>
      <w:rPr>
        <w:rFonts w:hint="default"/>
        <w:sz w:val="24"/>
      </w:rPr>
    </w:lvl>
  </w:abstractNum>
  <w:abstractNum w:abstractNumId="13">
    <w:nsid w:val="4EC05120"/>
    <w:multiLevelType w:val="multilevel"/>
    <w:tmpl w:val="4A60C172"/>
    <w:lvl w:ilvl="0">
      <w:start w:val="1"/>
      <w:numFmt w:val="decimal"/>
      <w:lvlText w:val="%1."/>
      <w:lvlJc w:val="left"/>
      <w:pPr>
        <w:tabs>
          <w:tab w:val="num" w:pos="705"/>
        </w:tabs>
        <w:ind w:left="705" w:hanging="705"/>
      </w:pPr>
      <w:rPr>
        <w:rFonts w:ascii="Calibri" w:hAnsi="Calibri" w:hint="default"/>
        <w:b/>
        <w:i w:val="0"/>
        <w:color w:val="auto"/>
        <w:sz w:val="24"/>
      </w:rPr>
    </w:lvl>
    <w:lvl w:ilvl="1">
      <w:start w:val="1"/>
      <w:numFmt w:val="decimal"/>
      <w:lvlText w:val="%1.%2."/>
      <w:lvlJc w:val="left"/>
      <w:pPr>
        <w:tabs>
          <w:tab w:val="num" w:pos="1701"/>
        </w:tabs>
        <w:ind w:left="1701" w:hanging="567"/>
      </w:pPr>
      <w:rPr>
        <w:rFonts w:ascii="Calibri" w:hAnsi="Calibri" w:hint="default"/>
        <w:b/>
        <w:i w:val="0"/>
        <w:color w:val="auto"/>
        <w:sz w:val="24"/>
      </w:rPr>
    </w:lvl>
    <w:lvl w:ilvl="2">
      <w:start w:val="1"/>
      <w:numFmt w:val="decimal"/>
      <w:lvlText w:val="%1.%2.%3."/>
      <w:lvlJc w:val="left"/>
      <w:pPr>
        <w:tabs>
          <w:tab w:val="num" w:pos="3612"/>
        </w:tabs>
        <w:ind w:left="3612" w:hanging="720"/>
      </w:pPr>
      <w:rPr>
        <w:rFonts w:ascii="Calibri" w:hAnsi="Calibri" w:hint="default"/>
        <w:b/>
        <w:i w:val="0"/>
        <w:color w:val="auto"/>
        <w:sz w:val="24"/>
      </w:rPr>
    </w:lvl>
    <w:lvl w:ilvl="3">
      <w:start w:val="1"/>
      <w:numFmt w:val="decimal"/>
      <w:lvlText w:val="%1.%2-%3.%4."/>
      <w:lvlJc w:val="left"/>
      <w:pPr>
        <w:tabs>
          <w:tab w:val="num" w:pos="5418"/>
        </w:tabs>
        <w:ind w:left="5418" w:hanging="1080"/>
      </w:pPr>
      <w:rPr>
        <w:b/>
      </w:rPr>
    </w:lvl>
    <w:lvl w:ilvl="4">
      <w:start w:val="1"/>
      <w:numFmt w:val="decimal"/>
      <w:lvlText w:val="%1.%2-%3.%4.%5."/>
      <w:lvlJc w:val="left"/>
      <w:pPr>
        <w:tabs>
          <w:tab w:val="num" w:pos="6864"/>
        </w:tabs>
        <w:ind w:left="6864" w:hanging="1080"/>
      </w:pPr>
      <w:rPr>
        <w:b/>
      </w:rPr>
    </w:lvl>
    <w:lvl w:ilvl="5">
      <w:start w:val="1"/>
      <w:numFmt w:val="decimal"/>
      <w:lvlText w:val="%1.%2-%3.%4.%5.%6."/>
      <w:lvlJc w:val="left"/>
      <w:pPr>
        <w:tabs>
          <w:tab w:val="num" w:pos="8670"/>
        </w:tabs>
        <w:ind w:left="8670" w:hanging="1440"/>
      </w:pPr>
      <w:rPr>
        <w:b/>
      </w:rPr>
    </w:lvl>
    <w:lvl w:ilvl="6">
      <w:start w:val="1"/>
      <w:numFmt w:val="decimal"/>
      <w:lvlText w:val="%1.%2-%3.%4.%5.%6.%7."/>
      <w:lvlJc w:val="left"/>
      <w:pPr>
        <w:tabs>
          <w:tab w:val="num" w:pos="10116"/>
        </w:tabs>
        <w:ind w:left="10116" w:hanging="1440"/>
      </w:pPr>
      <w:rPr>
        <w:b/>
      </w:rPr>
    </w:lvl>
    <w:lvl w:ilvl="7">
      <w:start w:val="1"/>
      <w:numFmt w:val="decimal"/>
      <w:lvlText w:val="%1.%2-%3.%4.%5.%6.%7.%8."/>
      <w:lvlJc w:val="left"/>
      <w:pPr>
        <w:tabs>
          <w:tab w:val="num" w:pos="11922"/>
        </w:tabs>
        <w:ind w:left="11922" w:hanging="1800"/>
      </w:pPr>
      <w:rPr>
        <w:b/>
      </w:rPr>
    </w:lvl>
    <w:lvl w:ilvl="8">
      <w:start w:val="1"/>
      <w:numFmt w:val="decimal"/>
      <w:lvlText w:val="%1.%2-%3.%4.%5.%6.%7.%8.%9."/>
      <w:lvlJc w:val="left"/>
      <w:pPr>
        <w:tabs>
          <w:tab w:val="num" w:pos="13368"/>
        </w:tabs>
        <w:ind w:left="13368" w:hanging="1800"/>
      </w:pPr>
      <w:rPr>
        <w:b/>
      </w:rPr>
    </w:lvl>
  </w:abstractNum>
  <w:abstractNum w:abstractNumId="14">
    <w:nsid w:val="58655833"/>
    <w:multiLevelType w:val="hybridMultilevel"/>
    <w:tmpl w:val="E884A8AE"/>
    <w:lvl w:ilvl="0" w:tplc="480ECFD0">
      <w:start w:val="1"/>
      <w:numFmt w:val="bullet"/>
      <w:lvlText w:val=""/>
      <w:lvlJc w:val="left"/>
      <w:pPr>
        <w:ind w:left="1211" w:hanging="360"/>
      </w:pPr>
      <w:rPr>
        <w:rFonts w:ascii="Symbol" w:eastAsia="Times New Roman" w:hAnsi="Symbol" w:cs="Times New Roman"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15">
    <w:nsid w:val="59554BBD"/>
    <w:multiLevelType w:val="hybridMultilevel"/>
    <w:tmpl w:val="BE926BCA"/>
    <w:lvl w:ilvl="0" w:tplc="04160013">
      <w:start w:val="1"/>
      <w:numFmt w:val="upperRoman"/>
      <w:lvlText w:val="%1."/>
      <w:lvlJc w:val="right"/>
      <w:pPr>
        <w:tabs>
          <w:tab w:val="num" w:pos="540"/>
        </w:tabs>
        <w:ind w:left="54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5BB161F2"/>
    <w:multiLevelType w:val="hybridMultilevel"/>
    <w:tmpl w:val="976EC9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1927537"/>
    <w:multiLevelType w:val="hybridMultilevel"/>
    <w:tmpl w:val="BDE0E4B4"/>
    <w:lvl w:ilvl="0" w:tplc="55306EC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nsid w:val="63810862"/>
    <w:multiLevelType w:val="hybridMultilevel"/>
    <w:tmpl w:val="400C5A56"/>
    <w:lvl w:ilvl="0" w:tplc="46B8831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9">
    <w:nsid w:val="6D813EB8"/>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1"/>
  </w:num>
  <w:num w:numId="3">
    <w:abstractNumId w:val="11"/>
    <w:lvlOverride w:ilvl="0">
      <w:startOverride w:val="1"/>
    </w:lvlOverride>
  </w:num>
  <w:num w:numId="4">
    <w:abstractNumId w:val="10"/>
  </w:num>
  <w:num w:numId="5">
    <w:abstractNumId w:val="15"/>
  </w:num>
  <w:num w:numId="6">
    <w:abstractNumId w:val="19"/>
  </w:num>
  <w:num w:numId="7">
    <w:abstractNumId w:val="6"/>
  </w:num>
  <w:num w:numId="8">
    <w:abstractNumId w:val="3"/>
  </w:num>
  <w:num w:numId="9">
    <w:abstractNumId w:val="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8"/>
  </w:num>
  <w:num w:numId="14">
    <w:abstractNumId w:val="14"/>
  </w:num>
  <w:num w:numId="15">
    <w:abstractNumId w:val="18"/>
  </w:num>
  <w:num w:numId="16">
    <w:abstractNumId w:val="16"/>
  </w:num>
  <w:num w:numId="17">
    <w:abstractNumId w:val="2"/>
  </w:num>
  <w:num w:numId="18">
    <w:abstractNumId w:val="4"/>
  </w:num>
  <w:num w:numId="19">
    <w:abstractNumId w:val="9"/>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36"/>
  <w:displayHorizontalDrawingGridEvery w:val="0"/>
  <w:displayVerticalDrawingGridEvery w:val="2"/>
  <w:characterSpacingControl w:val="doNotCompress"/>
  <w:hdrShapeDefaults>
    <o:shapedefaults v:ext="edit" spidmax="614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DA3"/>
    <w:rsid w:val="00000A29"/>
    <w:rsid w:val="00001787"/>
    <w:rsid w:val="00002399"/>
    <w:rsid w:val="00002404"/>
    <w:rsid w:val="00002CDA"/>
    <w:rsid w:val="0000434C"/>
    <w:rsid w:val="00006A7F"/>
    <w:rsid w:val="000075FC"/>
    <w:rsid w:val="00007D86"/>
    <w:rsid w:val="00010982"/>
    <w:rsid w:val="00013981"/>
    <w:rsid w:val="00014F67"/>
    <w:rsid w:val="000159E4"/>
    <w:rsid w:val="000207E9"/>
    <w:rsid w:val="00022788"/>
    <w:rsid w:val="000237A8"/>
    <w:rsid w:val="000249F3"/>
    <w:rsid w:val="000300E2"/>
    <w:rsid w:val="000309EB"/>
    <w:rsid w:val="00033BA1"/>
    <w:rsid w:val="00034E87"/>
    <w:rsid w:val="00035002"/>
    <w:rsid w:val="000365CF"/>
    <w:rsid w:val="000418E6"/>
    <w:rsid w:val="00042244"/>
    <w:rsid w:val="0004496F"/>
    <w:rsid w:val="00044DAE"/>
    <w:rsid w:val="00051368"/>
    <w:rsid w:val="00052BE1"/>
    <w:rsid w:val="00053439"/>
    <w:rsid w:val="000553F6"/>
    <w:rsid w:val="00055E11"/>
    <w:rsid w:val="00056D5E"/>
    <w:rsid w:val="000616FD"/>
    <w:rsid w:val="00064450"/>
    <w:rsid w:val="00064B25"/>
    <w:rsid w:val="0006755D"/>
    <w:rsid w:val="00067B0F"/>
    <w:rsid w:val="0007302E"/>
    <w:rsid w:val="0008010A"/>
    <w:rsid w:val="0008556F"/>
    <w:rsid w:val="000904CC"/>
    <w:rsid w:val="00090857"/>
    <w:rsid w:val="00090B5C"/>
    <w:rsid w:val="00091B55"/>
    <w:rsid w:val="00093EF2"/>
    <w:rsid w:val="00094F26"/>
    <w:rsid w:val="0009701B"/>
    <w:rsid w:val="000A0B2B"/>
    <w:rsid w:val="000A4B94"/>
    <w:rsid w:val="000A504F"/>
    <w:rsid w:val="000A6410"/>
    <w:rsid w:val="000A6999"/>
    <w:rsid w:val="000A6AA6"/>
    <w:rsid w:val="000A78F6"/>
    <w:rsid w:val="000A7C3F"/>
    <w:rsid w:val="000B1339"/>
    <w:rsid w:val="000B44B8"/>
    <w:rsid w:val="000B542F"/>
    <w:rsid w:val="000B597B"/>
    <w:rsid w:val="000B789D"/>
    <w:rsid w:val="000C010F"/>
    <w:rsid w:val="000C1063"/>
    <w:rsid w:val="000C2B79"/>
    <w:rsid w:val="000C4A4C"/>
    <w:rsid w:val="000D1AE6"/>
    <w:rsid w:val="000D3C95"/>
    <w:rsid w:val="000D568A"/>
    <w:rsid w:val="000D6AFA"/>
    <w:rsid w:val="000E41BC"/>
    <w:rsid w:val="000F10C0"/>
    <w:rsid w:val="000F420D"/>
    <w:rsid w:val="000F50D7"/>
    <w:rsid w:val="000F51CD"/>
    <w:rsid w:val="00101BD6"/>
    <w:rsid w:val="001021F7"/>
    <w:rsid w:val="00102F09"/>
    <w:rsid w:val="0010414D"/>
    <w:rsid w:val="00104629"/>
    <w:rsid w:val="0010609B"/>
    <w:rsid w:val="00106464"/>
    <w:rsid w:val="00106B69"/>
    <w:rsid w:val="00106FFA"/>
    <w:rsid w:val="00111C98"/>
    <w:rsid w:val="00111D78"/>
    <w:rsid w:val="00113F36"/>
    <w:rsid w:val="00113F8D"/>
    <w:rsid w:val="0011524A"/>
    <w:rsid w:val="0012450B"/>
    <w:rsid w:val="00125D74"/>
    <w:rsid w:val="00132223"/>
    <w:rsid w:val="0013550A"/>
    <w:rsid w:val="00137888"/>
    <w:rsid w:val="00144F58"/>
    <w:rsid w:val="00147A2E"/>
    <w:rsid w:val="00150B70"/>
    <w:rsid w:val="0015103D"/>
    <w:rsid w:val="00152D7F"/>
    <w:rsid w:val="00157D36"/>
    <w:rsid w:val="00162083"/>
    <w:rsid w:val="0016223A"/>
    <w:rsid w:val="00162804"/>
    <w:rsid w:val="001633B2"/>
    <w:rsid w:val="0016439F"/>
    <w:rsid w:val="001650B8"/>
    <w:rsid w:val="0016531A"/>
    <w:rsid w:val="00167D1F"/>
    <w:rsid w:val="0017028A"/>
    <w:rsid w:val="0017051B"/>
    <w:rsid w:val="00170713"/>
    <w:rsid w:val="00177770"/>
    <w:rsid w:val="00180038"/>
    <w:rsid w:val="00184A92"/>
    <w:rsid w:val="001865CA"/>
    <w:rsid w:val="0018750B"/>
    <w:rsid w:val="00192830"/>
    <w:rsid w:val="0019285C"/>
    <w:rsid w:val="00192910"/>
    <w:rsid w:val="001957F4"/>
    <w:rsid w:val="00195E5D"/>
    <w:rsid w:val="00196029"/>
    <w:rsid w:val="00196A65"/>
    <w:rsid w:val="00197F29"/>
    <w:rsid w:val="001A0401"/>
    <w:rsid w:val="001A0603"/>
    <w:rsid w:val="001A08B2"/>
    <w:rsid w:val="001A1867"/>
    <w:rsid w:val="001B49DE"/>
    <w:rsid w:val="001B54E1"/>
    <w:rsid w:val="001B5C04"/>
    <w:rsid w:val="001B6545"/>
    <w:rsid w:val="001B66D6"/>
    <w:rsid w:val="001B7404"/>
    <w:rsid w:val="001C09C7"/>
    <w:rsid w:val="001C0AE2"/>
    <w:rsid w:val="001C18E2"/>
    <w:rsid w:val="001C414C"/>
    <w:rsid w:val="001C45E9"/>
    <w:rsid w:val="001C548E"/>
    <w:rsid w:val="001C57D4"/>
    <w:rsid w:val="001C611D"/>
    <w:rsid w:val="001C6DA3"/>
    <w:rsid w:val="001C6F36"/>
    <w:rsid w:val="001C7670"/>
    <w:rsid w:val="001D0C03"/>
    <w:rsid w:val="001D177D"/>
    <w:rsid w:val="001D3482"/>
    <w:rsid w:val="001D58CA"/>
    <w:rsid w:val="001D66BA"/>
    <w:rsid w:val="001D6984"/>
    <w:rsid w:val="001D6A2C"/>
    <w:rsid w:val="001D6AAF"/>
    <w:rsid w:val="001D7198"/>
    <w:rsid w:val="001D71F8"/>
    <w:rsid w:val="001E637B"/>
    <w:rsid w:val="001E724C"/>
    <w:rsid w:val="001F0097"/>
    <w:rsid w:val="002015A2"/>
    <w:rsid w:val="00202936"/>
    <w:rsid w:val="0020658F"/>
    <w:rsid w:val="0020726F"/>
    <w:rsid w:val="002114AB"/>
    <w:rsid w:val="00213046"/>
    <w:rsid w:val="00214C94"/>
    <w:rsid w:val="00216758"/>
    <w:rsid w:val="0022743B"/>
    <w:rsid w:val="00227BD4"/>
    <w:rsid w:val="00232FA6"/>
    <w:rsid w:val="00233541"/>
    <w:rsid w:val="002347C5"/>
    <w:rsid w:val="00234A8A"/>
    <w:rsid w:val="00240F50"/>
    <w:rsid w:val="00241707"/>
    <w:rsid w:val="00243228"/>
    <w:rsid w:val="002471D3"/>
    <w:rsid w:val="002478EF"/>
    <w:rsid w:val="00247EB2"/>
    <w:rsid w:val="00251D6A"/>
    <w:rsid w:val="002560E8"/>
    <w:rsid w:val="00256824"/>
    <w:rsid w:val="00264AB8"/>
    <w:rsid w:val="00264EF3"/>
    <w:rsid w:val="00265B6C"/>
    <w:rsid w:val="00266A4D"/>
    <w:rsid w:val="002715D2"/>
    <w:rsid w:val="00276972"/>
    <w:rsid w:val="00276E9B"/>
    <w:rsid w:val="00277155"/>
    <w:rsid w:val="0027766B"/>
    <w:rsid w:val="002803BA"/>
    <w:rsid w:val="00281F43"/>
    <w:rsid w:val="0028273F"/>
    <w:rsid w:val="00282D36"/>
    <w:rsid w:val="002838EC"/>
    <w:rsid w:val="00287DAD"/>
    <w:rsid w:val="002908D7"/>
    <w:rsid w:val="0029099A"/>
    <w:rsid w:val="00290CC3"/>
    <w:rsid w:val="0029389C"/>
    <w:rsid w:val="00293ED2"/>
    <w:rsid w:val="0029705A"/>
    <w:rsid w:val="002A0EB7"/>
    <w:rsid w:val="002A36FB"/>
    <w:rsid w:val="002A53A1"/>
    <w:rsid w:val="002A6442"/>
    <w:rsid w:val="002B06A3"/>
    <w:rsid w:val="002B0F9C"/>
    <w:rsid w:val="002B1E56"/>
    <w:rsid w:val="002B75BE"/>
    <w:rsid w:val="002B7C78"/>
    <w:rsid w:val="002C0EC7"/>
    <w:rsid w:val="002C1433"/>
    <w:rsid w:val="002C3FE6"/>
    <w:rsid w:val="002C4BC9"/>
    <w:rsid w:val="002C5A6B"/>
    <w:rsid w:val="002C76E3"/>
    <w:rsid w:val="002D5065"/>
    <w:rsid w:val="002E1967"/>
    <w:rsid w:val="002E5A0D"/>
    <w:rsid w:val="002E6239"/>
    <w:rsid w:val="002E65B0"/>
    <w:rsid w:val="002E68C2"/>
    <w:rsid w:val="002F0428"/>
    <w:rsid w:val="002F4875"/>
    <w:rsid w:val="002F4A7F"/>
    <w:rsid w:val="002F5F77"/>
    <w:rsid w:val="002F704A"/>
    <w:rsid w:val="002F7C0C"/>
    <w:rsid w:val="0030170E"/>
    <w:rsid w:val="00302349"/>
    <w:rsid w:val="00303151"/>
    <w:rsid w:val="00304D3C"/>
    <w:rsid w:val="003067CE"/>
    <w:rsid w:val="003072AF"/>
    <w:rsid w:val="003079D1"/>
    <w:rsid w:val="00310F39"/>
    <w:rsid w:val="003111FB"/>
    <w:rsid w:val="0031232A"/>
    <w:rsid w:val="0031300B"/>
    <w:rsid w:val="00314D5F"/>
    <w:rsid w:val="00317133"/>
    <w:rsid w:val="003309BF"/>
    <w:rsid w:val="0033367C"/>
    <w:rsid w:val="003336BE"/>
    <w:rsid w:val="003346F9"/>
    <w:rsid w:val="00337717"/>
    <w:rsid w:val="00337AD3"/>
    <w:rsid w:val="003423B2"/>
    <w:rsid w:val="00343948"/>
    <w:rsid w:val="00346429"/>
    <w:rsid w:val="00347358"/>
    <w:rsid w:val="003478A5"/>
    <w:rsid w:val="003506AB"/>
    <w:rsid w:val="0035164A"/>
    <w:rsid w:val="00351915"/>
    <w:rsid w:val="00353718"/>
    <w:rsid w:val="00355054"/>
    <w:rsid w:val="003557AD"/>
    <w:rsid w:val="00356F2B"/>
    <w:rsid w:val="003574DF"/>
    <w:rsid w:val="003621EB"/>
    <w:rsid w:val="00364CF8"/>
    <w:rsid w:val="00367505"/>
    <w:rsid w:val="00370422"/>
    <w:rsid w:val="00371952"/>
    <w:rsid w:val="003747FC"/>
    <w:rsid w:val="003751CF"/>
    <w:rsid w:val="0037705A"/>
    <w:rsid w:val="00377461"/>
    <w:rsid w:val="00377570"/>
    <w:rsid w:val="003829EB"/>
    <w:rsid w:val="00383B19"/>
    <w:rsid w:val="00383BDB"/>
    <w:rsid w:val="003844A4"/>
    <w:rsid w:val="0038467E"/>
    <w:rsid w:val="00384E77"/>
    <w:rsid w:val="00384F20"/>
    <w:rsid w:val="00387608"/>
    <w:rsid w:val="00390197"/>
    <w:rsid w:val="00392B03"/>
    <w:rsid w:val="00393263"/>
    <w:rsid w:val="0039532F"/>
    <w:rsid w:val="00396E93"/>
    <w:rsid w:val="003979E6"/>
    <w:rsid w:val="003A0C4F"/>
    <w:rsid w:val="003A1453"/>
    <w:rsid w:val="003A23A1"/>
    <w:rsid w:val="003B2466"/>
    <w:rsid w:val="003B2FBB"/>
    <w:rsid w:val="003B3A56"/>
    <w:rsid w:val="003B4037"/>
    <w:rsid w:val="003B4B6A"/>
    <w:rsid w:val="003B4DCB"/>
    <w:rsid w:val="003B5D01"/>
    <w:rsid w:val="003C1A3A"/>
    <w:rsid w:val="003C2AA5"/>
    <w:rsid w:val="003C74CE"/>
    <w:rsid w:val="003D2493"/>
    <w:rsid w:val="003D4AAC"/>
    <w:rsid w:val="003D5498"/>
    <w:rsid w:val="003E07E7"/>
    <w:rsid w:val="003E2A18"/>
    <w:rsid w:val="003E3A8A"/>
    <w:rsid w:val="003E5331"/>
    <w:rsid w:val="003E5C0C"/>
    <w:rsid w:val="003E6E11"/>
    <w:rsid w:val="003F2E20"/>
    <w:rsid w:val="003F3C3E"/>
    <w:rsid w:val="003F5AF7"/>
    <w:rsid w:val="004013CC"/>
    <w:rsid w:val="004018C0"/>
    <w:rsid w:val="004031CE"/>
    <w:rsid w:val="00403D7E"/>
    <w:rsid w:val="00404017"/>
    <w:rsid w:val="00405129"/>
    <w:rsid w:val="0041011B"/>
    <w:rsid w:val="00413411"/>
    <w:rsid w:val="00413B4F"/>
    <w:rsid w:val="0042015A"/>
    <w:rsid w:val="004206C8"/>
    <w:rsid w:val="00425534"/>
    <w:rsid w:val="00425B85"/>
    <w:rsid w:val="00426CE4"/>
    <w:rsid w:val="004303E5"/>
    <w:rsid w:val="00431822"/>
    <w:rsid w:val="0043419D"/>
    <w:rsid w:val="00437336"/>
    <w:rsid w:val="004374F3"/>
    <w:rsid w:val="00437931"/>
    <w:rsid w:val="00440081"/>
    <w:rsid w:val="004434F0"/>
    <w:rsid w:val="00443BD6"/>
    <w:rsid w:val="0044446A"/>
    <w:rsid w:val="0044570C"/>
    <w:rsid w:val="00450BEB"/>
    <w:rsid w:val="00451876"/>
    <w:rsid w:val="00451A14"/>
    <w:rsid w:val="00453C45"/>
    <w:rsid w:val="00453F94"/>
    <w:rsid w:val="00456185"/>
    <w:rsid w:val="004604F5"/>
    <w:rsid w:val="00467581"/>
    <w:rsid w:val="00467B77"/>
    <w:rsid w:val="00474861"/>
    <w:rsid w:val="004756C1"/>
    <w:rsid w:val="00477AF0"/>
    <w:rsid w:val="0048387A"/>
    <w:rsid w:val="00485096"/>
    <w:rsid w:val="004879D1"/>
    <w:rsid w:val="00491CBC"/>
    <w:rsid w:val="00494B5E"/>
    <w:rsid w:val="0049584E"/>
    <w:rsid w:val="00495A98"/>
    <w:rsid w:val="004A2A61"/>
    <w:rsid w:val="004A3F77"/>
    <w:rsid w:val="004A41E2"/>
    <w:rsid w:val="004A4D4F"/>
    <w:rsid w:val="004A6412"/>
    <w:rsid w:val="004A6E52"/>
    <w:rsid w:val="004B00E2"/>
    <w:rsid w:val="004B1C53"/>
    <w:rsid w:val="004B3D1D"/>
    <w:rsid w:val="004B4626"/>
    <w:rsid w:val="004B62E4"/>
    <w:rsid w:val="004B7298"/>
    <w:rsid w:val="004B76F8"/>
    <w:rsid w:val="004C2006"/>
    <w:rsid w:val="004C2638"/>
    <w:rsid w:val="004C36F0"/>
    <w:rsid w:val="004C52E3"/>
    <w:rsid w:val="004C5F84"/>
    <w:rsid w:val="004C634F"/>
    <w:rsid w:val="004D1B41"/>
    <w:rsid w:val="004D2279"/>
    <w:rsid w:val="004D3133"/>
    <w:rsid w:val="004D4AA1"/>
    <w:rsid w:val="004E0489"/>
    <w:rsid w:val="004E0C2C"/>
    <w:rsid w:val="004E2093"/>
    <w:rsid w:val="004E2F50"/>
    <w:rsid w:val="004E37BE"/>
    <w:rsid w:val="004E4D27"/>
    <w:rsid w:val="004E5131"/>
    <w:rsid w:val="004E6802"/>
    <w:rsid w:val="004E7138"/>
    <w:rsid w:val="004E7EF8"/>
    <w:rsid w:val="004F01A5"/>
    <w:rsid w:val="004F1F0D"/>
    <w:rsid w:val="004F1F47"/>
    <w:rsid w:val="004F3C91"/>
    <w:rsid w:val="004F5633"/>
    <w:rsid w:val="004F5841"/>
    <w:rsid w:val="004F59CA"/>
    <w:rsid w:val="004F760E"/>
    <w:rsid w:val="00500184"/>
    <w:rsid w:val="00500838"/>
    <w:rsid w:val="005012C9"/>
    <w:rsid w:val="00501359"/>
    <w:rsid w:val="005022CD"/>
    <w:rsid w:val="0050295B"/>
    <w:rsid w:val="00502F4C"/>
    <w:rsid w:val="00503F4F"/>
    <w:rsid w:val="00504ED2"/>
    <w:rsid w:val="00507B7C"/>
    <w:rsid w:val="00507DE0"/>
    <w:rsid w:val="00512577"/>
    <w:rsid w:val="00512CC3"/>
    <w:rsid w:val="00515FE2"/>
    <w:rsid w:val="00516DF1"/>
    <w:rsid w:val="00517D28"/>
    <w:rsid w:val="005244AA"/>
    <w:rsid w:val="0052640A"/>
    <w:rsid w:val="005302BF"/>
    <w:rsid w:val="005311EE"/>
    <w:rsid w:val="0053169C"/>
    <w:rsid w:val="00536DA1"/>
    <w:rsid w:val="00537956"/>
    <w:rsid w:val="005419F9"/>
    <w:rsid w:val="00542007"/>
    <w:rsid w:val="0054258F"/>
    <w:rsid w:val="0054339D"/>
    <w:rsid w:val="005479C2"/>
    <w:rsid w:val="0055065F"/>
    <w:rsid w:val="005512F8"/>
    <w:rsid w:val="00551E2C"/>
    <w:rsid w:val="00552D12"/>
    <w:rsid w:val="00555465"/>
    <w:rsid w:val="005556AB"/>
    <w:rsid w:val="00555B2D"/>
    <w:rsid w:val="00561F63"/>
    <w:rsid w:val="00563EDD"/>
    <w:rsid w:val="00566909"/>
    <w:rsid w:val="00573E70"/>
    <w:rsid w:val="005746D3"/>
    <w:rsid w:val="00575FAB"/>
    <w:rsid w:val="00583F8C"/>
    <w:rsid w:val="00584D98"/>
    <w:rsid w:val="00585599"/>
    <w:rsid w:val="005856E7"/>
    <w:rsid w:val="0059418D"/>
    <w:rsid w:val="00594355"/>
    <w:rsid w:val="00597523"/>
    <w:rsid w:val="005A216E"/>
    <w:rsid w:val="005A7586"/>
    <w:rsid w:val="005A771D"/>
    <w:rsid w:val="005B501B"/>
    <w:rsid w:val="005B5D75"/>
    <w:rsid w:val="005B6205"/>
    <w:rsid w:val="005B7394"/>
    <w:rsid w:val="005B75DC"/>
    <w:rsid w:val="005C0504"/>
    <w:rsid w:val="005C0C6A"/>
    <w:rsid w:val="005C1ED6"/>
    <w:rsid w:val="005C2EE3"/>
    <w:rsid w:val="005C3439"/>
    <w:rsid w:val="005C36DF"/>
    <w:rsid w:val="005C686D"/>
    <w:rsid w:val="005C6F25"/>
    <w:rsid w:val="005D21DE"/>
    <w:rsid w:val="005D2337"/>
    <w:rsid w:val="005D2FAE"/>
    <w:rsid w:val="005D4F08"/>
    <w:rsid w:val="005D61CA"/>
    <w:rsid w:val="005E140E"/>
    <w:rsid w:val="005E4B6E"/>
    <w:rsid w:val="005E52DA"/>
    <w:rsid w:val="005E63CE"/>
    <w:rsid w:val="005E66E6"/>
    <w:rsid w:val="005F7620"/>
    <w:rsid w:val="00600E26"/>
    <w:rsid w:val="006026A9"/>
    <w:rsid w:val="00604FE6"/>
    <w:rsid w:val="00605F1B"/>
    <w:rsid w:val="00606310"/>
    <w:rsid w:val="006105A6"/>
    <w:rsid w:val="0061067E"/>
    <w:rsid w:val="006113D3"/>
    <w:rsid w:val="0061372C"/>
    <w:rsid w:val="00615155"/>
    <w:rsid w:val="006162CC"/>
    <w:rsid w:val="00616E93"/>
    <w:rsid w:val="0062431C"/>
    <w:rsid w:val="006335AE"/>
    <w:rsid w:val="006337FC"/>
    <w:rsid w:val="006351BE"/>
    <w:rsid w:val="00637B98"/>
    <w:rsid w:val="0064007F"/>
    <w:rsid w:val="00642333"/>
    <w:rsid w:val="00642348"/>
    <w:rsid w:val="006428E2"/>
    <w:rsid w:val="00643883"/>
    <w:rsid w:val="00652DD2"/>
    <w:rsid w:val="00652F7E"/>
    <w:rsid w:val="00656476"/>
    <w:rsid w:val="00657416"/>
    <w:rsid w:val="006601F2"/>
    <w:rsid w:val="0066043E"/>
    <w:rsid w:val="00660EAA"/>
    <w:rsid w:val="00660EBE"/>
    <w:rsid w:val="006644A2"/>
    <w:rsid w:val="00665CDD"/>
    <w:rsid w:val="00673EC6"/>
    <w:rsid w:val="00674174"/>
    <w:rsid w:val="00675FB8"/>
    <w:rsid w:val="006768E1"/>
    <w:rsid w:val="006770D3"/>
    <w:rsid w:val="006803EE"/>
    <w:rsid w:val="00682A6A"/>
    <w:rsid w:val="0068529E"/>
    <w:rsid w:val="0068722D"/>
    <w:rsid w:val="0069002E"/>
    <w:rsid w:val="00690424"/>
    <w:rsid w:val="00690A9D"/>
    <w:rsid w:val="00690DC4"/>
    <w:rsid w:val="00691404"/>
    <w:rsid w:val="0069176F"/>
    <w:rsid w:val="00693478"/>
    <w:rsid w:val="0069522D"/>
    <w:rsid w:val="00695CBA"/>
    <w:rsid w:val="006A0C86"/>
    <w:rsid w:val="006A599C"/>
    <w:rsid w:val="006A7108"/>
    <w:rsid w:val="006B0EF4"/>
    <w:rsid w:val="006B1BBC"/>
    <w:rsid w:val="006B2605"/>
    <w:rsid w:val="006B308F"/>
    <w:rsid w:val="006B3466"/>
    <w:rsid w:val="006B49D7"/>
    <w:rsid w:val="006B6B82"/>
    <w:rsid w:val="006B7F85"/>
    <w:rsid w:val="006C1BAE"/>
    <w:rsid w:val="006C43CC"/>
    <w:rsid w:val="006C7DDA"/>
    <w:rsid w:val="006D1972"/>
    <w:rsid w:val="006D2B4C"/>
    <w:rsid w:val="006D36E2"/>
    <w:rsid w:val="006D382C"/>
    <w:rsid w:val="006D59F6"/>
    <w:rsid w:val="006D606D"/>
    <w:rsid w:val="006E2199"/>
    <w:rsid w:val="006E2915"/>
    <w:rsid w:val="006E2BBA"/>
    <w:rsid w:val="006E33D5"/>
    <w:rsid w:val="006E3BCE"/>
    <w:rsid w:val="006E5B5F"/>
    <w:rsid w:val="006E642F"/>
    <w:rsid w:val="006F2C16"/>
    <w:rsid w:val="006F3BFA"/>
    <w:rsid w:val="006F48FF"/>
    <w:rsid w:val="006F5ED8"/>
    <w:rsid w:val="006F60BA"/>
    <w:rsid w:val="006F61C6"/>
    <w:rsid w:val="006F6382"/>
    <w:rsid w:val="006F72EA"/>
    <w:rsid w:val="007064E3"/>
    <w:rsid w:val="00707789"/>
    <w:rsid w:val="007115D9"/>
    <w:rsid w:val="00712967"/>
    <w:rsid w:val="00725B0B"/>
    <w:rsid w:val="00726653"/>
    <w:rsid w:val="00730E6A"/>
    <w:rsid w:val="00730F94"/>
    <w:rsid w:val="007320F3"/>
    <w:rsid w:val="00732899"/>
    <w:rsid w:val="00735021"/>
    <w:rsid w:val="00735BA7"/>
    <w:rsid w:val="0073668C"/>
    <w:rsid w:val="007403D6"/>
    <w:rsid w:val="00741569"/>
    <w:rsid w:val="00741DB5"/>
    <w:rsid w:val="0074586E"/>
    <w:rsid w:val="007466F6"/>
    <w:rsid w:val="00746E65"/>
    <w:rsid w:val="00747F8F"/>
    <w:rsid w:val="00751605"/>
    <w:rsid w:val="0075298E"/>
    <w:rsid w:val="00752D31"/>
    <w:rsid w:val="007563FE"/>
    <w:rsid w:val="0076124D"/>
    <w:rsid w:val="007629D8"/>
    <w:rsid w:val="007629F8"/>
    <w:rsid w:val="00767FDF"/>
    <w:rsid w:val="007729CE"/>
    <w:rsid w:val="00773203"/>
    <w:rsid w:val="00773294"/>
    <w:rsid w:val="0077351F"/>
    <w:rsid w:val="00773612"/>
    <w:rsid w:val="00775F52"/>
    <w:rsid w:val="00777170"/>
    <w:rsid w:val="00780E62"/>
    <w:rsid w:val="007822D1"/>
    <w:rsid w:val="00782950"/>
    <w:rsid w:val="0078376F"/>
    <w:rsid w:val="00783C52"/>
    <w:rsid w:val="00785A2E"/>
    <w:rsid w:val="007863D3"/>
    <w:rsid w:val="00786DE6"/>
    <w:rsid w:val="00787222"/>
    <w:rsid w:val="007914CB"/>
    <w:rsid w:val="007931CD"/>
    <w:rsid w:val="00797C66"/>
    <w:rsid w:val="00797DDB"/>
    <w:rsid w:val="007A07F6"/>
    <w:rsid w:val="007A08E6"/>
    <w:rsid w:val="007A0DC2"/>
    <w:rsid w:val="007A1CB7"/>
    <w:rsid w:val="007A24A8"/>
    <w:rsid w:val="007A2B1F"/>
    <w:rsid w:val="007A2DF5"/>
    <w:rsid w:val="007A3C46"/>
    <w:rsid w:val="007A4C4F"/>
    <w:rsid w:val="007B03C1"/>
    <w:rsid w:val="007B151D"/>
    <w:rsid w:val="007B2A62"/>
    <w:rsid w:val="007B71B0"/>
    <w:rsid w:val="007C05FB"/>
    <w:rsid w:val="007C5136"/>
    <w:rsid w:val="007C515F"/>
    <w:rsid w:val="007C695D"/>
    <w:rsid w:val="007C7000"/>
    <w:rsid w:val="007C7B17"/>
    <w:rsid w:val="007C7D07"/>
    <w:rsid w:val="007D6E7F"/>
    <w:rsid w:val="007D72C9"/>
    <w:rsid w:val="007D750A"/>
    <w:rsid w:val="007E0A0D"/>
    <w:rsid w:val="007E21BD"/>
    <w:rsid w:val="007E4B35"/>
    <w:rsid w:val="007E6097"/>
    <w:rsid w:val="007F080F"/>
    <w:rsid w:val="007F153C"/>
    <w:rsid w:val="007F3092"/>
    <w:rsid w:val="007F3A29"/>
    <w:rsid w:val="007F4804"/>
    <w:rsid w:val="007F74A9"/>
    <w:rsid w:val="00800115"/>
    <w:rsid w:val="00801D58"/>
    <w:rsid w:val="008022CF"/>
    <w:rsid w:val="008045D8"/>
    <w:rsid w:val="008065CF"/>
    <w:rsid w:val="00816F64"/>
    <w:rsid w:val="008179C5"/>
    <w:rsid w:val="008202DF"/>
    <w:rsid w:val="00821C46"/>
    <w:rsid w:val="00823C1A"/>
    <w:rsid w:val="00826328"/>
    <w:rsid w:val="00833A44"/>
    <w:rsid w:val="0083485A"/>
    <w:rsid w:val="00835FD9"/>
    <w:rsid w:val="00836D21"/>
    <w:rsid w:val="008407DB"/>
    <w:rsid w:val="00840D3B"/>
    <w:rsid w:val="0084152E"/>
    <w:rsid w:val="008419F8"/>
    <w:rsid w:val="00843329"/>
    <w:rsid w:val="008467A9"/>
    <w:rsid w:val="0084791D"/>
    <w:rsid w:val="008504E1"/>
    <w:rsid w:val="00850644"/>
    <w:rsid w:val="00850E73"/>
    <w:rsid w:val="00851715"/>
    <w:rsid w:val="00853312"/>
    <w:rsid w:val="00856320"/>
    <w:rsid w:val="00856506"/>
    <w:rsid w:val="0086118D"/>
    <w:rsid w:val="00861C03"/>
    <w:rsid w:val="00862499"/>
    <w:rsid w:val="008639C2"/>
    <w:rsid w:val="00865CA3"/>
    <w:rsid w:val="00866996"/>
    <w:rsid w:val="00871B13"/>
    <w:rsid w:val="00872AB5"/>
    <w:rsid w:val="00874769"/>
    <w:rsid w:val="00877F87"/>
    <w:rsid w:val="00880FCE"/>
    <w:rsid w:val="00882270"/>
    <w:rsid w:val="00882F64"/>
    <w:rsid w:val="00886051"/>
    <w:rsid w:val="008870AC"/>
    <w:rsid w:val="00890ED6"/>
    <w:rsid w:val="00891577"/>
    <w:rsid w:val="00892BB5"/>
    <w:rsid w:val="008A2B94"/>
    <w:rsid w:val="008A3239"/>
    <w:rsid w:val="008A3747"/>
    <w:rsid w:val="008A4417"/>
    <w:rsid w:val="008A5C2F"/>
    <w:rsid w:val="008B0486"/>
    <w:rsid w:val="008B0A4A"/>
    <w:rsid w:val="008B17F8"/>
    <w:rsid w:val="008B4F22"/>
    <w:rsid w:val="008B5D6D"/>
    <w:rsid w:val="008B61C2"/>
    <w:rsid w:val="008C221D"/>
    <w:rsid w:val="008C4BE5"/>
    <w:rsid w:val="008C6A0A"/>
    <w:rsid w:val="008D1E45"/>
    <w:rsid w:val="008D3626"/>
    <w:rsid w:val="008D5655"/>
    <w:rsid w:val="008D7B53"/>
    <w:rsid w:val="008E1172"/>
    <w:rsid w:val="008E1566"/>
    <w:rsid w:val="008E53AE"/>
    <w:rsid w:val="008F01BC"/>
    <w:rsid w:val="008F0447"/>
    <w:rsid w:val="008F7469"/>
    <w:rsid w:val="008F75FD"/>
    <w:rsid w:val="00901B64"/>
    <w:rsid w:val="009043B5"/>
    <w:rsid w:val="00906415"/>
    <w:rsid w:val="009105EC"/>
    <w:rsid w:val="00912427"/>
    <w:rsid w:val="009144E6"/>
    <w:rsid w:val="00914D3A"/>
    <w:rsid w:val="00914EA3"/>
    <w:rsid w:val="00916405"/>
    <w:rsid w:val="00916AB5"/>
    <w:rsid w:val="0091712B"/>
    <w:rsid w:val="009207A2"/>
    <w:rsid w:val="0092450D"/>
    <w:rsid w:val="0092632D"/>
    <w:rsid w:val="00930ABB"/>
    <w:rsid w:val="00932BAD"/>
    <w:rsid w:val="00933723"/>
    <w:rsid w:val="0093776D"/>
    <w:rsid w:val="00937BFA"/>
    <w:rsid w:val="00942E95"/>
    <w:rsid w:val="00943FD0"/>
    <w:rsid w:val="00944CA5"/>
    <w:rsid w:val="0094695E"/>
    <w:rsid w:val="009469C4"/>
    <w:rsid w:val="00946D52"/>
    <w:rsid w:val="0095032E"/>
    <w:rsid w:val="00950A8C"/>
    <w:rsid w:val="0095608C"/>
    <w:rsid w:val="00956B47"/>
    <w:rsid w:val="00960406"/>
    <w:rsid w:val="009619FF"/>
    <w:rsid w:val="00962579"/>
    <w:rsid w:val="00962648"/>
    <w:rsid w:val="00967691"/>
    <w:rsid w:val="0097288F"/>
    <w:rsid w:val="00972EB9"/>
    <w:rsid w:val="009741F8"/>
    <w:rsid w:val="00977AF8"/>
    <w:rsid w:val="0098156B"/>
    <w:rsid w:val="00981C7C"/>
    <w:rsid w:val="00983D76"/>
    <w:rsid w:val="00985DF2"/>
    <w:rsid w:val="00986C8E"/>
    <w:rsid w:val="009877C0"/>
    <w:rsid w:val="00991397"/>
    <w:rsid w:val="0099177A"/>
    <w:rsid w:val="00992515"/>
    <w:rsid w:val="009945D7"/>
    <w:rsid w:val="00995538"/>
    <w:rsid w:val="009962C7"/>
    <w:rsid w:val="009A03E9"/>
    <w:rsid w:val="009A050E"/>
    <w:rsid w:val="009A71F2"/>
    <w:rsid w:val="009A74FA"/>
    <w:rsid w:val="009B0DE9"/>
    <w:rsid w:val="009B2183"/>
    <w:rsid w:val="009B3B27"/>
    <w:rsid w:val="009B4CAD"/>
    <w:rsid w:val="009B5A6A"/>
    <w:rsid w:val="009C1E05"/>
    <w:rsid w:val="009C1FA5"/>
    <w:rsid w:val="009C2B6F"/>
    <w:rsid w:val="009C341E"/>
    <w:rsid w:val="009C5BE8"/>
    <w:rsid w:val="009D073A"/>
    <w:rsid w:val="009D34B5"/>
    <w:rsid w:val="009D3F09"/>
    <w:rsid w:val="009D4952"/>
    <w:rsid w:val="009D532F"/>
    <w:rsid w:val="009D549F"/>
    <w:rsid w:val="009D5675"/>
    <w:rsid w:val="009E2151"/>
    <w:rsid w:val="009E2972"/>
    <w:rsid w:val="009E3E21"/>
    <w:rsid w:val="009E4E03"/>
    <w:rsid w:val="009E54B8"/>
    <w:rsid w:val="009E54D2"/>
    <w:rsid w:val="009E5DF0"/>
    <w:rsid w:val="009F0682"/>
    <w:rsid w:val="009F2A02"/>
    <w:rsid w:val="009F3AB0"/>
    <w:rsid w:val="009F62C7"/>
    <w:rsid w:val="009F7339"/>
    <w:rsid w:val="009F7A8F"/>
    <w:rsid w:val="00A01DAA"/>
    <w:rsid w:val="00A06394"/>
    <w:rsid w:val="00A07EDB"/>
    <w:rsid w:val="00A1504D"/>
    <w:rsid w:val="00A15408"/>
    <w:rsid w:val="00A1556C"/>
    <w:rsid w:val="00A15D78"/>
    <w:rsid w:val="00A251B1"/>
    <w:rsid w:val="00A26A9D"/>
    <w:rsid w:val="00A26B1A"/>
    <w:rsid w:val="00A3085A"/>
    <w:rsid w:val="00A34B73"/>
    <w:rsid w:val="00A35705"/>
    <w:rsid w:val="00A35F50"/>
    <w:rsid w:val="00A36089"/>
    <w:rsid w:val="00A36D45"/>
    <w:rsid w:val="00A40329"/>
    <w:rsid w:val="00A407FF"/>
    <w:rsid w:val="00A40DC3"/>
    <w:rsid w:val="00A4238C"/>
    <w:rsid w:val="00A433BB"/>
    <w:rsid w:val="00A4477D"/>
    <w:rsid w:val="00A44A43"/>
    <w:rsid w:val="00A45B08"/>
    <w:rsid w:val="00A472F7"/>
    <w:rsid w:val="00A51008"/>
    <w:rsid w:val="00A53EC3"/>
    <w:rsid w:val="00A544A1"/>
    <w:rsid w:val="00A54AE4"/>
    <w:rsid w:val="00A56586"/>
    <w:rsid w:val="00A56828"/>
    <w:rsid w:val="00A60529"/>
    <w:rsid w:val="00A61975"/>
    <w:rsid w:val="00A62ED7"/>
    <w:rsid w:val="00A66B9F"/>
    <w:rsid w:val="00A66DAC"/>
    <w:rsid w:val="00A70140"/>
    <w:rsid w:val="00A71B2E"/>
    <w:rsid w:val="00A730B2"/>
    <w:rsid w:val="00A74A68"/>
    <w:rsid w:val="00A7760C"/>
    <w:rsid w:val="00A82936"/>
    <w:rsid w:val="00A82CC6"/>
    <w:rsid w:val="00A82F42"/>
    <w:rsid w:val="00A851C9"/>
    <w:rsid w:val="00A85554"/>
    <w:rsid w:val="00A91356"/>
    <w:rsid w:val="00A9155C"/>
    <w:rsid w:val="00A915C4"/>
    <w:rsid w:val="00A91BE3"/>
    <w:rsid w:val="00A952BB"/>
    <w:rsid w:val="00AA27B6"/>
    <w:rsid w:val="00AA4E51"/>
    <w:rsid w:val="00AA6107"/>
    <w:rsid w:val="00AA7149"/>
    <w:rsid w:val="00AB167E"/>
    <w:rsid w:val="00AB43BF"/>
    <w:rsid w:val="00AB5F75"/>
    <w:rsid w:val="00AB6882"/>
    <w:rsid w:val="00AB7B5A"/>
    <w:rsid w:val="00AC0040"/>
    <w:rsid w:val="00AC0A49"/>
    <w:rsid w:val="00AC24D2"/>
    <w:rsid w:val="00AC29D2"/>
    <w:rsid w:val="00AC64E9"/>
    <w:rsid w:val="00AD0C33"/>
    <w:rsid w:val="00AD2ABC"/>
    <w:rsid w:val="00AE2EA0"/>
    <w:rsid w:val="00AE371B"/>
    <w:rsid w:val="00AE438A"/>
    <w:rsid w:val="00AE4885"/>
    <w:rsid w:val="00AE5F84"/>
    <w:rsid w:val="00AE745F"/>
    <w:rsid w:val="00AF0849"/>
    <w:rsid w:val="00AF0A80"/>
    <w:rsid w:val="00AF1333"/>
    <w:rsid w:val="00AF208A"/>
    <w:rsid w:val="00AF62FE"/>
    <w:rsid w:val="00B008DA"/>
    <w:rsid w:val="00B02402"/>
    <w:rsid w:val="00B02E68"/>
    <w:rsid w:val="00B02FEB"/>
    <w:rsid w:val="00B0432B"/>
    <w:rsid w:val="00B05631"/>
    <w:rsid w:val="00B07351"/>
    <w:rsid w:val="00B0767B"/>
    <w:rsid w:val="00B07D02"/>
    <w:rsid w:val="00B10762"/>
    <w:rsid w:val="00B10B1C"/>
    <w:rsid w:val="00B1129F"/>
    <w:rsid w:val="00B16123"/>
    <w:rsid w:val="00B24504"/>
    <w:rsid w:val="00B245AB"/>
    <w:rsid w:val="00B25F62"/>
    <w:rsid w:val="00B30514"/>
    <w:rsid w:val="00B3583B"/>
    <w:rsid w:val="00B402A8"/>
    <w:rsid w:val="00B40743"/>
    <w:rsid w:val="00B43463"/>
    <w:rsid w:val="00B44647"/>
    <w:rsid w:val="00B47086"/>
    <w:rsid w:val="00B475E7"/>
    <w:rsid w:val="00B51926"/>
    <w:rsid w:val="00B51AC2"/>
    <w:rsid w:val="00B549BA"/>
    <w:rsid w:val="00B570C2"/>
    <w:rsid w:val="00B61281"/>
    <w:rsid w:val="00B645D6"/>
    <w:rsid w:val="00B66AB4"/>
    <w:rsid w:val="00B678CA"/>
    <w:rsid w:val="00B726BC"/>
    <w:rsid w:val="00B7409F"/>
    <w:rsid w:val="00B74734"/>
    <w:rsid w:val="00B75104"/>
    <w:rsid w:val="00B75363"/>
    <w:rsid w:val="00B758D5"/>
    <w:rsid w:val="00B75F49"/>
    <w:rsid w:val="00B76CD0"/>
    <w:rsid w:val="00B77CAE"/>
    <w:rsid w:val="00B80FD1"/>
    <w:rsid w:val="00B81979"/>
    <w:rsid w:val="00B87381"/>
    <w:rsid w:val="00B909C2"/>
    <w:rsid w:val="00B90C5D"/>
    <w:rsid w:val="00B91BCC"/>
    <w:rsid w:val="00B92D48"/>
    <w:rsid w:val="00B94063"/>
    <w:rsid w:val="00B95D7B"/>
    <w:rsid w:val="00B96BB9"/>
    <w:rsid w:val="00BA12C1"/>
    <w:rsid w:val="00BA2383"/>
    <w:rsid w:val="00BA3684"/>
    <w:rsid w:val="00BA43AD"/>
    <w:rsid w:val="00BA4FB3"/>
    <w:rsid w:val="00BB390B"/>
    <w:rsid w:val="00BB3EFB"/>
    <w:rsid w:val="00BB45BA"/>
    <w:rsid w:val="00BB47CF"/>
    <w:rsid w:val="00BB4D17"/>
    <w:rsid w:val="00BB6638"/>
    <w:rsid w:val="00BB788B"/>
    <w:rsid w:val="00BC5A1B"/>
    <w:rsid w:val="00BD0DAC"/>
    <w:rsid w:val="00BD453A"/>
    <w:rsid w:val="00BD68A7"/>
    <w:rsid w:val="00BE0DE6"/>
    <w:rsid w:val="00BE1073"/>
    <w:rsid w:val="00BE3F6C"/>
    <w:rsid w:val="00BE488E"/>
    <w:rsid w:val="00BE6F15"/>
    <w:rsid w:val="00BF0875"/>
    <w:rsid w:val="00BF09AF"/>
    <w:rsid w:val="00BF0A7A"/>
    <w:rsid w:val="00BF1DB7"/>
    <w:rsid w:val="00BF2DC4"/>
    <w:rsid w:val="00BF44D9"/>
    <w:rsid w:val="00BF6DCF"/>
    <w:rsid w:val="00BF6E47"/>
    <w:rsid w:val="00C0387B"/>
    <w:rsid w:val="00C04DA8"/>
    <w:rsid w:val="00C12A01"/>
    <w:rsid w:val="00C16169"/>
    <w:rsid w:val="00C16A02"/>
    <w:rsid w:val="00C171E0"/>
    <w:rsid w:val="00C223CA"/>
    <w:rsid w:val="00C23114"/>
    <w:rsid w:val="00C369EC"/>
    <w:rsid w:val="00C405B2"/>
    <w:rsid w:val="00C41675"/>
    <w:rsid w:val="00C42651"/>
    <w:rsid w:val="00C45948"/>
    <w:rsid w:val="00C46767"/>
    <w:rsid w:val="00C47BCA"/>
    <w:rsid w:val="00C47DC1"/>
    <w:rsid w:val="00C513D7"/>
    <w:rsid w:val="00C55731"/>
    <w:rsid w:val="00C55E29"/>
    <w:rsid w:val="00C56B05"/>
    <w:rsid w:val="00C602C8"/>
    <w:rsid w:val="00C61449"/>
    <w:rsid w:val="00C660E4"/>
    <w:rsid w:val="00C701BD"/>
    <w:rsid w:val="00C701F2"/>
    <w:rsid w:val="00C71518"/>
    <w:rsid w:val="00C728E7"/>
    <w:rsid w:val="00C753A8"/>
    <w:rsid w:val="00C76E8D"/>
    <w:rsid w:val="00C812B4"/>
    <w:rsid w:val="00C84F1C"/>
    <w:rsid w:val="00C8705A"/>
    <w:rsid w:val="00C87793"/>
    <w:rsid w:val="00C91045"/>
    <w:rsid w:val="00C910E4"/>
    <w:rsid w:val="00C9170E"/>
    <w:rsid w:val="00C91D17"/>
    <w:rsid w:val="00C92791"/>
    <w:rsid w:val="00CA067D"/>
    <w:rsid w:val="00CA0AA9"/>
    <w:rsid w:val="00CA1E39"/>
    <w:rsid w:val="00CA1F2D"/>
    <w:rsid w:val="00CA2088"/>
    <w:rsid w:val="00CA23C2"/>
    <w:rsid w:val="00CA420B"/>
    <w:rsid w:val="00CA44AB"/>
    <w:rsid w:val="00CA643E"/>
    <w:rsid w:val="00CB13FF"/>
    <w:rsid w:val="00CB6332"/>
    <w:rsid w:val="00CC0982"/>
    <w:rsid w:val="00CC217A"/>
    <w:rsid w:val="00CC3290"/>
    <w:rsid w:val="00CC346F"/>
    <w:rsid w:val="00CD45B3"/>
    <w:rsid w:val="00CE03B8"/>
    <w:rsid w:val="00CE0805"/>
    <w:rsid w:val="00CE2DA3"/>
    <w:rsid w:val="00CE631C"/>
    <w:rsid w:val="00CE65BB"/>
    <w:rsid w:val="00CF1B95"/>
    <w:rsid w:val="00CF5A8A"/>
    <w:rsid w:val="00CF5C3F"/>
    <w:rsid w:val="00CF5E18"/>
    <w:rsid w:val="00D03144"/>
    <w:rsid w:val="00D03950"/>
    <w:rsid w:val="00D03A2A"/>
    <w:rsid w:val="00D060B9"/>
    <w:rsid w:val="00D115EF"/>
    <w:rsid w:val="00D12431"/>
    <w:rsid w:val="00D1617A"/>
    <w:rsid w:val="00D163DA"/>
    <w:rsid w:val="00D20669"/>
    <w:rsid w:val="00D22077"/>
    <w:rsid w:val="00D2468F"/>
    <w:rsid w:val="00D247AD"/>
    <w:rsid w:val="00D25065"/>
    <w:rsid w:val="00D258B5"/>
    <w:rsid w:val="00D25C76"/>
    <w:rsid w:val="00D27D95"/>
    <w:rsid w:val="00D30C21"/>
    <w:rsid w:val="00D31929"/>
    <w:rsid w:val="00D31EDF"/>
    <w:rsid w:val="00D34400"/>
    <w:rsid w:val="00D34421"/>
    <w:rsid w:val="00D35BB9"/>
    <w:rsid w:val="00D37E59"/>
    <w:rsid w:val="00D40465"/>
    <w:rsid w:val="00D415B1"/>
    <w:rsid w:val="00D436DA"/>
    <w:rsid w:val="00D500CD"/>
    <w:rsid w:val="00D511D5"/>
    <w:rsid w:val="00D5256A"/>
    <w:rsid w:val="00D5398E"/>
    <w:rsid w:val="00D578CD"/>
    <w:rsid w:val="00D57C7F"/>
    <w:rsid w:val="00D612A1"/>
    <w:rsid w:val="00D62DB0"/>
    <w:rsid w:val="00D633D7"/>
    <w:rsid w:val="00D63FA8"/>
    <w:rsid w:val="00D65709"/>
    <w:rsid w:val="00D6650D"/>
    <w:rsid w:val="00D74CB3"/>
    <w:rsid w:val="00D80C3B"/>
    <w:rsid w:val="00D81420"/>
    <w:rsid w:val="00D8291A"/>
    <w:rsid w:val="00D836F3"/>
    <w:rsid w:val="00D844E5"/>
    <w:rsid w:val="00D86D75"/>
    <w:rsid w:val="00D90E05"/>
    <w:rsid w:val="00D9130E"/>
    <w:rsid w:val="00D91A32"/>
    <w:rsid w:val="00D936A6"/>
    <w:rsid w:val="00D95E62"/>
    <w:rsid w:val="00D9680E"/>
    <w:rsid w:val="00D971BF"/>
    <w:rsid w:val="00D97624"/>
    <w:rsid w:val="00D9784C"/>
    <w:rsid w:val="00D97CCC"/>
    <w:rsid w:val="00DA29BD"/>
    <w:rsid w:val="00DA31FD"/>
    <w:rsid w:val="00DA3393"/>
    <w:rsid w:val="00DA37DE"/>
    <w:rsid w:val="00DA380B"/>
    <w:rsid w:val="00DA45BC"/>
    <w:rsid w:val="00DA4CF7"/>
    <w:rsid w:val="00DB00DE"/>
    <w:rsid w:val="00DB4756"/>
    <w:rsid w:val="00DB5DC6"/>
    <w:rsid w:val="00DC2A51"/>
    <w:rsid w:val="00DC4132"/>
    <w:rsid w:val="00DC49D9"/>
    <w:rsid w:val="00DC5388"/>
    <w:rsid w:val="00DC731E"/>
    <w:rsid w:val="00DD5D90"/>
    <w:rsid w:val="00DD6A1B"/>
    <w:rsid w:val="00DD7D90"/>
    <w:rsid w:val="00DE10CD"/>
    <w:rsid w:val="00DE3807"/>
    <w:rsid w:val="00DE4CAD"/>
    <w:rsid w:val="00DE60BE"/>
    <w:rsid w:val="00DE763E"/>
    <w:rsid w:val="00DF1986"/>
    <w:rsid w:val="00DF30A0"/>
    <w:rsid w:val="00E00E4B"/>
    <w:rsid w:val="00E013DD"/>
    <w:rsid w:val="00E01925"/>
    <w:rsid w:val="00E033E3"/>
    <w:rsid w:val="00E04678"/>
    <w:rsid w:val="00E1177D"/>
    <w:rsid w:val="00E133E2"/>
    <w:rsid w:val="00E15C71"/>
    <w:rsid w:val="00E15FA6"/>
    <w:rsid w:val="00E163C9"/>
    <w:rsid w:val="00E21A65"/>
    <w:rsid w:val="00E22244"/>
    <w:rsid w:val="00E2249F"/>
    <w:rsid w:val="00E24C7F"/>
    <w:rsid w:val="00E2501B"/>
    <w:rsid w:val="00E27A23"/>
    <w:rsid w:val="00E27C27"/>
    <w:rsid w:val="00E305D8"/>
    <w:rsid w:val="00E30C57"/>
    <w:rsid w:val="00E33A99"/>
    <w:rsid w:val="00E33C1E"/>
    <w:rsid w:val="00E34184"/>
    <w:rsid w:val="00E3645F"/>
    <w:rsid w:val="00E36F5F"/>
    <w:rsid w:val="00E40BF5"/>
    <w:rsid w:val="00E40CEA"/>
    <w:rsid w:val="00E421CF"/>
    <w:rsid w:val="00E43331"/>
    <w:rsid w:val="00E433BE"/>
    <w:rsid w:val="00E500C2"/>
    <w:rsid w:val="00E51A63"/>
    <w:rsid w:val="00E53826"/>
    <w:rsid w:val="00E53C5B"/>
    <w:rsid w:val="00E54836"/>
    <w:rsid w:val="00E569F7"/>
    <w:rsid w:val="00E5737B"/>
    <w:rsid w:val="00E62695"/>
    <w:rsid w:val="00E62D71"/>
    <w:rsid w:val="00E6515E"/>
    <w:rsid w:val="00E75A0C"/>
    <w:rsid w:val="00E77FA3"/>
    <w:rsid w:val="00E83486"/>
    <w:rsid w:val="00E83A87"/>
    <w:rsid w:val="00E8579C"/>
    <w:rsid w:val="00E865A7"/>
    <w:rsid w:val="00E9026B"/>
    <w:rsid w:val="00E92A5A"/>
    <w:rsid w:val="00E92BD3"/>
    <w:rsid w:val="00E93694"/>
    <w:rsid w:val="00E95124"/>
    <w:rsid w:val="00E96351"/>
    <w:rsid w:val="00EA012A"/>
    <w:rsid w:val="00EA0F5F"/>
    <w:rsid w:val="00EA1A9F"/>
    <w:rsid w:val="00EA1E21"/>
    <w:rsid w:val="00EA2917"/>
    <w:rsid w:val="00EA40B8"/>
    <w:rsid w:val="00EA4A74"/>
    <w:rsid w:val="00EA6A59"/>
    <w:rsid w:val="00EA7278"/>
    <w:rsid w:val="00EB01A8"/>
    <w:rsid w:val="00EB1282"/>
    <w:rsid w:val="00EB392E"/>
    <w:rsid w:val="00EC01B4"/>
    <w:rsid w:val="00EC0BFC"/>
    <w:rsid w:val="00EC162D"/>
    <w:rsid w:val="00EC276D"/>
    <w:rsid w:val="00EC3F11"/>
    <w:rsid w:val="00EC42A4"/>
    <w:rsid w:val="00EC78A4"/>
    <w:rsid w:val="00ED039D"/>
    <w:rsid w:val="00ED04AE"/>
    <w:rsid w:val="00ED2CDD"/>
    <w:rsid w:val="00ED47EC"/>
    <w:rsid w:val="00ED53CF"/>
    <w:rsid w:val="00EE0360"/>
    <w:rsid w:val="00EE0ACA"/>
    <w:rsid w:val="00EE1379"/>
    <w:rsid w:val="00EE3850"/>
    <w:rsid w:val="00EE4440"/>
    <w:rsid w:val="00EE554A"/>
    <w:rsid w:val="00EF0B74"/>
    <w:rsid w:val="00EF12D6"/>
    <w:rsid w:val="00EF392E"/>
    <w:rsid w:val="00EF47C9"/>
    <w:rsid w:val="00EF50F1"/>
    <w:rsid w:val="00EF5972"/>
    <w:rsid w:val="00EF6819"/>
    <w:rsid w:val="00EF6A34"/>
    <w:rsid w:val="00F076A8"/>
    <w:rsid w:val="00F07A8D"/>
    <w:rsid w:val="00F10E4B"/>
    <w:rsid w:val="00F11510"/>
    <w:rsid w:val="00F16101"/>
    <w:rsid w:val="00F2295A"/>
    <w:rsid w:val="00F23B97"/>
    <w:rsid w:val="00F23E84"/>
    <w:rsid w:val="00F257B2"/>
    <w:rsid w:val="00F259C3"/>
    <w:rsid w:val="00F2619A"/>
    <w:rsid w:val="00F26790"/>
    <w:rsid w:val="00F301B6"/>
    <w:rsid w:val="00F31476"/>
    <w:rsid w:val="00F411EF"/>
    <w:rsid w:val="00F41AD6"/>
    <w:rsid w:val="00F52FDD"/>
    <w:rsid w:val="00F53861"/>
    <w:rsid w:val="00F53A5A"/>
    <w:rsid w:val="00F547E5"/>
    <w:rsid w:val="00F57012"/>
    <w:rsid w:val="00F6051D"/>
    <w:rsid w:val="00F60874"/>
    <w:rsid w:val="00F61052"/>
    <w:rsid w:val="00F619BF"/>
    <w:rsid w:val="00F715FF"/>
    <w:rsid w:val="00F73077"/>
    <w:rsid w:val="00F7448D"/>
    <w:rsid w:val="00F75D43"/>
    <w:rsid w:val="00F76745"/>
    <w:rsid w:val="00F80F73"/>
    <w:rsid w:val="00F810F3"/>
    <w:rsid w:val="00F83BC7"/>
    <w:rsid w:val="00F873CA"/>
    <w:rsid w:val="00F91077"/>
    <w:rsid w:val="00F9218C"/>
    <w:rsid w:val="00F9335C"/>
    <w:rsid w:val="00F96822"/>
    <w:rsid w:val="00FA0337"/>
    <w:rsid w:val="00FA2FCA"/>
    <w:rsid w:val="00FA5617"/>
    <w:rsid w:val="00FA6C3C"/>
    <w:rsid w:val="00FB00FD"/>
    <w:rsid w:val="00FB0B46"/>
    <w:rsid w:val="00FB0C1F"/>
    <w:rsid w:val="00FB0EEF"/>
    <w:rsid w:val="00FB0F1F"/>
    <w:rsid w:val="00FB1AE2"/>
    <w:rsid w:val="00FB6B5B"/>
    <w:rsid w:val="00FB7755"/>
    <w:rsid w:val="00FC18C9"/>
    <w:rsid w:val="00FC4EDC"/>
    <w:rsid w:val="00FC6E8D"/>
    <w:rsid w:val="00FC72AF"/>
    <w:rsid w:val="00FC74E3"/>
    <w:rsid w:val="00FC7A09"/>
    <w:rsid w:val="00FC7B60"/>
    <w:rsid w:val="00FD13EC"/>
    <w:rsid w:val="00FD7C7B"/>
    <w:rsid w:val="00FE0864"/>
    <w:rsid w:val="00FE405B"/>
    <w:rsid w:val="00FE4683"/>
    <w:rsid w:val="00FE6871"/>
    <w:rsid w:val="00FE6874"/>
    <w:rsid w:val="00FE6B21"/>
    <w:rsid w:val="00FF0A59"/>
    <w:rsid w:val="00FF0CF4"/>
    <w:rsid w:val="00FF1612"/>
    <w:rsid w:val="00FF31B1"/>
    <w:rsid w:val="00FF59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uiPriority w:val="99"/>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uiPriority w:val="99"/>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 w:type="character" w:customStyle="1" w:styleId="apple-converted-space">
    <w:name w:val="apple-converted-space"/>
    <w:basedOn w:val="Fontepargpadro"/>
    <w:rsid w:val="00B91BCC"/>
  </w:style>
  <w:style w:type="paragraph" w:styleId="Recuodecorpodetexto">
    <w:name w:val="Body Text Indent"/>
    <w:basedOn w:val="Normal"/>
    <w:link w:val="RecuodecorpodetextoChar"/>
    <w:rsid w:val="00516DF1"/>
    <w:pPr>
      <w:ind w:left="283"/>
    </w:pPr>
  </w:style>
  <w:style w:type="character" w:customStyle="1" w:styleId="RecuodecorpodetextoChar">
    <w:name w:val="Recuo de corpo de texto Char"/>
    <w:basedOn w:val="Fontepargpadro"/>
    <w:link w:val="Recuodecorpodetexto"/>
    <w:rsid w:val="00516DF1"/>
    <w:rPr>
      <w:rFonts w:eastAsia="Times New Roman"/>
    </w:rPr>
  </w:style>
  <w:style w:type="character" w:customStyle="1" w:styleId="TextosemFormataoChar1">
    <w:name w:val="Texto sem Formatação Char1"/>
    <w:uiPriority w:val="99"/>
    <w:locked/>
    <w:rsid w:val="00FF0A5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uiPriority w:val="99"/>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uiPriority w:val="99"/>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 w:type="character" w:customStyle="1" w:styleId="apple-converted-space">
    <w:name w:val="apple-converted-space"/>
    <w:basedOn w:val="Fontepargpadro"/>
    <w:rsid w:val="00B91BCC"/>
  </w:style>
  <w:style w:type="paragraph" w:styleId="Recuodecorpodetexto">
    <w:name w:val="Body Text Indent"/>
    <w:basedOn w:val="Normal"/>
    <w:link w:val="RecuodecorpodetextoChar"/>
    <w:rsid w:val="00516DF1"/>
    <w:pPr>
      <w:ind w:left="283"/>
    </w:pPr>
  </w:style>
  <w:style w:type="character" w:customStyle="1" w:styleId="RecuodecorpodetextoChar">
    <w:name w:val="Recuo de corpo de texto Char"/>
    <w:basedOn w:val="Fontepargpadro"/>
    <w:link w:val="Recuodecorpodetexto"/>
    <w:rsid w:val="00516DF1"/>
    <w:rPr>
      <w:rFonts w:eastAsia="Times New Roman"/>
    </w:rPr>
  </w:style>
  <w:style w:type="character" w:customStyle="1" w:styleId="TextosemFormataoChar1">
    <w:name w:val="Texto sem Formatação Char1"/>
    <w:uiPriority w:val="99"/>
    <w:locked/>
    <w:rsid w:val="00FF0A59"/>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72412">
      <w:bodyDiv w:val="1"/>
      <w:marLeft w:val="0"/>
      <w:marRight w:val="0"/>
      <w:marTop w:val="0"/>
      <w:marBottom w:val="0"/>
      <w:divBdr>
        <w:top w:val="none" w:sz="0" w:space="0" w:color="auto"/>
        <w:left w:val="none" w:sz="0" w:space="0" w:color="auto"/>
        <w:bottom w:val="none" w:sz="0" w:space="0" w:color="auto"/>
        <w:right w:val="none" w:sz="0" w:space="0" w:color="auto"/>
      </w:divBdr>
      <w:divsChild>
        <w:div w:id="1763407857">
          <w:marLeft w:val="0"/>
          <w:marRight w:val="0"/>
          <w:marTop w:val="0"/>
          <w:marBottom w:val="0"/>
          <w:divBdr>
            <w:top w:val="none" w:sz="0" w:space="0" w:color="auto"/>
            <w:left w:val="none" w:sz="0" w:space="0" w:color="auto"/>
            <w:bottom w:val="none" w:sz="0" w:space="0" w:color="auto"/>
            <w:right w:val="none" w:sz="0" w:space="0" w:color="auto"/>
          </w:divBdr>
          <w:divsChild>
            <w:div w:id="1523473587">
              <w:marLeft w:val="0"/>
              <w:marRight w:val="0"/>
              <w:marTop w:val="0"/>
              <w:marBottom w:val="0"/>
              <w:divBdr>
                <w:top w:val="none" w:sz="0" w:space="0" w:color="auto"/>
                <w:left w:val="none" w:sz="0" w:space="0" w:color="auto"/>
                <w:bottom w:val="none" w:sz="0" w:space="0" w:color="auto"/>
                <w:right w:val="none" w:sz="0" w:space="0" w:color="auto"/>
              </w:divBdr>
              <w:divsChild>
                <w:div w:id="739599126">
                  <w:marLeft w:val="0"/>
                  <w:marRight w:val="0"/>
                  <w:marTop w:val="0"/>
                  <w:marBottom w:val="0"/>
                  <w:divBdr>
                    <w:top w:val="none" w:sz="0" w:space="0" w:color="auto"/>
                    <w:left w:val="none" w:sz="0" w:space="0" w:color="auto"/>
                    <w:bottom w:val="none" w:sz="0" w:space="0" w:color="auto"/>
                    <w:right w:val="none" w:sz="0" w:space="0" w:color="auto"/>
                  </w:divBdr>
                  <w:divsChild>
                    <w:div w:id="1290629322">
                      <w:marLeft w:val="0"/>
                      <w:marRight w:val="0"/>
                      <w:marTop w:val="0"/>
                      <w:marBottom w:val="0"/>
                      <w:divBdr>
                        <w:top w:val="none" w:sz="0" w:space="0" w:color="auto"/>
                        <w:left w:val="none" w:sz="0" w:space="0" w:color="auto"/>
                        <w:bottom w:val="none" w:sz="0" w:space="0" w:color="auto"/>
                        <w:right w:val="none" w:sz="0" w:space="0" w:color="auto"/>
                      </w:divBdr>
                      <w:divsChild>
                        <w:div w:id="716857229">
                          <w:marLeft w:val="0"/>
                          <w:marRight w:val="0"/>
                          <w:marTop w:val="0"/>
                          <w:marBottom w:val="0"/>
                          <w:divBdr>
                            <w:top w:val="none" w:sz="0" w:space="0" w:color="auto"/>
                            <w:left w:val="none" w:sz="0" w:space="0" w:color="auto"/>
                            <w:bottom w:val="none" w:sz="0" w:space="0" w:color="auto"/>
                            <w:right w:val="none" w:sz="0" w:space="0" w:color="auto"/>
                          </w:divBdr>
                          <w:divsChild>
                            <w:div w:id="379592323">
                              <w:marLeft w:val="0"/>
                              <w:marRight w:val="0"/>
                              <w:marTop w:val="0"/>
                              <w:marBottom w:val="0"/>
                              <w:divBdr>
                                <w:top w:val="none" w:sz="0" w:space="0" w:color="auto"/>
                                <w:left w:val="none" w:sz="0" w:space="0" w:color="auto"/>
                                <w:bottom w:val="none" w:sz="0" w:space="0" w:color="auto"/>
                                <w:right w:val="none" w:sz="0" w:space="0" w:color="auto"/>
                              </w:divBdr>
                              <w:divsChild>
                                <w:div w:id="764112090">
                                  <w:marLeft w:val="0"/>
                                  <w:marRight w:val="0"/>
                                  <w:marTop w:val="0"/>
                                  <w:marBottom w:val="0"/>
                                  <w:divBdr>
                                    <w:top w:val="none" w:sz="0" w:space="0" w:color="auto"/>
                                    <w:left w:val="none" w:sz="0" w:space="0" w:color="auto"/>
                                    <w:bottom w:val="none" w:sz="0" w:space="0" w:color="auto"/>
                                    <w:right w:val="none" w:sz="0" w:space="0" w:color="auto"/>
                                  </w:divBdr>
                                  <w:divsChild>
                                    <w:div w:id="89739493">
                                      <w:marLeft w:val="0"/>
                                      <w:marRight w:val="0"/>
                                      <w:marTop w:val="0"/>
                                      <w:marBottom w:val="0"/>
                                      <w:divBdr>
                                        <w:top w:val="none" w:sz="0" w:space="0" w:color="auto"/>
                                        <w:left w:val="none" w:sz="0" w:space="0" w:color="auto"/>
                                        <w:bottom w:val="none" w:sz="0" w:space="0" w:color="auto"/>
                                        <w:right w:val="none" w:sz="0" w:space="0" w:color="auto"/>
                                      </w:divBdr>
                                      <w:divsChild>
                                        <w:div w:id="1434205619">
                                          <w:marLeft w:val="0"/>
                                          <w:marRight w:val="0"/>
                                          <w:marTop w:val="0"/>
                                          <w:marBottom w:val="0"/>
                                          <w:divBdr>
                                            <w:top w:val="none" w:sz="0" w:space="0" w:color="auto"/>
                                            <w:left w:val="none" w:sz="0" w:space="0" w:color="auto"/>
                                            <w:bottom w:val="none" w:sz="0" w:space="0" w:color="auto"/>
                                            <w:right w:val="none" w:sz="0" w:space="0" w:color="auto"/>
                                          </w:divBdr>
                                        </w:div>
                                        <w:div w:id="396779974">
                                          <w:marLeft w:val="0"/>
                                          <w:marRight w:val="0"/>
                                          <w:marTop w:val="0"/>
                                          <w:marBottom w:val="0"/>
                                          <w:divBdr>
                                            <w:top w:val="none" w:sz="0" w:space="0" w:color="auto"/>
                                            <w:left w:val="none" w:sz="0" w:space="0" w:color="auto"/>
                                            <w:bottom w:val="none" w:sz="0" w:space="0" w:color="auto"/>
                                            <w:right w:val="none" w:sz="0" w:space="0" w:color="auto"/>
                                          </w:divBdr>
                                        </w:div>
                                        <w:div w:id="294455218">
                                          <w:marLeft w:val="0"/>
                                          <w:marRight w:val="0"/>
                                          <w:marTop w:val="0"/>
                                          <w:marBottom w:val="0"/>
                                          <w:divBdr>
                                            <w:top w:val="none" w:sz="0" w:space="0" w:color="auto"/>
                                            <w:left w:val="none" w:sz="0" w:space="0" w:color="auto"/>
                                            <w:bottom w:val="none" w:sz="0" w:space="0" w:color="auto"/>
                                            <w:right w:val="none" w:sz="0" w:space="0" w:color="auto"/>
                                          </w:divBdr>
                                        </w:div>
                                        <w:div w:id="83198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506298">
      <w:bodyDiv w:val="1"/>
      <w:marLeft w:val="0"/>
      <w:marRight w:val="0"/>
      <w:marTop w:val="0"/>
      <w:marBottom w:val="0"/>
      <w:divBdr>
        <w:top w:val="none" w:sz="0" w:space="0" w:color="auto"/>
        <w:left w:val="none" w:sz="0" w:space="0" w:color="auto"/>
        <w:bottom w:val="none" w:sz="0" w:space="0" w:color="auto"/>
        <w:right w:val="none" w:sz="0" w:space="0" w:color="auto"/>
      </w:divBdr>
      <w:divsChild>
        <w:div w:id="1245264747">
          <w:marLeft w:val="300"/>
          <w:marRight w:val="0"/>
          <w:marTop w:val="0"/>
          <w:marBottom w:val="0"/>
          <w:divBdr>
            <w:top w:val="none" w:sz="0" w:space="0" w:color="auto"/>
            <w:left w:val="none" w:sz="0" w:space="0" w:color="auto"/>
            <w:bottom w:val="none" w:sz="0" w:space="0" w:color="auto"/>
            <w:right w:val="none" w:sz="0" w:space="0" w:color="auto"/>
          </w:divBdr>
          <w:divsChild>
            <w:div w:id="884677765">
              <w:marLeft w:val="0"/>
              <w:marRight w:val="0"/>
              <w:marTop w:val="0"/>
              <w:marBottom w:val="0"/>
              <w:divBdr>
                <w:top w:val="none" w:sz="0" w:space="0" w:color="auto"/>
                <w:left w:val="none" w:sz="0" w:space="0" w:color="auto"/>
                <w:bottom w:val="none" w:sz="0" w:space="0" w:color="auto"/>
                <w:right w:val="none" w:sz="0" w:space="0" w:color="auto"/>
              </w:divBdr>
            </w:div>
            <w:div w:id="582881177">
              <w:marLeft w:val="0"/>
              <w:marRight w:val="0"/>
              <w:marTop w:val="0"/>
              <w:marBottom w:val="0"/>
              <w:divBdr>
                <w:top w:val="none" w:sz="0" w:space="0" w:color="auto"/>
                <w:left w:val="none" w:sz="0" w:space="0" w:color="auto"/>
                <w:bottom w:val="none" w:sz="0" w:space="0" w:color="auto"/>
                <w:right w:val="none" w:sz="0" w:space="0" w:color="auto"/>
              </w:divBdr>
            </w:div>
            <w:div w:id="2130659551">
              <w:marLeft w:val="0"/>
              <w:marRight w:val="0"/>
              <w:marTop w:val="0"/>
              <w:marBottom w:val="0"/>
              <w:divBdr>
                <w:top w:val="none" w:sz="0" w:space="0" w:color="auto"/>
                <w:left w:val="none" w:sz="0" w:space="0" w:color="auto"/>
                <w:bottom w:val="none" w:sz="0" w:space="0" w:color="auto"/>
                <w:right w:val="none" w:sz="0" w:space="0" w:color="auto"/>
              </w:divBdr>
            </w:div>
            <w:div w:id="77637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28626">
      <w:bodyDiv w:val="1"/>
      <w:marLeft w:val="0"/>
      <w:marRight w:val="0"/>
      <w:marTop w:val="0"/>
      <w:marBottom w:val="0"/>
      <w:divBdr>
        <w:top w:val="none" w:sz="0" w:space="0" w:color="auto"/>
        <w:left w:val="none" w:sz="0" w:space="0" w:color="auto"/>
        <w:bottom w:val="none" w:sz="0" w:space="0" w:color="auto"/>
        <w:right w:val="none" w:sz="0" w:space="0" w:color="auto"/>
      </w:divBdr>
    </w:div>
    <w:div w:id="538736358">
      <w:bodyDiv w:val="1"/>
      <w:marLeft w:val="0"/>
      <w:marRight w:val="0"/>
      <w:marTop w:val="0"/>
      <w:marBottom w:val="0"/>
      <w:divBdr>
        <w:top w:val="none" w:sz="0" w:space="0" w:color="auto"/>
        <w:left w:val="none" w:sz="0" w:space="0" w:color="auto"/>
        <w:bottom w:val="none" w:sz="0" w:space="0" w:color="auto"/>
        <w:right w:val="none" w:sz="0" w:space="0" w:color="auto"/>
      </w:divBdr>
    </w:div>
    <w:div w:id="671109077">
      <w:bodyDiv w:val="1"/>
      <w:marLeft w:val="0"/>
      <w:marRight w:val="0"/>
      <w:marTop w:val="0"/>
      <w:marBottom w:val="0"/>
      <w:divBdr>
        <w:top w:val="none" w:sz="0" w:space="0" w:color="auto"/>
        <w:left w:val="none" w:sz="0" w:space="0" w:color="auto"/>
        <w:bottom w:val="none" w:sz="0" w:space="0" w:color="auto"/>
        <w:right w:val="none" w:sz="0" w:space="0" w:color="auto"/>
      </w:divBdr>
    </w:div>
    <w:div w:id="757408662">
      <w:bodyDiv w:val="1"/>
      <w:marLeft w:val="0"/>
      <w:marRight w:val="0"/>
      <w:marTop w:val="0"/>
      <w:marBottom w:val="0"/>
      <w:divBdr>
        <w:top w:val="none" w:sz="0" w:space="0" w:color="auto"/>
        <w:left w:val="none" w:sz="0" w:space="0" w:color="auto"/>
        <w:bottom w:val="none" w:sz="0" w:space="0" w:color="auto"/>
        <w:right w:val="none" w:sz="0" w:space="0" w:color="auto"/>
      </w:divBdr>
      <w:divsChild>
        <w:div w:id="64036347">
          <w:marLeft w:val="0"/>
          <w:marRight w:val="0"/>
          <w:marTop w:val="0"/>
          <w:marBottom w:val="0"/>
          <w:divBdr>
            <w:top w:val="none" w:sz="0" w:space="0" w:color="auto"/>
            <w:left w:val="none" w:sz="0" w:space="0" w:color="auto"/>
            <w:bottom w:val="none" w:sz="0" w:space="0" w:color="auto"/>
            <w:right w:val="none" w:sz="0" w:space="0" w:color="auto"/>
          </w:divBdr>
        </w:div>
      </w:divsChild>
    </w:div>
    <w:div w:id="911894311">
      <w:bodyDiv w:val="1"/>
      <w:marLeft w:val="0"/>
      <w:marRight w:val="0"/>
      <w:marTop w:val="0"/>
      <w:marBottom w:val="0"/>
      <w:divBdr>
        <w:top w:val="none" w:sz="0" w:space="0" w:color="auto"/>
        <w:left w:val="none" w:sz="0" w:space="0" w:color="auto"/>
        <w:bottom w:val="none" w:sz="0" w:space="0" w:color="auto"/>
        <w:right w:val="none" w:sz="0" w:space="0" w:color="auto"/>
      </w:divBdr>
    </w:div>
    <w:div w:id="950625186">
      <w:bodyDiv w:val="1"/>
      <w:marLeft w:val="0"/>
      <w:marRight w:val="0"/>
      <w:marTop w:val="0"/>
      <w:marBottom w:val="0"/>
      <w:divBdr>
        <w:top w:val="none" w:sz="0" w:space="0" w:color="auto"/>
        <w:left w:val="none" w:sz="0" w:space="0" w:color="auto"/>
        <w:bottom w:val="none" w:sz="0" w:space="0" w:color="auto"/>
        <w:right w:val="none" w:sz="0" w:space="0" w:color="auto"/>
      </w:divBdr>
    </w:div>
    <w:div w:id="973367050">
      <w:bodyDiv w:val="1"/>
      <w:marLeft w:val="0"/>
      <w:marRight w:val="0"/>
      <w:marTop w:val="0"/>
      <w:marBottom w:val="0"/>
      <w:divBdr>
        <w:top w:val="none" w:sz="0" w:space="0" w:color="auto"/>
        <w:left w:val="none" w:sz="0" w:space="0" w:color="auto"/>
        <w:bottom w:val="none" w:sz="0" w:space="0" w:color="auto"/>
        <w:right w:val="none" w:sz="0" w:space="0" w:color="auto"/>
      </w:divBdr>
    </w:div>
    <w:div w:id="1018190410">
      <w:bodyDiv w:val="1"/>
      <w:marLeft w:val="0"/>
      <w:marRight w:val="0"/>
      <w:marTop w:val="0"/>
      <w:marBottom w:val="0"/>
      <w:divBdr>
        <w:top w:val="none" w:sz="0" w:space="0" w:color="auto"/>
        <w:left w:val="none" w:sz="0" w:space="0" w:color="auto"/>
        <w:bottom w:val="none" w:sz="0" w:space="0" w:color="auto"/>
        <w:right w:val="none" w:sz="0" w:space="0" w:color="auto"/>
      </w:divBdr>
    </w:div>
    <w:div w:id="1241020592">
      <w:bodyDiv w:val="1"/>
      <w:marLeft w:val="0"/>
      <w:marRight w:val="0"/>
      <w:marTop w:val="0"/>
      <w:marBottom w:val="0"/>
      <w:divBdr>
        <w:top w:val="none" w:sz="0" w:space="0" w:color="auto"/>
        <w:left w:val="none" w:sz="0" w:space="0" w:color="auto"/>
        <w:bottom w:val="none" w:sz="0" w:space="0" w:color="auto"/>
        <w:right w:val="none" w:sz="0" w:space="0" w:color="auto"/>
      </w:divBdr>
    </w:div>
    <w:div w:id="1327781884">
      <w:bodyDiv w:val="1"/>
      <w:marLeft w:val="0"/>
      <w:marRight w:val="0"/>
      <w:marTop w:val="0"/>
      <w:marBottom w:val="0"/>
      <w:divBdr>
        <w:top w:val="none" w:sz="0" w:space="0" w:color="auto"/>
        <w:left w:val="none" w:sz="0" w:space="0" w:color="auto"/>
        <w:bottom w:val="none" w:sz="0" w:space="0" w:color="auto"/>
        <w:right w:val="none" w:sz="0" w:space="0" w:color="auto"/>
      </w:divBdr>
      <w:divsChild>
        <w:div w:id="1530796596">
          <w:marLeft w:val="300"/>
          <w:marRight w:val="0"/>
          <w:marTop w:val="0"/>
          <w:marBottom w:val="0"/>
          <w:divBdr>
            <w:top w:val="none" w:sz="0" w:space="0" w:color="auto"/>
            <w:left w:val="none" w:sz="0" w:space="0" w:color="auto"/>
            <w:bottom w:val="none" w:sz="0" w:space="0" w:color="auto"/>
            <w:right w:val="none" w:sz="0" w:space="0" w:color="auto"/>
          </w:divBdr>
          <w:divsChild>
            <w:div w:id="812218157">
              <w:marLeft w:val="0"/>
              <w:marRight w:val="0"/>
              <w:marTop w:val="0"/>
              <w:marBottom w:val="0"/>
              <w:divBdr>
                <w:top w:val="none" w:sz="0" w:space="0" w:color="auto"/>
                <w:left w:val="none" w:sz="0" w:space="0" w:color="auto"/>
                <w:bottom w:val="none" w:sz="0" w:space="0" w:color="auto"/>
                <w:right w:val="none" w:sz="0" w:space="0" w:color="auto"/>
              </w:divBdr>
            </w:div>
            <w:div w:id="547647896">
              <w:marLeft w:val="0"/>
              <w:marRight w:val="0"/>
              <w:marTop w:val="0"/>
              <w:marBottom w:val="0"/>
              <w:divBdr>
                <w:top w:val="none" w:sz="0" w:space="0" w:color="auto"/>
                <w:left w:val="none" w:sz="0" w:space="0" w:color="auto"/>
                <w:bottom w:val="none" w:sz="0" w:space="0" w:color="auto"/>
                <w:right w:val="none" w:sz="0" w:space="0" w:color="auto"/>
              </w:divBdr>
            </w:div>
            <w:div w:id="134681601">
              <w:marLeft w:val="0"/>
              <w:marRight w:val="0"/>
              <w:marTop w:val="0"/>
              <w:marBottom w:val="0"/>
              <w:divBdr>
                <w:top w:val="none" w:sz="0" w:space="0" w:color="auto"/>
                <w:left w:val="none" w:sz="0" w:space="0" w:color="auto"/>
                <w:bottom w:val="none" w:sz="0" w:space="0" w:color="auto"/>
                <w:right w:val="none" w:sz="0" w:space="0" w:color="auto"/>
              </w:divBdr>
            </w:div>
            <w:div w:id="20334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1015">
      <w:bodyDiv w:val="1"/>
      <w:marLeft w:val="0"/>
      <w:marRight w:val="0"/>
      <w:marTop w:val="0"/>
      <w:marBottom w:val="0"/>
      <w:divBdr>
        <w:top w:val="none" w:sz="0" w:space="0" w:color="auto"/>
        <w:left w:val="none" w:sz="0" w:space="0" w:color="auto"/>
        <w:bottom w:val="none" w:sz="0" w:space="0" w:color="auto"/>
        <w:right w:val="none" w:sz="0" w:space="0" w:color="auto"/>
      </w:divBdr>
    </w:div>
    <w:div w:id="1380786074">
      <w:bodyDiv w:val="1"/>
      <w:marLeft w:val="0"/>
      <w:marRight w:val="0"/>
      <w:marTop w:val="0"/>
      <w:marBottom w:val="0"/>
      <w:divBdr>
        <w:top w:val="none" w:sz="0" w:space="0" w:color="auto"/>
        <w:left w:val="none" w:sz="0" w:space="0" w:color="auto"/>
        <w:bottom w:val="none" w:sz="0" w:space="0" w:color="auto"/>
        <w:right w:val="none" w:sz="0" w:space="0" w:color="auto"/>
      </w:divBdr>
    </w:div>
    <w:div w:id="1738819803">
      <w:bodyDiv w:val="1"/>
      <w:marLeft w:val="0"/>
      <w:marRight w:val="0"/>
      <w:marTop w:val="0"/>
      <w:marBottom w:val="0"/>
      <w:divBdr>
        <w:top w:val="none" w:sz="0" w:space="0" w:color="auto"/>
        <w:left w:val="none" w:sz="0" w:space="0" w:color="auto"/>
        <w:bottom w:val="none" w:sz="0" w:space="0" w:color="auto"/>
        <w:right w:val="none" w:sz="0" w:space="0" w:color="auto"/>
      </w:divBdr>
      <w:divsChild>
        <w:div w:id="396830445">
          <w:marLeft w:val="300"/>
          <w:marRight w:val="0"/>
          <w:marTop w:val="0"/>
          <w:marBottom w:val="0"/>
          <w:divBdr>
            <w:top w:val="none" w:sz="0" w:space="0" w:color="auto"/>
            <w:left w:val="none" w:sz="0" w:space="0" w:color="auto"/>
            <w:bottom w:val="none" w:sz="0" w:space="0" w:color="auto"/>
            <w:right w:val="none" w:sz="0" w:space="0" w:color="auto"/>
          </w:divBdr>
          <w:divsChild>
            <w:div w:id="179974139">
              <w:marLeft w:val="0"/>
              <w:marRight w:val="0"/>
              <w:marTop w:val="0"/>
              <w:marBottom w:val="0"/>
              <w:divBdr>
                <w:top w:val="none" w:sz="0" w:space="0" w:color="auto"/>
                <w:left w:val="none" w:sz="0" w:space="0" w:color="auto"/>
                <w:bottom w:val="none" w:sz="0" w:space="0" w:color="auto"/>
                <w:right w:val="none" w:sz="0" w:space="0" w:color="auto"/>
              </w:divBdr>
            </w:div>
            <w:div w:id="1398435160">
              <w:marLeft w:val="0"/>
              <w:marRight w:val="0"/>
              <w:marTop w:val="0"/>
              <w:marBottom w:val="0"/>
              <w:divBdr>
                <w:top w:val="none" w:sz="0" w:space="0" w:color="auto"/>
                <w:left w:val="none" w:sz="0" w:space="0" w:color="auto"/>
                <w:bottom w:val="none" w:sz="0" w:space="0" w:color="auto"/>
                <w:right w:val="none" w:sz="0" w:space="0" w:color="auto"/>
              </w:divBdr>
            </w:div>
            <w:div w:id="2014642540">
              <w:marLeft w:val="0"/>
              <w:marRight w:val="0"/>
              <w:marTop w:val="0"/>
              <w:marBottom w:val="0"/>
              <w:divBdr>
                <w:top w:val="none" w:sz="0" w:space="0" w:color="auto"/>
                <w:left w:val="none" w:sz="0" w:space="0" w:color="auto"/>
                <w:bottom w:val="none" w:sz="0" w:space="0" w:color="auto"/>
                <w:right w:val="none" w:sz="0" w:space="0" w:color="auto"/>
              </w:divBdr>
            </w:div>
            <w:div w:id="3005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7921">
      <w:bodyDiv w:val="1"/>
      <w:marLeft w:val="0"/>
      <w:marRight w:val="0"/>
      <w:marTop w:val="0"/>
      <w:marBottom w:val="0"/>
      <w:divBdr>
        <w:top w:val="none" w:sz="0" w:space="0" w:color="auto"/>
        <w:left w:val="none" w:sz="0" w:space="0" w:color="auto"/>
        <w:bottom w:val="none" w:sz="0" w:space="0" w:color="auto"/>
        <w:right w:val="none" w:sz="0" w:space="0" w:color="auto"/>
      </w:divBdr>
      <w:divsChild>
        <w:div w:id="73089291">
          <w:marLeft w:val="0"/>
          <w:marRight w:val="0"/>
          <w:marTop w:val="0"/>
          <w:marBottom w:val="750"/>
          <w:divBdr>
            <w:top w:val="none" w:sz="0" w:space="0" w:color="auto"/>
            <w:left w:val="none" w:sz="0" w:space="0" w:color="auto"/>
            <w:bottom w:val="none" w:sz="0" w:space="0" w:color="auto"/>
            <w:right w:val="none" w:sz="0" w:space="0" w:color="auto"/>
          </w:divBdr>
          <w:divsChild>
            <w:div w:id="1406992791">
              <w:marLeft w:val="0"/>
              <w:marRight w:val="0"/>
              <w:marTop w:val="0"/>
              <w:marBottom w:val="0"/>
              <w:divBdr>
                <w:top w:val="none" w:sz="0" w:space="0" w:color="auto"/>
                <w:left w:val="none" w:sz="0" w:space="0" w:color="auto"/>
                <w:bottom w:val="none" w:sz="0" w:space="0" w:color="auto"/>
                <w:right w:val="none" w:sz="0" w:space="0" w:color="auto"/>
              </w:divBdr>
              <w:divsChild>
                <w:div w:id="1847163074">
                  <w:marLeft w:val="0"/>
                  <w:marRight w:val="0"/>
                  <w:marTop w:val="0"/>
                  <w:marBottom w:val="0"/>
                  <w:divBdr>
                    <w:top w:val="none" w:sz="0" w:space="0" w:color="auto"/>
                    <w:left w:val="none" w:sz="0" w:space="0" w:color="auto"/>
                    <w:bottom w:val="none" w:sz="0" w:space="0" w:color="auto"/>
                    <w:right w:val="none" w:sz="0" w:space="0" w:color="auto"/>
                  </w:divBdr>
                  <w:divsChild>
                    <w:div w:id="829366694">
                      <w:marLeft w:val="0"/>
                      <w:marRight w:val="0"/>
                      <w:marTop w:val="0"/>
                      <w:marBottom w:val="0"/>
                      <w:divBdr>
                        <w:top w:val="none" w:sz="0" w:space="0" w:color="auto"/>
                        <w:left w:val="none" w:sz="0" w:space="0" w:color="auto"/>
                        <w:bottom w:val="none" w:sz="0" w:space="0" w:color="auto"/>
                        <w:right w:val="none" w:sz="0" w:space="0" w:color="auto"/>
                      </w:divBdr>
                      <w:divsChild>
                        <w:div w:id="1500316483">
                          <w:marLeft w:val="0"/>
                          <w:marRight w:val="0"/>
                          <w:marTop w:val="0"/>
                          <w:marBottom w:val="0"/>
                          <w:divBdr>
                            <w:top w:val="none" w:sz="0" w:space="0" w:color="auto"/>
                            <w:left w:val="none" w:sz="0" w:space="0" w:color="auto"/>
                            <w:bottom w:val="none" w:sz="0" w:space="0" w:color="auto"/>
                            <w:right w:val="none" w:sz="0" w:space="0" w:color="auto"/>
                          </w:divBdr>
                          <w:divsChild>
                            <w:div w:id="1759252116">
                              <w:marLeft w:val="0"/>
                              <w:marRight w:val="0"/>
                              <w:marTop w:val="0"/>
                              <w:marBottom w:val="0"/>
                              <w:divBdr>
                                <w:top w:val="none" w:sz="0" w:space="0" w:color="auto"/>
                                <w:left w:val="none" w:sz="0" w:space="0" w:color="auto"/>
                                <w:bottom w:val="none" w:sz="0" w:space="0" w:color="auto"/>
                                <w:right w:val="none" w:sz="0" w:space="0" w:color="auto"/>
                              </w:divBdr>
                              <w:divsChild>
                                <w:div w:id="438528017">
                                  <w:marLeft w:val="0"/>
                                  <w:marRight w:val="0"/>
                                  <w:marTop w:val="0"/>
                                  <w:marBottom w:val="0"/>
                                  <w:divBdr>
                                    <w:top w:val="none" w:sz="0" w:space="0" w:color="auto"/>
                                    <w:left w:val="none" w:sz="0" w:space="0" w:color="auto"/>
                                    <w:bottom w:val="none" w:sz="0" w:space="0" w:color="auto"/>
                                    <w:right w:val="none" w:sz="0" w:space="0" w:color="auto"/>
                                  </w:divBdr>
                                </w:div>
                                <w:div w:id="2016566349">
                                  <w:marLeft w:val="0"/>
                                  <w:marRight w:val="0"/>
                                  <w:marTop w:val="0"/>
                                  <w:marBottom w:val="0"/>
                                  <w:divBdr>
                                    <w:top w:val="none" w:sz="0" w:space="0" w:color="auto"/>
                                    <w:left w:val="none" w:sz="0" w:space="0" w:color="auto"/>
                                    <w:bottom w:val="none" w:sz="0" w:space="0" w:color="auto"/>
                                    <w:right w:val="none" w:sz="0" w:space="0" w:color="auto"/>
                                  </w:divBdr>
                                </w:div>
                                <w:div w:id="391201724">
                                  <w:marLeft w:val="0"/>
                                  <w:marRight w:val="0"/>
                                  <w:marTop w:val="0"/>
                                  <w:marBottom w:val="0"/>
                                  <w:divBdr>
                                    <w:top w:val="none" w:sz="0" w:space="0" w:color="auto"/>
                                    <w:left w:val="none" w:sz="0" w:space="0" w:color="auto"/>
                                    <w:bottom w:val="none" w:sz="0" w:space="0" w:color="auto"/>
                                    <w:right w:val="none" w:sz="0" w:space="0" w:color="auto"/>
                                  </w:divBdr>
                                </w:div>
                                <w:div w:id="594829790">
                                  <w:marLeft w:val="0"/>
                                  <w:marRight w:val="0"/>
                                  <w:marTop w:val="0"/>
                                  <w:marBottom w:val="0"/>
                                  <w:divBdr>
                                    <w:top w:val="none" w:sz="0" w:space="0" w:color="auto"/>
                                    <w:left w:val="none" w:sz="0" w:space="0" w:color="auto"/>
                                    <w:bottom w:val="none" w:sz="0" w:space="0" w:color="auto"/>
                                    <w:right w:val="none" w:sz="0" w:space="0" w:color="auto"/>
                                  </w:divBdr>
                                </w:div>
                                <w:div w:id="759452157">
                                  <w:marLeft w:val="0"/>
                                  <w:marRight w:val="0"/>
                                  <w:marTop w:val="0"/>
                                  <w:marBottom w:val="0"/>
                                  <w:divBdr>
                                    <w:top w:val="none" w:sz="0" w:space="0" w:color="auto"/>
                                    <w:left w:val="none" w:sz="0" w:space="0" w:color="auto"/>
                                    <w:bottom w:val="none" w:sz="0" w:space="0" w:color="auto"/>
                                    <w:right w:val="none" w:sz="0" w:space="0" w:color="auto"/>
                                  </w:divBdr>
                                </w:div>
                                <w:div w:id="1996567906">
                                  <w:marLeft w:val="0"/>
                                  <w:marRight w:val="0"/>
                                  <w:marTop w:val="0"/>
                                  <w:marBottom w:val="0"/>
                                  <w:divBdr>
                                    <w:top w:val="none" w:sz="0" w:space="0" w:color="auto"/>
                                    <w:left w:val="none" w:sz="0" w:space="0" w:color="auto"/>
                                    <w:bottom w:val="none" w:sz="0" w:space="0" w:color="auto"/>
                                    <w:right w:val="none" w:sz="0" w:space="0" w:color="auto"/>
                                  </w:divBdr>
                                </w:div>
                                <w:div w:id="221137939">
                                  <w:marLeft w:val="0"/>
                                  <w:marRight w:val="0"/>
                                  <w:marTop w:val="0"/>
                                  <w:marBottom w:val="0"/>
                                  <w:divBdr>
                                    <w:top w:val="none" w:sz="0" w:space="0" w:color="auto"/>
                                    <w:left w:val="none" w:sz="0" w:space="0" w:color="auto"/>
                                    <w:bottom w:val="none" w:sz="0" w:space="0" w:color="auto"/>
                                    <w:right w:val="none" w:sz="0" w:space="0" w:color="auto"/>
                                  </w:divBdr>
                                </w:div>
                                <w:div w:id="190336715">
                                  <w:marLeft w:val="0"/>
                                  <w:marRight w:val="0"/>
                                  <w:marTop w:val="0"/>
                                  <w:marBottom w:val="0"/>
                                  <w:divBdr>
                                    <w:top w:val="none" w:sz="0" w:space="0" w:color="auto"/>
                                    <w:left w:val="none" w:sz="0" w:space="0" w:color="auto"/>
                                    <w:bottom w:val="none" w:sz="0" w:space="0" w:color="auto"/>
                                    <w:right w:val="none" w:sz="0" w:space="0" w:color="auto"/>
                                  </w:divBdr>
                                </w:div>
                                <w:div w:id="14426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810474">
      <w:bodyDiv w:val="1"/>
      <w:marLeft w:val="0"/>
      <w:marRight w:val="0"/>
      <w:marTop w:val="0"/>
      <w:marBottom w:val="0"/>
      <w:divBdr>
        <w:top w:val="none" w:sz="0" w:space="0" w:color="auto"/>
        <w:left w:val="none" w:sz="0" w:space="0" w:color="auto"/>
        <w:bottom w:val="none" w:sz="0" w:space="0" w:color="auto"/>
        <w:right w:val="none" w:sz="0" w:space="0" w:color="auto"/>
      </w:divBdr>
      <w:divsChild>
        <w:div w:id="19401495">
          <w:marLeft w:val="0"/>
          <w:marRight w:val="0"/>
          <w:marTop w:val="0"/>
          <w:marBottom w:val="0"/>
          <w:divBdr>
            <w:top w:val="none" w:sz="0" w:space="0" w:color="auto"/>
            <w:left w:val="none" w:sz="0" w:space="0" w:color="auto"/>
            <w:bottom w:val="none" w:sz="0" w:space="0" w:color="auto"/>
            <w:right w:val="none" w:sz="0" w:space="0" w:color="auto"/>
          </w:divBdr>
          <w:divsChild>
            <w:div w:id="1785030370">
              <w:marLeft w:val="0"/>
              <w:marRight w:val="0"/>
              <w:marTop w:val="0"/>
              <w:marBottom w:val="0"/>
              <w:divBdr>
                <w:top w:val="none" w:sz="0" w:space="0" w:color="auto"/>
                <w:left w:val="none" w:sz="0" w:space="0" w:color="auto"/>
                <w:bottom w:val="none" w:sz="0" w:space="0" w:color="auto"/>
                <w:right w:val="none" w:sz="0" w:space="0" w:color="auto"/>
              </w:divBdr>
              <w:divsChild>
                <w:div w:id="1857815425">
                  <w:marLeft w:val="0"/>
                  <w:marRight w:val="0"/>
                  <w:marTop w:val="0"/>
                  <w:marBottom w:val="0"/>
                  <w:divBdr>
                    <w:top w:val="none" w:sz="0" w:space="0" w:color="auto"/>
                    <w:left w:val="none" w:sz="0" w:space="0" w:color="auto"/>
                    <w:bottom w:val="none" w:sz="0" w:space="0" w:color="auto"/>
                    <w:right w:val="none" w:sz="0" w:space="0" w:color="auto"/>
                  </w:divBdr>
                  <w:divsChild>
                    <w:div w:id="719985502">
                      <w:marLeft w:val="0"/>
                      <w:marRight w:val="0"/>
                      <w:marTop w:val="0"/>
                      <w:marBottom w:val="0"/>
                      <w:divBdr>
                        <w:top w:val="none" w:sz="0" w:space="0" w:color="auto"/>
                        <w:left w:val="none" w:sz="0" w:space="0" w:color="auto"/>
                        <w:bottom w:val="none" w:sz="0" w:space="0" w:color="auto"/>
                        <w:right w:val="none" w:sz="0" w:space="0" w:color="auto"/>
                      </w:divBdr>
                      <w:divsChild>
                        <w:div w:id="127094684">
                          <w:marLeft w:val="0"/>
                          <w:marRight w:val="0"/>
                          <w:marTop w:val="0"/>
                          <w:marBottom w:val="0"/>
                          <w:divBdr>
                            <w:top w:val="none" w:sz="0" w:space="0" w:color="auto"/>
                            <w:left w:val="none" w:sz="0" w:space="0" w:color="auto"/>
                            <w:bottom w:val="none" w:sz="0" w:space="0" w:color="auto"/>
                            <w:right w:val="none" w:sz="0" w:space="0" w:color="auto"/>
                          </w:divBdr>
                          <w:divsChild>
                            <w:div w:id="437146573">
                              <w:marLeft w:val="0"/>
                              <w:marRight w:val="0"/>
                              <w:marTop w:val="0"/>
                              <w:marBottom w:val="0"/>
                              <w:divBdr>
                                <w:top w:val="none" w:sz="0" w:space="0" w:color="auto"/>
                                <w:left w:val="none" w:sz="0" w:space="0" w:color="auto"/>
                                <w:bottom w:val="none" w:sz="0" w:space="0" w:color="auto"/>
                                <w:right w:val="none" w:sz="0" w:space="0" w:color="auto"/>
                              </w:divBdr>
                              <w:divsChild>
                                <w:div w:id="1248152462">
                                  <w:marLeft w:val="0"/>
                                  <w:marRight w:val="0"/>
                                  <w:marTop w:val="0"/>
                                  <w:marBottom w:val="0"/>
                                  <w:divBdr>
                                    <w:top w:val="none" w:sz="0" w:space="0" w:color="auto"/>
                                    <w:left w:val="none" w:sz="0" w:space="0" w:color="auto"/>
                                    <w:bottom w:val="none" w:sz="0" w:space="0" w:color="auto"/>
                                    <w:right w:val="none" w:sz="0" w:space="0" w:color="auto"/>
                                  </w:divBdr>
                                  <w:divsChild>
                                    <w:div w:id="24229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4D0AB-B929-4946-A74F-946514D5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4455</Words>
  <Characters>27415</Characters>
  <Application>Microsoft Office Word</Application>
  <DocSecurity>0</DocSecurity>
  <Lines>228</Lines>
  <Paragraphs>63</Paragraphs>
  <ScaleCrop>false</ScaleCrop>
  <HeadingPairs>
    <vt:vector size="2" baseType="variant">
      <vt:variant>
        <vt:lpstr>Título</vt:lpstr>
      </vt:variant>
      <vt:variant>
        <vt:i4>1</vt:i4>
      </vt:variant>
    </vt:vector>
  </HeadingPairs>
  <TitlesOfParts>
    <vt:vector size="1" baseType="lpstr">
      <vt:lpstr>RELATÓRIO PRELIMINAR DE AUDITORIA DE FISCALIZAÇÃO PROCESSO DE CONCESSÃO, APLICAÇÃO E COMPROVAÇÃO DE SUPRIMENTO DE FUNDOS NO 1º SEMESTRE DE 2014</vt:lpstr>
    </vt:vector>
  </TitlesOfParts>
  <Company>Justiça Eleitoral</Company>
  <LinksUpToDate>false</LinksUpToDate>
  <CharactersWithSpaces>31807</CharactersWithSpaces>
  <SharedDoc>false</SharedDoc>
  <HLinks>
    <vt:vector size="24" baseType="variant">
      <vt:variant>
        <vt:i4>1048638</vt:i4>
      </vt:variant>
      <vt:variant>
        <vt:i4>11</vt:i4>
      </vt:variant>
      <vt:variant>
        <vt:i4>0</vt:i4>
      </vt:variant>
      <vt:variant>
        <vt:i4>5</vt:i4>
      </vt:variant>
      <vt:variant>
        <vt:lpwstr/>
      </vt:variant>
      <vt:variant>
        <vt:lpwstr>_Toc396482383</vt:lpwstr>
      </vt:variant>
      <vt:variant>
        <vt:i4>1048638</vt:i4>
      </vt:variant>
      <vt:variant>
        <vt:i4>8</vt:i4>
      </vt:variant>
      <vt:variant>
        <vt:i4>0</vt:i4>
      </vt:variant>
      <vt:variant>
        <vt:i4>5</vt:i4>
      </vt:variant>
      <vt:variant>
        <vt:lpwstr/>
      </vt:variant>
      <vt:variant>
        <vt:lpwstr>_Toc396482382</vt:lpwstr>
      </vt:variant>
      <vt:variant>
        <vt:i4>1048638</vt:i4>
      </vt:variant>
      <vt:variant>
        <vt:i4>5</vt:i4>
      </vt:variant>
      <vt:variant>
        <vt:i4>0</vt:i4>
      </vt:variant>
      <vt:variant>
        <vt:i4>5</vt:i4>
      </vt:variant>
      <vt:variant>
        <vt:lpwstr/>
      </vt:variant>
      <vt:variant>
        <vt:lpwstr>_Toc396482381</vt:lpwstr>
      </vt:variant>
      <vt:variant>
        <vt:i4>2031678</vt:i4>
      </vt:variant>
      <vt:variant>
        <vt:i4>2</vt:i4>
      </vt:variant>
      <vt:variant>
        <vt:i4>0</vt:i4>
      </vt:variant>
      <vt:variant>
        <vt:i4>5</vt:i4>
      </vt:variant>
      <vt:variant>
        <vt:lpwstr/>
      </vt:variant>
      <vt:variant>
        <vt:lpwstr>_Toc396482379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FISCALIZAÇÃO PROCESSO DE CONCESSÃO, APLICAÇÃO E COMPROVAÇÃO DE SUPRIMENTO DE FUNDOS NO 1º SEMESTRE DE 2014</dc:title>
  <dc:creator>009821230566</dc:creator>
  <cp:lastModifiedBy>Geraldo Majella Nunes de Moura</cp:lastModifiedBy>
  <cp:revision>2</cp:revision>
  <cp:lastPrinted>2016-01-22T14:03:00Z</cp:lastPrinted>
  <dcterms:created xsi:type="dcterms:W3CDTF">2021-05-11T20:58:00Z</dcterms:created>
  <dcterms:modified xsi:type="dcterms:W3CDTF">2021-05-11T20:58:00Z</dcterms:modified>
</cp:coreProperties>
</file>