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2C" w:rsidRPr="0069002E" w:rsidRDefault="001D6A2C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4A4938" w:rsidRDefault="004A4938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4A4938" w:rsidRPr="0069002E" w:rsidRDefault="004A4938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1504D" w:rsidRPr="004A4938" w:rsidRDefault="00A1504D" w:rsidP="004A4938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4A4938" w:rsidRDefault="00355054" w:rsidP="004A4938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4A4938" w:rsidRDefault="00355054" w:rsidP="004A4938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1504D" w:rsidRPr="0069002E" w:rsidRDefault="00495A98" w:rsidP="00451876">
      <w:pPr>
        <w:spacing w:line="360" w:lineRule="auto"/>
        <w:jc w:val="center"/>
        <w:rPr>
          <w:b/>
          <w:sz w:val="24"/>
          <w:szCs w:val="24"/>
        </w:rPr>
      </w:pPr>
      <w:r w:rsidRPr="0034003C">
        <w:rPr>
          <w:b/>
          <w:sz w:val="24"/>
          <w:szCs w:val="24"/>
        </w:rPr>
        <w:t>RELATÓRIO</w:t>
      </w:r>
      <w:r w:rsidR="00914D3A" w:rsidRPr="0034003C">
        <w:rPr>
          <w:b/>
          <w:sz w:val="24"/>
          <w:szCs w:val="24"/>
        </w:rPr>
        <w:t xml:space="preserve"> DE </w:t>
      </w:r>
      <w:r w:rsidR="00F13358" w:rsidRPr="0034003C">
        <w:rPr>
          <w:b/>
          <w:sz w:val="24"/>
          <w:szCs w:val="24"/>
        </w:rPr>
        <w:t xml:space="preserve">INSPEÇÃO ADMINISTRATIVA </w:t>
      </w:r>
      <w:r w:rsidR="003E6556">
        <w:rPr>
          <w:b/>
          <w:sz w:val="24"/>
          <w:szCs w:val="24"/>
        </w:rPr>
        <w:t>RELATIVA À</w:t>
      </w:r>
      <w:r w:rsidR="00F13358" w:rsidRPr="0034003C">
        <w:rPr>
          <w:b/>
          <w:sz w:val="24"/>
          <w:szCs w:val="24"/>
        </w:rPr>
        <w:t xml:space="preserve"> CONTRATAÇÃO DO CONTÊINER </w:t>
      </w:r>
      <w:r w:rsidR="00F13358" w:rsidRPr="00F17EEB">
        <w:rPr>
          <w:b/>
          <w:sz w:val="24"/>
          <w:szCs w:val="24"/>
        </w:rPr>
        <w:t>DATA CENTER</w:t>
      </w:r>
      <w:r w:rsidR="00F13358" w:rsidRPr="0034003C">
        <w:rPr>
          <w:b/>
          <w:sz w:val="24"/>
          <w:szCs w:val="24"/>
        </w:rPr>
        <w:t xml:space="preserve"> E SERVIÇOS CORRELATOS</w:t>
      </w:r>
      <w:r w:rsidR="003E6556">
        <w:rPr>
          <w:b/>
          <w:sz w:val="24"/>
          <w:szCs w:val="24"/>
        </w:rPr>
        <w:t xml:space="preserve"> (</w:t>
      </w:r>
      <w:r w:rsidR="00B22345">
        <w:rPr>
          <w:b/>
          <w:sz w:val="24"/>
          <w:szCs w:val="24"/>
        </w:rPr>
        <w:t>CONTRATO N</w:t>
      </w:r>
      <w:r w:rsidR="00E138E2">
        <w:rPr>
          <w:b/>
          <w:sz w:val="24"/>
          <w:szCs w:val="24"/>
        </w:rPr>
        <w:t>.</w:t>
      </w:r>
      <w:r w:rsidR="00B22345">
        <w:rPr>
          <w:b/>
          <w:sz w:val="24"/>
          <w:szCs w:val="24"/>
        </w:rPr>
        <w:t xml:space="preserve"> 161/2014</w:t>
      </w:r>
      <w:r w:rsidR="003E6556">
        <w:rPr>
          <w:b/>
          <w:sz w:val="24"/>
          <w:szCs w:val="24"/>
        </w:rPr>
        <w:t>)</w:t>
      </w:r>
    </w:p>
    <w:p w:rsidR="00355054" w:rsidRPr="0069002E" w:rsidRDefault="00355054" w:rsidP="00EE4440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06AB" w:rsidRPr="00A82459" w:rsidRDefault="003506AB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1504D" w:rsidRPr="00A82459" w:rsidRDefault="00A1504D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Default="00355054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9E5DF0" w:rsidRDefault="009E5DF0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355054" w:rsidRPr="0069002E" w:rsidRDefault="00355054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1504D" w:rsidRDefault="00A1504D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82459" w:rsidRPr="00A82459" w:rsidRDefault="00A82459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494B5E" w:rsidRPr="00A82459" w:rsidRDefault="00494B5E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EF50F1" w:rsidRPr="00A82459" w:rsidRDefault="00EF50F1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EF50F1" w:rsidRDefault="00EF50F1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433921" w:rsidRPr="00A82459" w:rsidRDefault="00433921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851C9" w:rsidRPr="00A82459" w:rsidRDefault="00A851C9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850644" w:rsidRDefault="00850644" w:rsidP="00A82459">
      <w:pPr>
        <w:widowControl w:val="0"/>
        <w:tabs>
          <w:tab w:val="left" w:pos="214"/>
        </w:tabs>
        <w:spacing w:before="120"/>
        <w:jc w:val="both"/>
        <w:rPr>
          <w:b/>
          <w:sz w:val="24"/>
          <w:szCs w:val="24"/>
        </w:rPr>
      </w:pPr>
    </w:p>
    <w:p w:rsidR="00A9155C" w:rsidRPr="00A9155C" w:rsidRDefault="00A9155C" w:rsidP="00451876">
      <w:pPr>
        <w:spacing w:after="0"/>
        <w:jc w:val="center"/>
        <w:rPr>
          <w:b/>
          <w:sz w:val="24"/>
          <w:szCs w:val="24"/>
        </w:rPr>
      </w:pPr>
      <w:r w:rsidRPr="00A9155C">
        <w:rPr>
          <w:b/>
          <w:sz w:val="24"/>
          <w:szCs w:val="24"/>
        </w:rPr>
        <w:t>Salvador - BA</w:t>
      </w:r>
    </w:p>
    <w:p w:rsidR="00451876" w:rsidRDefault="00173C18" w:rsidP="004A493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Novembro</w:t>
      </w:r>
      <w:r w:rsidR="00A9155C" w:rsidRPr="00A9155C">
        <w:rPr>
          <w:b/>
          <w:sz w:val="24"/>
          <w:szCs w:val="24"/>
        </w:rPr>
        <w:t>/</w:t>
      </w:r>
      <w:r w:rsidR="00914D3A">
        <w:rPr>
          <w:b/>
          <w:sz w:val="24"/>
          <w:szCs w:val="24"/>
        </w:rPr>
        <w:t>201</w:t>
      </w:r>
      <w:r w:rsidR="007E21BD">
        <w:rPr>
          <w:b/>
          <w:sz w:val="24"/>
          <w:szCs w:val="24"/>
        </w:rPr>
        <w:t>6</w:t>
      </w:r>
    </w:p>
    <w:p w:rsidR="00451876" w:rsidRDefault="00451876" w:rsidP="00451876">
      <w:pPr>
        <w:spacing w:line="360" w:lineRule="auto"/>
        <w:jc w:val="center"/>
        <w:rPr>
          <w:b/>
          <w:sz w:val="24"/>
          <w:szCs w:val="24"/>
        </w:rPr>
      </w:pPr>
    </w:p>
    <w:p w:rsidR="004A4938" w:rsidRDefault="004A4938" w:rsidP="00F13358">
      <w:pPr>
        <w:spacing w:line="360" w:lineRule="auto"/>
        <w:jc w:val="center"/>
        <w:rPr>
          <w:b/>
          <w:sz w:val="24"/>
          <w:szCs w:val="24"/>
        </w:rPr>
      </w:pPr>
    </w:p>
    <w:p w:rsidR="004A4938" w:rsidRDefault="004A4938" w:rsidP="00F13358">
      <w:pPr>
        <w:spacing w:line="360" w:lineRule="auto"/>
        <w:jc w:val="center"/>
        <w:rPr>
          <w:b/>
          <w:sz w:val="24"/>
          <w:szCs w:val="24"/>
        </w:rPr>
      </w:pPr>
    </w:p>
    <w:p w:rsidR="004A4938" w:rsidRDefault="004A4938" w:rsidP="00F13358">
      <w:pPr>
        <w:spacing w:line="360" w:lineRule="auto"/>
        <w:jc w:val="center"/>
        <w:rPr>
          <w:b/>
          <w:sz w:val="24"/>
          <w:szCs w:val="24"/>
        </w:rPr>
      </w:pPr>
    </w:p>
    <w:p w:rsidR="004A4938" w:rsidRDefault="004A4938" w:rsidP="00F13358">
      <w:pPr>
        <w:spacing w:line="360" w:lineRule="auto"/>
        <w:jc w:val="center"/>
        <w:rPr>
          <w:b/>
          <w:sz w:val="24"/>
          <w:szCs w:val="24"/>
        </w:rPr>
      </w:pPr>
    </w:p>
    <w:p w:rsidR="00F13358" w:rsidRPr="0069002E" w:rsidRDefault="00F13358" w:rsidP="00F13358">
      <w:pPr>
        <w:spacing w:line="360" w:lineRule="auto"/>
        <w:jc w:val="center"/>
        <w:rPr>
          <w:b/>
          <w:sz w:val="24"/>
          <w:szCs w:val="24"/>
        </w:rPr>
      </w:pPr>
      <w:r w:rsidRPr="0034003C">
        <w:rPr>
          <w:b/>
          <w:sz w:val="24"/>
          <w:szCs w:val="24"/>
        </w:rPr>
        <w:t xml:space="preserve">RELATÓRIO </w:t>
      </w:r>
      <w:r w:rsidR="00B87081">
        <w:rPr>
          <w:b/>
          <w:sz w:val="24"/>
          <w:szCs w:val="24"/>
        </w:rPr>
        <w:t>D</w:t>
      </w:r>
      <w:r w:rsidRPr="0034003C">
        <w:rPr>
          <w:b/>
          <w:sz w:val="24"/>
          <w:szCs w:val="24"/>
        </w:rPr>
        <w:t xml:space="preserve">E INSPEÇÃO ADMINISTRATIVA </w:t>
      </w:r>
      <w:r w:rsidR="003E6556">
        <w:rPr>
          <w:b/>
          <w:sz w:val="24"/>
          <w:szCs w:val="24"/>
        </w:rPr>
        <w:t xml:space="preserve">RELATIVA À </w:t>
      </w:r>
      <w:r w:rsidRPr="0034003C">
        <w:rPr>
          <w:b/>
          <w:sz w:val="24"/>
          <w:szCs w:val="24"/>
        </w:rPr>
        <w:t xml:space="preserve">CONTRATAÇÃO </w:t>
      </w:r>
      <w:r w:rsidR="003E6556">
        <w:rPr>
          <w:b/>
          <w:sz w:val="24"/>
          <w:szCs w:val="24"/>
        </w:rPr>
        <w:t xml:space="preserve">DO </w:t>
      </w:r>
      <w:r w:rsidRPr="0034003C">
        <w:rPr>
          <w:b/>
          <w:sz w:val="24"/>
          <w:szCs w:val="24"/>
        </w:rPr>
        <w:t xml:space="preserve">CONTÊINER </w:t>
      </w:r>
      <w:r w:rsidRPr="00080D8B">
        <w:rPr>
          <w:b/>
          <w:sz w:val="24"/>
          <w:szCs w:val="24"/>
        </w:rPr>
        <w:t>DATA CENTER</w:t>
      </w:r>
      <w:r w:rsidRPr="0034003C">
        <w:rPr>
          <w:b/>
          <w:sz w:val="24"/>
          <w:szCs w:val="24"/>
        </w:rPr>
        <w:t xml:space="preserve"> E SERVIÇOS CORRELATOS</w:t>
      </w:r>
      <w:r w:rsidR="00B22345">
        <w:rPr>
          <w:b/>
          <w:sz w:val="24"/>
          <w:szCs w:val="24"/>
        </w:rPr>
        <w:t xml:space="preserve"> </w:t>
      </w:r>
      <w:r w:rsidR="003E6556">
        <w:rPr>
          <w:b/>
          <w:sz w:val="24"/>
          <w:szCs w:val="24"/>
        </w:rPr>
        <w:t>(</w:t>
      </w:r>
      <w:r w:rsidR="00B22345">
        <w:rPr>
          <w:b/>
          <w:sz w:val="24"/>
          <w:szCs w:val="24"/>
        </w:rPr>
        <w:t>CONTRATO N</w:t>
      </w:r>
      <w:r w:rsidR="00E138E2">
        <w:rPr>
          <w:b/>
          <w:sz w:val="24"/>
          <w:szCs w:val="24"/>
        </w:rPr>
        <w:t>.</w:t>
      </w:r>
      <w:r w:rsidR="00B22345">
        <w:rPr>
          <w:b/>
          <w:sz w:val="24"/>
          <w:szCs w:val="24"/>
        </w:rPr>
        <w:t xml:space="preserve"> 161/2014</w:t>
      </w:r>
      <w:r w:rsidR="003E6556">
        <w:rPr>
          <w:b/>
          <w:sz w:val="24"/>
          <w:szCs w:val="24"/>
        </w:rPr>
        <w:t>)</w:t>
      </w:r>
    </w:p>
    <w:p w:rsidR="001C548E" w:rsidRPr="001C548E" w:rsidRDefault="001C548E" w:rsidP="00EE4440">
      <w:pPr>
        <w:spacing w:line="360" w:lineRule="auto"/>
        <w:jc w:val="both"/>
        <w:rPr>
          <w:b/>
          <w:sz w:val="24"/>
          <w:szCs w:val="24"/>
        </w:rPr>
      </w:pPr>
    </w:p>
    <w:p w:rsidR="00783C52" w:rsidRPr="00C81E07" w:rsidRDefault="00783C52" w:rsidP="00EE4440">
      <w:pPr>
        <w:spacing w:line="360" w:lineRule="auto"/>
        <w:jc w:val="both"/>
        <w:rPr>
          <w:b/>
          <w:sz w:val="24"/>
          <w:szCs w:val="24"/>
        </w:rPr>
      </w:pPr>
    </w:p>
    <w:p w:rsidR="00355054" w:rsidRPr="000C1063" w:rsidRDefault="00B91A01" w:rsidP="00EE4440">
      <w:pPr>
        <w:spacing w:after="0"/>
        <w:ind w:left="3200"/>
        <w:jc w:val="both"/>
        <w:rPr>
          <w:sz w:val="24"/>
          <w:szCs w:val="24"/>
        </w:rPr>
      </w:pPr>
      <w:r w:rsidRPr="00055B5C">
        <w:rPr>
          <w:sz w:val="24"/>
          <w:szCs w:val="24"/>
        </w:rPr>
        <w:t xml:space="preserve">Relatório de inspeção administrativa </w:t>
      </w:r>
      <w:r w:rsidR="00023FCB" w:rsidRPr="00055B5C">
        <w:rPr>
          <w:rFonts w:cs="Arial"/>
          <w:sz w:val="24"/>
          <w:szCs w:val="24"/>
        </w:rPr>
        <w:t xml:space="preserve">realizada no processo de contratação do Contêiner Data Center </w:t>
      </w:r>
      <w:r w:rsidR="003E6556" w:rsidRPr="00055B5C">
        <w:rPr>
          <w:rFonts w:cs="Arial"/>
          <w:sz w:val="24"/>
          <w:szCs w:val="24"/>
        </w:rPr>
        <w:t>(</w:t>
      </w:r>
      <w:r w:rsidR="00023FCB" w:rsidRPr="00055B5C">
        <w:rPr>
          <w:rFonts w:cs="Arial"/>
          <w:sz w:val="24"/>
          <w:szCs w:val="24"/>
        </w:rPr>
        <w:t>Contrato n. 161/2014</w:t>
      </w:r>
      <w:r w:rsidR="003E6556" w:rsidRPr="00055B5C">
        <w:rPr>
          <w:rFonts w:cs="Arial"/>
          <w:sz w:val="24"/>
          <w:szCs w:val="24"/>
        </w:rPr>
        <w:t>)</w:t>
      </w:r>
      <w:r w:rsidR="00E8312A" w:rsidRPr="00055B5C">
        <w:rPr>
          <w:rFonts w:cs="Arial"/>
          <w:sz w:val="24"/>
          <w:szCs w:val="24"/>
        </w:rPr>
        <w:t xml:space="preserve"> consoante determinação da Presidência inserta no Processo</w:t>
      </w:r>
      <w:r w:rsidR="00E8312A" w:rsidRPr="00106862">
        <w:rPr>
          <w:rFonts w:cs="Arial"/>
          <w:sz w:val="24"/>
          <w:szCs w:val="24"/>
        </w:rPr>
        <w:t xml:space="preserve"> Administrativo Digital (PAD) n. 5.920/2016</w:t>
      </w:r>
      <w:r w:rsidR="00E8312A">
        <w:rPr>
          <w:rFonts w:cs="Arial"/>
          <w:sz w:val="24"/>
          <w:szCs w:val="24"/>
        </w:rPr>
        <w:t>.</w:t>
      </w:r>
    </w:p>
    <w:p w:rsidR="00B7409F" w:rsidRPr="0069002E" w:rsidRDefault="00B7409F" w:rsidP="00EE4440">
      <w:pPr>
        <w:spacing w:after="0"/>
        <w:ind w:left="3200"/>
        <w:jc w:val="both"/>
        <w:rPr>
          <w:sz w:val="24"/>
          <w:szCs w:val="24"/>
        </w:rPr>
      </w:pPr>
    </w:p>
    <w:p w:rsidR="00EF50F1" w:rsidRPr="0069002E" w:rsidRDefault="00EF50F1" w:rsidP="00EE4440">
      <w:pPr>
        <w:spacing w:after="0"/>
        <w:ind w:left="3200"/>
        <w:jc w:val="both"/>
        <w:rPr>
          <w:sz w:val="24"/>
          <w:szCs w:val="24"/>
        </w:rPr>
      </w:pPr>
    </w:p>
    <w:p w:rsidR="0077351F" w:rsidRPr="0069002E" w:rsidRDefault="007320F3" w:rsidP="00EE4440">
      <w:pPr>
        <w:spacing w:after="0"/>
        <w:ind w:left="3200"/>
        <w:jc w:val="both"/>
        <w:rPr>
          <w:sz w:val="24"/>
          <w:szCs w:val="24"/>
        </w:rPr>
      </w:pPr>
      <w:r w:rsidRPr="0069002E">
        <w:rPr>
          <w:sz w:val="24"/>
          <w:szCs w:val="24"/>
        </w:rPr>
        <w:t xml:space="preserve">Elaboração: Seção de Acompanhamento e Orientação </w:t>
      </w:r>
      <w:r w:rsidR="00303151" w:rsidRPr="0069002E">
        <w:rPr>
          <w:sz w:val="24"/>
          <w:szCs w:val="24"/>
        </w:rPr>
        <w:t>à</w:t>
      </w:r>
      <w:r w:rsidRPr="0069002E">
        <w:rPr>
          <w:sz w:val="24"/>
          <w:szCs w:val="24"/>
        </w:rPr>
        <w:t xml:space="preserve"> Gestão</w:t>
      </w:r>
      <w:r w:rsidR="00303151" w:rsidRPr="0069002E">
        <w:rPr>
          <w:sz w:val="24"/>
          <w:szCs w:val="24"/>
        </w:rPr>
        <w:t xml:space="preserve"> Administrativa</w:t>
      </w:r>
      <w:r w:rsidRPr="0069002E">
        <w:rPr>
          <w:sz w:val="24"/>
          <w:szCs w:val="24"/>
        </w:rPr>
        <w:t xml:space="preserve"> (SEAGES)</w:t>
      </w:r>
    </w:p>
    <w:p w:rsidR="00CE0805" w:rsidRDefault="007320F3" w:rsidP="002B31A2">
      <w:pPr>
        <w:spacing w:after="0"/>
        <w:ind w:left="3200"/>
        <w:jc w:val="both"/>
        <w:rPr>
          <w:sz w:val="24"/>
          <w:szCs w:val="24"/>
        </w:rPr>
      </w:pPr>
      <w:r w:rsidRPr="0069002E">
        <w:rPr>
          <w:sz w:val="24"/>
          <w:szCs w:val="24"/>
        </w:rPr>
        <w:t>Auditor</w:t>
      </w:r>
      <w:r w:rsidR="00D12431">
        <w:rPr>
          <w:sz w:val="24"/>
          <w:szCs w:val="24"/>
        </w:rPr>
        <w:t>es</w:t>
      </w:r>
      <w:r w:rsidR="00B7409F" w:rsidRPr="0069002E">
        <w:rPr>
          <w:sz w:val="24"/>
          <w:szCs w:val="24"/>
        </w:rPr>
        <w:t xml:space="preserve"> Interno</w:t>
      </w:r>
      <w:r w:rsidR="00D12431">
        <w:rPr>
          <w:sz w:val="24"/>
          <w:szCs w:val="24"/>
        </w:rPr>
        <w:t>s</w:t>
      </w:r>
      <w:r w:rsidRPr="0069002E">
        <w:rPr>
          <w:sz w:val="24"/>
          <w:szCs w:val="24"/>
        </w:rPr>
        <w:t>:</w:t>
      </w:r>
      <w:r w:rsidR="004F01A5">
        <w:rPr>
          <w:sz w:val="24"/>
          <w:szCs w:val="24"/>
        </w:rPr>
        <w:t xml:space="preserve"> </w:t>
      </w:r>
      <w:r w:rsidR="00211942">
        <w:rPr>
          <w:sz w:val="24"/>
          <w:szCs w:val="24"/>
        </w:rPr>
        <w:t>Ângela Roberta Esquerdo Gonzaga</w:t>
      </w:r>
    </w:p>
    <w:p w:rsidR="00211942" w:rsidRDefault="00211942" w:rsidP="00211942">
      <w:pPr>
        <w:spacing w:after="0"/>
        <w:ind w:left="49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Eduardo Machado Oliveira</w:t>
      </w:r>
    </w:p>
    <w:p w:rsidR="0077351F" w:rsidRPr="00C81E07" w:rsidRDefault="0077351F" w:rsidP="00C81E07">
      <w:pPr>
        <w:spacing w:line="360" w:lineRule="auto"/>
        <w:jc w:val="both"/>
        <w:rPr>
          <w:b/>
          <w:sz w:val="24"/>
          <w:szCs w:val="24"/>
        </w:rPr>
      </w:pPr>
    </w:p>
    <w:p w:rsidR="00A851C9" w:rsidRPr="00C81E07" w:rsidRDefault="00A851C9" w:rsidP="00C81E07">
      <w:pPr>
        <w:spacing w:line="360" w:lineRule="auto"/>
        <w:jc w:val="both"/>
        <w:rPr>
          <w:b/>
          <w:sz w:val="24"/>
          <w:szCs w:val="24"/>
        </w:rPr>
      </w:pPr>
    </w:p>
    <w:p w:rsidR="00337717" w:rsidRDefault="00337717" w:rsidP="00C81E07">
      <w:pPr>
        <w:spacing w:line="360" w:lineRule="auto"/>
        <w:jc w:val="both"/>
        <w:rPr>
          <w:b/>
          <w:sz w:val="24"/>
          <w:szCs w:val="24"/>
        </w:rPr>
      </w:pPr>
    </w:p>
    <w:p w:rsidR="00C81E07" w:rsidRDefault="00C81E07" w:rsidP="00C81E07">
      <w:pPr>
        <w:spacing w:line="360" w:lineRule="auto"/>
        <w:jc w:val="both"/>
        <w:rPr>
          <w:b/>
          <w:sz w:val="24"/>
          <w:szCs w:val="24"/>
        </w:rPr>
      </w:pPr>
    </w:p>
    <w:p w:rsidR="00C81E07" w:rsidRDefault="00C81E07" w:rsidP="00C81E07">
      <w:pPr>
        <w:spacing w:line="360" w:lineRule="auto"/>
        <w:jc w:val="both"/>
        <w:rPr>
          <w:b/>
          <w:sz w:val="24"/>
          <w:szCs w:val="24"/>
        </w:rPr>
      </w:pPr>
    </w:p>
    <w:p w:rsidR="00F13358" w:rsidRDefault="00F13358" w:rsidP="00C81E07">
      <w:pPr>
        <w:spacing w:line="360" w:lineRule="auto"/>
        <w:jc w:val="both"/>
        <w:rPr>
          <w:b/>
          <w:sz w:val="24"/>
          <w:szCs w:val="24"/>
        </w:rPr>
      </w:pPr>
    </w:p>
    <w:p w:rsidR="00B22345" w:rsidRDefault="00B22345" w:rsidP="00C81E07">
      <w:pPr>
        <w:spacing w:line="360" w:lineRule="auto"/>
        <w:jc w:val="both"/>
        <w:rPr>
          <w:b/>
          <w:sz w:val="24"/>
          <w:szCs w:val="24"/>
        </w:rPr>
      </w:pPr>
    </w:p>
    <w:p w:rsidR="00925097" w:rsidRDefault="00925097" w:rsidP="00C81E07">
      <w:pPr>
        <w:spacing w:line="360" w:lineRule="auto"/>
        <w:jc w:val="both"/>
        <w:rPr>
          <w:b/>
          <w:sz w:val="24"/>
          <w:szCs w:val="24"/>
        </w:rPr>
      </w:pPr>
    </w:p>
    <w:p w:rsidR="00925097" w:rsidRDefault="00925097" w:rsidP="00C81E07">
      <w:pPr>
        <w:spacing w:line="360" w:lineRule="auto"/>
        <w:jc w:val="both"/>
        <w:rPr>
          <w:b/>
          <w:sz w:val="24"/>
          <w:szCs w:val="24"/>
        </w:rPr>
      </w:pPr>
    </w:p>
    <w:p w:rsidR="0077351F" w:rsidRPr="00FD7633" w:rsidRDefault="00DD7D90" w:rsidP="00451876">
      <w:pPr>
        <w:spacing w:after="0"/>
        <w:jc w:val="center"/>
        <w:rPr>
          <w:b/>
          <w:sz w:val="24"/>
          <w:szCs w:val="24"/>
        </w:rPr>
      </w:pPr>
      <w:r w:rsidRPr="00FD7633">
        <w:rPr>
          <w:b/>
          <w:sz w:val="24"/>
          <w:szCs w:val="24"/>
        </w:rPr>
        <w:t>Salvador</w:t>
      </w:r>
      <w:r w:rsidR="0077351F" w:rsidRPr="00FD7633">
        <w:rPr>
          <w:b/>
          <w:sz w:val="24"/>
          <w:szCs w:val="24"/>
        </w:rPr>
        <w:t xml:space="preserve"> - </w:t>
      </w:r>
      <w:r w:rsidR="001B54E1" w:rsidRPr="00FD7633">
        <w:rPr>
          <w:b/>
          <w:sz w:val="24"/>
          <w:szCs w:val="24"/>
        </w:rPr>
        <w:t>BA</w:t>
      </w:r>
    </w:p>
    <w:p w:rsidR="00B95D7B" w:rsidRPr="00451876" w:rsidRDefault="00173C18" w:rsidP="00451876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Novembro</w:t>
      </w:r>
      <w:r w:rsidR="00914D3A" w:rsidRPr="00FD7633">
        <w:rPr>
          <w:b/>
          <w:sz w:val="24"/>
          <w:szCs w:val="24"/>
        </w:rPr>
        <w:t>/201</w:t>
      </w:r>
      <w:r w:rsidR="007E21BD" w:rsidRPr="00FD7633">
        <w:rPr>
          <w:b/>
          <w:sz w:val="24"/>
          <w:szCs w:val="24"/>
        </w:rPr>
        <w:t>6</w:t>
      </w:r>
    </w:p>
    <w:p w:rsidR="00C81E07" w:rsidRDefault="00C81E07" w:rsidP="00C81E07">
      <w:pPr>
        <w:spacing w:line="360" w:lineRule="auto"/>
        <w:jc w:val="both"/>
        <w:rPr>
          <w:rFonts w:cs="Arial"/>
          <w:sz w:val="24"/>
          <w:szCs w:val="24"/>
        </w:rPr>
      </w:pPr>
    </w:p>
    <w:p w:rsidR="00AE371B" w:rsidRDefault="00AE371B" w:rsidP="00C16169">
      <w:pPr>
        <w:pStyle w:val="CabealhodoSumrio1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103D34">
        <w:rPr>
          <w:rFonts w:ascii="Times New Roman" w:hAnsi="Times New Roman"/>
          <w:caps/>
          <w:color w:val="auto"/>
          <w:sz w:val="24"/>
          <w:szCs w:val="24"/>
        </w:rPr>
        <w:lastRenderedPageBreak/>
        <w:t>Sumário</w:t>
      </w:r>
    </w:p>
    <w:p w:rsidR="00AE371B" w:rsidRPr="00C81E07" w:rsidRDefault="00AE371B" w:rsidP="00C81E07">
      <w:pPr>
        <w:spacing w:line="360" w:lineRule="auto"/>
        <w:jc w:val="both"/>
        <w:rPr>
          <w:rFonts w:cs="Arial"/>
          <w:sz w:val="24"/>
          <w:szCs w:val="24"/>
        </w:rPr>
      </w:pPr>
    </w:p>
    <w:p w:rsidR="00AE371B" w:rsidRPr="00C81E07" w:rsidRDefault="00AE371B" w:rsidP="00C81E07">
      <w:pPr>
        <w:spacing w:line="360" w:lineRule="auto"/>
        <w:jc w:val="both"/>
        <w:rPr>
          <w:rFonts w:cs="Arial"/>
          <w:sz w:val="24"/>
          <w:szCs w:val="24"/>
        </w:rPr>
      </w:pPr>
    </w:p>
    <w:p w:rsidR="00AE371B" w:rsidRPr="00C81E07" w:rsidRDefault="00AE371B" w:rsidP="00C81E07">
      <w:pPr>
        <w:spacing w:line="360" w:lineRule="auto"/>
        <w:jc w:val="both"/>
        <w:rPr>
          <w:rFonts w:cs="Arial"/>
          <w:sz w:val="24"/>
          <w:szCs w:val="24"/>
        </w:rPr>
      </w:pPr>
    </w:p>
    <w:p w:rsidR="00AE371B" w:rsidRPr="00712967" w:rsidRDefault="00D35FF8" w:rsidP="00B657D9">
      <w:pPr>
        <w:pStyle w:val="Sumrio1"/>
        <w:rPr>
          <w:rFonts w:ascii="Calibri" w:hAnsi="Calibri"/>
          <w:sz w:val="22"/>
          <w:szCs w:val="22"/>
        </w:rPr>
      </w:pPr>
      <w:r w:rsidRPr="00712967">
        <w:fldChar w:fldCharType="begin"/>
      </w:r>
      <w:r w:rsidR="00AE371B" w:rsidRPr="00712967">
        <w:instrText xml:space="preserve"> TOC \o "1-3" \h \z \u </w:instrText>
      </w:r>
      <w:r w:rsidRPr="00712967">
        <w:fldChar w:fldCharType="separate"/>
      </w:r>
      <w:hyperlink w:anchor="_Toc396482381" w:history="1">
        <w:r w:rsidR="00FD55D3">
          <w:rPr>
            <w:rStyle w:val="Hyperlink"/>
          </w:rPr>
          <w:t>1</w:t>
        </w:r>
        <w:r w:rsidR="00D86D75" w:rsidRPr="00712967">
          <w:rPr>
            <w:rStyle w:val="Hyperlink"/>
          </w:rPr>
          <w:t>.</w:t>
        </w:r>
        <w:r w:rsidR="00AE371B" w:rsidRPr="00712967">
          <w:rPr>
            <w:rFonts w:ascii="Calibri" w:hAnsi="Calibri"/>
            <w:sz w:val="22"/>
            <w:szCs w:val="22"/>
          </w:rPr>
          <w:tab/>
        </w:r>
        <w:r w:rsidR="00AE371B" w:rsidRPr="00712967">
          <w:rPr>
            <w:rStyle w:val="Hyperlink"/>
          </w:rPr>
          <w:t>INTRODUÇÃO.............................................................................................</w:t>
        </w:r>
        <w:r w:rsidR="00B657D9">
          <w:rPr>
            <w:rStyle w:val="Hyperlink"/>
          </w:rPr>
          <w:t>.</w:t>
        </w:r>
        <w:r w:rsidR="006D6026">
          <w:rPr>
            <w:rStyle w:val="Hyperlink"/>
          </w:rPr>
          <w:t>.</w:t>
        </w:r>
        <w:r w:rsidR="00B657D9">
          <w:rPr>
            <w:rStyle w:val="Hyperlink"/>
          </w:rPr>
          <w:t>...</w:t>
        </w:r>
        <w:r w:rsidR="00AE371B" w:rsidRPr="00712967">
          <w:rPr>
            <w:rStyle w:val="Hyperlink"/>
          </w:rPr>
          <w:t>.......</w:t>
        </w:r>
      </w:hyperlink>
      <w:r w:rsidR="00AE5620">
        <w:t>4</w:t>
      </w:r>
    </w:p>
    <w:p w:rsidR="00AE371B" w:rsidRPr="00712967" w:rsidRDefault="001C0242" w:rsidP="00B657D9">
      <w:pPr>
        <w:pStyle w:val="Sumrio1"/>
        <w:rPr>
          <w:rFonts w:ascii="Calibri" w:hAnsi="Calibri"/>
          <w:sz w:val="22"/>
          <w:szCs w:val="22"/>
        </w:rPr>
      </w:pPr>
      <w:hyperlink w:anchor="_Toc396482382" w:history="1">
        <w:r w:rsidR="00FD55D3">
          <w:rPr>
            <w:rStyle w:val="Hyperlink"/>
          </w:rPr>
          <w:t>2</w:t>
        </w:r>
        <w:r w:rsidR="008D7B53" w:rsidRPr="00712967">
          <w:rPr>
            <w:rStyle w:val="Hyperlink"/>
          </w:rPr>
          <w:t>.</w:t>
        </w:r>
        <w:r w:rsidR="00AE371B" w:rsidRPr="00712967">
          <w:rPr>
            <w:rFonts w:ascii="Calibri" w:hAnsi="Calibri"/>
            <w:sz w:val="22"/>
            <w:szCs w:val="22"/>
          </w:rPr>
          <w:tab/>
        </w:r>
        <w:r w:rsidR="00AE371B" w:rsidRPr="00712967">
          <w:rPr>
            <w:rStyle w:val="Hyperlink"/>
          </w:rPr>
          <w:t xml:space="preserve">ACHADOS </w:t>
        </w:r>
        <w:r w:rsidR="00FF0A59">
          <w:rPr>
            <w:rStyle w:val="Hyperlink"/>
          </w:rPr>
          <w:t xml:space="preserve">DA </w:t>
        </w:r>
        <w:r w:rsidR="00AE5620">
          <w:rPr>
            <w:rStyle w:val="Hyperlink"/>
          </w:rPr>
          <w:t>INSPE</w:t>
        </w:r>
        <w:r w:rsidR="00FF0A59">
          <w:rPr>
            <w:rStyle w:val="Hyperlink"/>
          </w:rPr>
          <w:t>ÇÃO</w:t>
        </w:r>
        <w:r w:rsidR="00B657D9">
          <w:rPr>
            <w:webHidden/>
          </w:rPr>
          <w:t>....................................................</w:t>
        </w:r>
        <w:r w:rsidR="00AE371B" w:rsidRPr="00712967">
          <w:rPr>
            <w:webHidden/>
          </w:rPr>
          <w:t>.</w:t>
        </w:r>
        <w:r w:rsidR="0076124D" w:rsidRPr="00712967">
          <w:rPr>
            <w:webHidden/>
          </w:rPr>
          <w:t>....</w:t>
        </w:r>
        <w:r w:rsidR="00AE371B" w:rsidRPr="00712967">
          <w:rPr>
            <w:webHidden/>
          </w:rPr>
          <w:t>....................</w:t>
        </w:r>
      </w:hyperlink>
      <w:r w:rsidR="007D3F1A">
        <w:t>........</w:t>
      </w:r>
      <w:r w:rsidR="00AE5620">
        <w:t>6</w:t>
      </w:r>
    </w:p>
    <w:p w:rsidR="00AE371B" w:rsidRDefault="001C0242" w:rsidP="00B657D9">
      <w:pPr>
        <w:pStyle w:val="Sumrio1"/>
      </w:pPr>
      <w:hyperlink w:anchor="_Toc396482383" w:history="1">
        <w:r w:rsidR="00FD55D3">
          <w:rPr>
            <w:rStyle w:val="Hyperlink"/>
          </w:rPr>
          <w:t>3</w:t>
        </w:r>
        <w:r w:rsidR="008D7B53" w:rsidRPr="00712967">
          <w:rPr>
            <w:rStyle w:val="Hyperlink"/>
          </w:rPr>
          <w:t>.</w:t>
        </w:r>
        <w:r w:rsidR="00AE371B" w:rsidRPr="00712967">
          <w:rPr>
            <w:rFonts w:ascii="Calibri" w:hAnsi="Calibri"/>
            <w:sz w:val="22"/>
            <w:szCs w:val="22"/>
          </w:rPr>
          <w:tab/>
        </w:r>
        <w:r w:rsidR="00AE371B" w:rsidRPr="00712967">
          <w:rPr>
            <w:rStyle w:val="Hyperlink"/>
          </w:rPr>
          <w:t>CONCLUSÃO</w:t>
        </w:r>
        <w:r w:rsidR="00B657D9">
          <w:rPr>
            <w:webHidden/>
          </w:rPr>
          <w:t>......................................................................................................</w:t>
        </w:r>
        <w:r w:rsidR="0076124D" w:rsidRPr="00712967">
          <w:rPr>
            <w:webHidden/>
          </w:rPr>
          <w:t>...</w:t>
        </w:r>
        <w:r w:rsidR="00AE371B" w:rsidRPr="00712967">
          <w:t>.</w:t>
        </w:r>
      </w:hyperlink>
      <w:r w:rsidR="00AE5620">
        <w:t>11</w:t>
      </w:r>
    </w:p>
    <w:p w:rsidR="00BB3EFB" w:rsidRPr="00861C03" w:rsidRDefault="00FD55D3" w:rsidP="00B657D9">
      <w:pPr>
        <w:tabs>
          <w:tab w:val="left" w:pos="426"/>
          <w:tab w:val="right" w:leader="dot" w:pos="8494"/>
        </w:tabs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AE5620">
        <w:rPr>
          <w:sz w:val="24"/>
          <w:szCs w:val="24"/>
        </w:rPr>
        <w:t>PROPOSTAS DE ENCAMINHAMENTO</w:t>
      </w:r>
      <w:r w:rsidR="00BB3EFB" w:rsidRPr="00861C03">
        <w:rPr>
          <w:sz w:val="24"/>
          <w:szCs w:val="24"/>
        </w:rPr>
        <w:t>........................</w:t>
      </w:r>
      <w:r w:rsidR="006D6026">
        <w:rPr>
          <w:sz w:val="24"/>
          <w:szCs w:val="24"/>
        </w:rPr>
        <w:t>..</w:t>
      </w:r>
      <w:r w:rsidR="00BB3EFB" w:rsidRPr="00861C03">
        <w:rPr>
          <w:sz w:val="24"/>
          <w:szCs w:val="24"/>
        </w:rPr>
        <w:t>.....</w:t>
      </w:r>
      <w:r w:rsidR="00B657D9">
        <w:rPr>
          <w:sz w:val="24"/>
          <w:szCs w:val="24"/>
        </w:rPr>
        <w:t>...........................</w:t>
      </w:r>
      <w:r w:rsidR="00390197" w:rsidRPr="00861C03">
        <w:rPr>
          <w:sz w:val="24"/>
          <w:szCs w:val="24"/>
        </w:rPr>
        <w:t>...</w:t>
      </w:r>
      <w:r w:rsidR="00BB3EFB" w:rsidRPr="00861C03">
        <w:rPr>
          <w:sz w:val="24"/>
          <w:szCs w:val="24"/>
        </w:rPr>
        <w:t>.</w:t>
      </w:r>
      <w:r w:rsidR="00892BB5">
        <w:rPr>
          <w:sz w:val="24"/>
          <w:szCs w:val="24"/>
        </w:rPr>
        <w:t>1</w:t>
      </w:r>
      <w:r w:rsidR="006D6026">
        <w:rPr>
          <w:sz w:val="24"/>
          <w:szCs w:val="24"/>
        </w:rPr>
        <w:t>3</w:t>
      </w:r>
    </w:p>
    <w:p w:rsidR="00AE371B" w:rsidRDefault="00D35FF8" w:rsidP="00B657D9">
      <w:pPr>
        <w:tabs>
          <w:tab w:val="right" w:leader="dot" w:pos="8494"/>
        </w:tabs>
        <w:spacing w:line="360" w:lineRule="auto"/>
        <w:jc w:val="both"/>
      </w:pPr>
      <w:r w:rsidRPr="00712967">
        <w:fldChar w:fldCharType="end"/>
      </w:r>
    </w:p>
    <w:p w:rsidR="00E04678" w:rsidRPr="00C81E07" w:rsidRDefault="00E04678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69002E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69002E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69002E" w:rsidRDefault="006F72EA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52BE1" w:rsidRPr="0069002E" w:rsidRDefault="00052B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075FC" w:rsidRPr="0069002E" w:rsidRDefault="000075FC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075FC" w:rsidRPr="0069002E" w:rsidRDefault="000075FC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69002E" w:rsidRDefault="001B54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69002E" w:rsidRDefault="001B54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69002E" w:rsidRDefault="001B54E1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B7409F" w:rsidRDefault="00B7409F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377570" w:rsidRDefault="00377570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F0F09" w:rsidRDefault="000F0F09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0F0F09" w:rsidRDefault="000F0F09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3E6556" w:rsidRDefault="003E6556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3E6556" w:rsidRDefault="003E6556" w:rsidP="00EE4440">
      <w:pPr>
        <w:spacing w:line="360" w:lineRule="auto"/>
        <w:jc w:val="both"/>
        <w:rPr>
          <w:rFonts w:cs="Arial"/>
          <w:sz w:val="24"/>
          <w:szCs w:val="24"/>
        </w:rPr>
      </w:pPr>
    </w:p>
    <w:p w:rsidR="00AE5F84" w:rsidRDefault="00793BFC" w:rsidP="006B5E49">
      <w:pPr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1</w:t>
      </w:r>
      <w:r w:rsidR="009C1E05" w:rsidRPr="0069002E">
        <w:rPr>
          <w:rFonts w:cs="Arial"/>
          <w:b/>
          <w:sz w:val="24"/>
          <w:szCs w:val="24"/>
        </w:rPr>
        <w:t>.</w:t>
      </w:r>
      <w:r w:rsidR="00B7409F" w:rsidRPr="0069002E">
        <w:rPr>
          <w:rFonts w:cs="Arial"/>
          <w:b/>
          <w:sz w:val="24"/>
          <w:szCs w:val="24"/>
        </w:rPr>
        <w:t xml:space="preserve"> </w:t>
      </w:r>
      <w:r w:rsidR="003506AB" w:rsidRPr="0069002E">
        <w:rPr>
          <w:rFonts w:cs="Arial"/>
          <w:b/>
          <w:sz w:val="24"/>
          <w:szCs w:val="24"/>
        </w:rPr>
        <w:t>I</w:t>
      </w:r>
      <w:r w:rsidR="006F72EA" w:rsidRPr="0069002E">
        <w:rPr>
          <w:rFonts w:cs="Arial"/>
          <w:b/>
          <w:sz w:val="24"/>
          <w:szCs w:val="24"/>
        </w:rPr>
        <w:t>NTRODUÇÃO</w:t>
      </w:r>
    </w:p>
    <w:p w:rsidR="00BD0DAC" w:rsidRPr="0069002E" w:rsidRDefault="00BD0DAC" w:rsidP="002A2AC1">
      <w:pPr>
        <w:jc w:val="both"/>
        <w:rPr>
          <w:rFonts w:cs="Arial"/>
          <w:b/>
          <w:sz w:val="24"/>
          <w:szCs w:val="24"/>
        </w:rPr>
      </w:pPr>
    </w:p>
    <w:p w:rsidR="00106862" w:rsidRPr="00106862" w:rsidRDefault="00A424DC" w:rsidP="008939E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1.1 </w:t>
      </w:r>
      <w:r w:rsidR="00106862" w:rsidRPr="00106862">
        <w:rPr>
          <w:rFonts w:cs="Arial"/>
          <w:sz w:val="24"/>
          <w:szCs w:val="24"/>
        </w:rPr>
        <w:t xml:space="preserve">A Secretaria de Controle Interno e Auditoria (SCI), por intermédio da Seção de Acompanhamento e Orientação da Gestão (SEAGES), vinculada à Coordenadoria de Auditoria, Acompanhamento e Orientação da Gestão (COGES), </w:t>
      </w:r>
      <w:proofErr w:type="gramStart"/>
      <w:r w:rsidR="00106862" w:rsidRPr="00106862">
        <w:rPr>
          <w:rFonts w:cs="Arial"/>
          <w:sz w:val="24"/>
          <w:szCs w:val="24"/>
        </w:rPr>
        <w:t>realizou</w:t>
      </w:r>
      <w:proofErr w:type="gramEnd"/>
      <w:r w:rsidR="00106862" w:rsidRPr="00106862">
        <w:rPr>
          <w:rFonts w:cs="Arial"/>
          <w:sz w:val="24"/>
          <w:szCs w:val="24"/>
        </w:rPr>
        <w:t xml:space="preserve">, no período compreendido entre 13 de maio e </w:t>
      </w:r>
      <w:r w:rsidR="007D2B5B">
        <w:rPr>
          <w:rFonts w:cs="Arial"/>
          <w:sz w:val="24"/>
          <w:szCs w:val="24"/>
        </w:rPr>
        <w:t>30</w:t>
      </w:r>
      <w:r w:rsidR="00106862" w:rsidRPr="00106862">
        <w:rPr>
          <w:rFonts w:cs="Arial"/>
          <w:sz w:val="24"/>
          <w:szCs w:val="24"/>
        </w:rPr>
        <w:t xml:space="preserve"> de </w:t>
      </w:r>
      <w:r w:rsidR="007D2B5B">
        <w:rPr>
          <w:rFonts w:cs="Arial"/>
          <w:sz w:val="24"/>
          <w:szCs w:val="24"/>
        </w:rPr>
        <w:t>julho</w:t>
      </w:r>
      <w:r w:rsidR="00106862" w:rsidRPr="00106862">
        <w:rPr>
          <w:rFonts w:cs="Arial"/>
          <w:sz w:val="24"/>
          <w:szCs w:val="24"/>
        </w:rPr>
        <w:t xml:space="preserve"> do ano em curso, inspeção na contratação do contêiner Data Center e serviços correlatos – Contrato n. 161/2014 – com o objetivo de </w:t>
      </w:r>
      <w:r w:rsidR="00F21594">
        <w:rPr>
          <w:rFonts w:cs="Arial"/>
          <w:sz w:val="24"/>
          <w:szCs w:val="24"/>
        </w:rPr>
        <w:t>avaliar</w:t>
      </w:r>
      <w:r w:rsidR="00106862" w:rsidRPr="00106862">
        <w:rPr>
          <w:rFonts w:cs="Arial"/>
          <w:sz w:val="24"/>
          <w:szCs w:val="24"/>
        </w:rPr>
        <w:t xml:space="preserve"> a existência ou não de irregularidade, em face dos normativos vigentes aplicáveis e disposições contratuais. </w:t>
      </w:r>
    </w:p>
    <w:p w:rsidR="00106862" w:rsidRPr="00106862" w:rsidRDefault="00106862" w:rsidP="0010686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1.2 </w:t>
      </w:r>
      <w:r w:rsidRPr="00106862">
        <w:rPr>
          <w:rFonts w:cs="Arial"/>
          <w:sz w:val="24"/>
          <w:szCs w:val="24"/>
        </w:rPr>
        <w:t>O referido procedimento investigativo decorreu de determinação da Presidência desta Casa nos autos do Processo Administrativo Digital (PAD) n. 5.920/2016 e constituiu objeto do Comunicado de Inspeção n. 01/2016/SEAGES/COGES/SCI</w:t>
      </w:r>
      <w:r w:rsidR="001D0169" w:rsidRPr="001D0169">
        <w:rPr>
          <w:rFonts w:cs="Arial"/>
          <w:sz w:val="24"/>
          <w:szCs w:val="24"/>
        </w:rPr>
        <w:t xml:space="preserve"> </w:t>
      </w:r>
      <w:r w:rsidR="001D0169">
        <w:rPr>
          <w:rFonts w:cs="Arial"/>
          <w:sz w:val="24"/>
          <w:szCs w:val="24"/>
        </w:rPr>
        <w:t>(Doc. n. 83.119/2016 do PAD n. 6.822/2016)</w:t>
      </w:r>
      <w:r w:rsidRPr="00106862">
        <w:rPr>
          <w:rFonts w:cs="Arial"/>
          <w:sz w:val="24"/>
          <w:szCs w:val="24"/>
        </w:rPr>
        <w:t>.</w:t>
      </w:r>
    </w:p>
    <w:p w:rsidR="00106862" w:rsidRPr="00F03CDD" w:rsidRDefault="00106862" w:rsidP="00106862">
      <w:pPr>
        <w:jc w:val="both"/>
        <w:rPr>
          <w:rFonts w:cs="Arial"/>
          <w:sz w:val="24"/>
          <w:szCs w:val="24"/>
        </w:rPr>
      </w:pPr>
      <w:r w:rsidRPr="00F03CDD">
        <w:rPr>
          <w:rFonts w:cs="Arial"/>
          <w:sz w:val="24"/>
          <w:szCs w:val="24"/>
        </w:rPr>
        <w:t>1.3 A condução e fundamentação dos trabalhos firmaram-se na Resolução</w:t>
      </w:r>
      <w:r w:rsidR="0069032C" w:rsidRPr="00F03CDD">
        <w:rPr>
          <w:rFonts w:cs="Arial"/>
          <w:sz w:val="24"/>
          <w:szCs w:val="24"/>
        </w:rPr>
        <w:t xml:space="preserve"> </w:t>
      </w:r>
      <w:r w:rsidR="0033328C" w:rsidRPr="00F03CDD">
        <w:rPr>
          <w:rFonts w:cs="Arial"/>
          <w:sz w:val="24"/>
          <w:szCs w:val="24"/>
        </w:rPr>
        <w:t>do Conselho Nacional de Justiça (</w:t>
      </w:r>
      <w:r w:rsidRPr="00F03CDD">
        <w:rPr>
          <w:rFonts w:cs="Arial"/>
          <w:sz w:val="24"/>
          <w:szCs w:val="24"/>
        </w:rPr>
        <w:t>CNJ</w:t>
      </w:r>
      <w:r w:rsidR="0033328C" w:rsidRPr="00F03CDD">
        <w:rPr>
          <w:rFonts w:cs="Arial"/>
          <w:sz w:val="24"/>
          <w:szCs w:val="24"/>
        </w:rPr>
        <w:t>)</w:t>
      </w:r>
      <w:r w:rsidRPr="00F03CDD">
        <w:rPr>
          <w:rFonts w:cs="Arial"/>
          <w:sz w:val="24"/>
          <w:szCs w:val="24"/>
        </w:rPr>
        <w:t xml:space="preserve"> n</w:t>
      </w:r>
      <w:r w:rsidR="00F03CDD" w:rsidRPr="00F03CDD">
        <w:rPr>
          <w:rFonts w:cs="Arial"/>
          <w:sz w:val="24"/>
          <w:szCs w:val="24"/>
        </w:rPr>
        <w:t>.</w:t>
      </w:r>
      <w:r w:rsidRPr="00F03CDD">
        <w:rPr>
          <w:rFonts w:cs="Arial"/>
          <w:sz w:val="24"/>
          <w:szCs w:val="24"/>
        </w:rPr>
        <w:t xml:space="preserve"> 171</w:t>
      </w:r>
      <w:r w:rsidR="00F03CDD" w:rsidRPr="00F03CDD">
        <w:rPr>
          <w:rFonts w:cs="Arial"/>
          <w:sz w:val="24"/>
          <w:szCs w:val="24"/>
        </w:rPr>
        <w:t>/2013</w:t>
      </w:r>
      <w:r w:rsidR="00A9571E">
        <w:rPr>
          <w:rStyle w:val="Refdenotaderodap"/>
          <w:rFonts w:cs="Arial"/>
          <w:sz w:val="24"/>
          <w:szCs w:val="24"/>
        </w:rPr>
        <w:footnoteReference w:id="1"/>
      </w:r>
      <w:r w:rsidR="00F03CDD" w:rsidRPr="00F03CDD">
        <w:rPr>
          <w:rFonts w:cs="Arial"/>
          <w:sz w:val="24"/>
          <w:szCs w:val="24"/>
        </w:rPr>
        <w:t>,</w:t>
      </w:r>
      <w:r w:rsidRPr="00F03CDD">
        <w:rPr>
          <w:rFonts w:cs="Arial"/>
          <w:sz w:val="24"/>
          <w:szCs w:val="24"/>
        </w:rPr>
        <w:t xml:space="preserve"> nas Normas de Auditoria do Tribunal de Contas da União (TCU), </w:t>
      </w:r>
      <w:r w:rsidR="0010312A" w:rsidRPr="00F03CDD">
        <w:rPr>
          <w:rFonts w:cs="Arial"/>
          <w:sz w:val="24"/>
          <w:szCs w:val="24"/>
        </w:rPr>
        <w:t>na Resolução TRE-BA n. 06</w:t>
      </w:r>
      <w:r w:rsidR="00F03CDD" w:rsidRPr="00F03CDD">
        <w:rPr>
          <w:rFonts w:cs="Arial"/>
          <w:sz w:val="24"/>
          <w:szCs w:val="24"/>
        </w:rPr>
        <w:t>/</w:t>
      </w:r>
      <w:r w:rsidR="0010312A" w:rsidRPr="00F03CDD">
        <w:rPr>
          <w:rFonts w:cs="Arial"/>
          <w:sz w:val="24"/>
          <w:szCs w:val="24"/>
        </w:rPr>
        <w:t>2015</w:t>
      </w:r>
      <w:r w:rsidR="00A627CE">
        <w:rPr>
          <w:rStyle w:val="Refdenotaderodap"/>
          <w:rFonts w:cs="Arial"/>
          <w:sz w:val="24"/>
          <w:szCs w:val="24"/>
        </w:rPr>
        <w:footnoteReference w:id="2"/>
      </w:r>
      <w:r w:rsidR="0010312A" w:rsidRPr="00F03CDD">
        <w:rPr>
          <w:rFonts w:cs="Arial"/>
          <w:sz w:val="24"/>
          <w:szCs w:val="24"/>
        </w:rPr>
        <w:t xml:space="preserve"> </w:t>
      </w:r>
      <w:r w:rsidRPr="00F03CDD">
        <w:rPr>
          <w:rFonts w:cs="Arial"/>
          <w:sz w:val="24"/>
          <w:szCs w:val="24"/>
        </w:rPr>
        <w:t>e na Lei n.</w:t>
      </w:r>
      <w:r w:rsidR="00F83353" w:rsidRPr="00F03CDD">
        <w:rPr>
          <w:rFonts w:cs="Arial"/>
          <w:sz w:val="24"/>
          <w:szCs w:val="24"/>
        </w:rPr>
        <w:t xml:space="preserve"> 8.666</w:t>
      </w:r>
      <w:r w:rsidR="00F03CDD" w:rsidRPr="00F03CDD">
        <w:rPr>
          <w:rFonts w:cs="Arial"/>
          <w:sz w:val="24"/>
          <w:szCs w:val="24"/>
        </w:rPr>
        <w:t>/</w:t>
      </w:r>
      <w:r w:rsidR="00F83353" w:rsidRPr="00F03CDD">
        <w:rPr>
          <w:rFonts w:cs="Arial"/>
          <w:sz w:val="24"/>
          <w:szCs w:val="24"/>
        </w:rPr>
        <w:t>1993</w:t>
      </w:r>
      <w:r w:rsidR="00A627CE">
        <w:rPr>
          <w:rStyle w:val="Refdenotaderodap"/>
          <w:rFonts w:cs="Arial"/>
          <w:sz w:val="24"/>
          <w:szCs w:val="24"/>
        </w:rPr>
        <w:footnoteReference w:id="3"/>
      </w:r>
      <w:r w:rsidR="00F83353" w:rsidRPr="00F03CDD">
        <w:rPr>
          <w:rFonts w:cs="Arial"/>
          <w:sz w:val="24"/>
          <w:szCs w:val="24"/>
        </w:rPr>
        <w:t>.</w:t>
      </w:r>
    </w:p>
    <w:p w:rsidR="00473798" w:rsidRPr="00AB5441" w:rsidRDefault="00D13431" w:rsidP="002A2AC1">
      <w:pPr>
        <w:jc w:val="both"/>
        <w:rPr>
          <w:rFonts w:cs="Arial"/>
          <w:sz w:val="24"/>
          <w:szCs w:val="24"/>
        </w:rPr>
      </w:pPr>
      <w:r w:rsidRPr="00AB5441">
        <w:rPr>
          <w:rFonts w:cs="Arial"/>
          <w:sz w:val="24"/>
          <w:szCs w:val="24"/>
        </w:rPr>
        <w:t>1.4 Além das normas referidas</w:t>
      </w:r>
      <w:proofErr w:type="gramStart"/>
      <w:r w:rsidRPr="00AB5441">
        <w:rPr>
          <w:rFonts w:cs="Arial"/>
          <w:sz w:val="24"/>
          <w:szCs w:val="24"/>
        </w:rPr>
        <w:t>, utilizou-se</w:t>
      </w:r>
      <w:proofErr w:type="gramEnd"/>
      <w:r w:rsidRPr="00AB5441">
        <w:rPr>
          <w:rFonts w:cs="Arial"/>
          <w:sz w:val="24"/>
          <w:szCs w:val="24"/>
        </w:rPr>
        <w:t xml:space="preserve"> como </w:t>
      </w:r>
      <w:r w:rsidR="00B52C63" w:rsidRPr="00AB5441">
        <w:rPr>
          <w:rFonts w:cs="Arial"/>
          <w:sz w:val="24"/>
          <w:szCs w:val="24"/>
        </w:rPr>
        <w:t>fonte de informações</w:t>
      </w:r>
      <w:r w:rsidRPr="00AB5441">
        <w:rPr>
          <w:rFonts w:cs="Arial"/>
          <w:sz w:val="24"/>
          <w:szCs w:val="24"/>
        </w:rPr>
        <w:t xml:space="preserve"> ao longo do desenvolvimento dos trabalhos, a</w:t>
      </w:r>
      <w:r w:rsidR="00106862" w:rsidRPr="00AB5441">
        <w:rPr>
          <w:rFonts w:cs="Arial"/>
          <w:sz w:val="24"/>
          <w:szCs w:val="24"/>
        </w:rPr>
        <w:t>s Resoluções do C</w:t>
      </w:r>
      <w:r w:rsidR="00747B29" w:rsidRPr="00AB5441">
        <w:rPr>
          <w:rFonts w:cs="Arial"/>
          <w:sz w:val="24"/>
          <w:szCs w:val="24"/>
        </w:rPr>
        <w:t xml:space="preserve">onselho </w:t>
      </w:r>
      <w:r w:rsidR="00106862" w:rsidRPr="00AB5441">
        <w:rPr>
          <w:rFonts w:cs="Arial"/>
          <w:sz w:val="24"/>
          <w:szCs w:val="24"/>
        </w:rPr>
        <w:t>N</w:t>
      </w:r>
      <w:r w:rsidR="00747B29" w:rsidRPr="00AB5441">
        <w:rPr>
          <w:rFonts w:cs="Arial"/>
          <w:sz w:val="24"/>
          <w:szCs w:val="24"/>
        </w:rPr>
        <w:t xml:space="preserve">acional de </w:t>
      </w:r>
      <w:r w:rsidR="00106862" w:rsidRPr="00AB5441">
        <w:rPr>
          <w:rFonts w:cs="Arial"/>
          <w:sz w:val="24"/>
          <w:szCs w:val="24"/>
        </w:rPr>
        <w:t>J</w:t>
      </w:r>
      <w:r w:rsidR="00747B29" w:rsidRPr="00AB5441">
        <w:rPr>
          <w:rFonts w:cs="Arial"/>
          <w:sz w:val="24"/>
          <w:szCs w:val="24"/>
        </w:rPr>
        <w:t>ustiça</w:t>
      </w:r>
      <w:r w:rsidR="00106862" w:rsidRPr="00AB5441">
        <w:rPr>
          <w:rFonts w:cs="Arial"/>
          <w:sz w:val="24"/>
          <w:szCs w:val="24"/>
        </w:rPr>
        <w:t xml:space="preserve"> n. </w:t>
      </w:r>
      <w:r w:rsidR="00EE1DD2" w:rsidRPr="00AB5441">
        <w:rPr>
          <w:rFonts w:cs="Arial"/>
          <w:sz w:val="24"/>
          <w:szCs w:val="24"/>
        </w:rPr>
        <w:t>90</w:t>
      </w:r>
      <w:r w:rsidR="004A222F" w:rsidRPr="00AB5441">
        <w:rPr>
          <w:rStyle w:val="Refdenotaderodap"/>
          <w:rFonts w:cs="Arial"/>
          <w:sz w:val="24"/>
          <w:szCs w:val="24"/>
        </w:rPr>
        <w:footnoteReference w:id="4"/>
      </w:r>
      <w:r w:rsidR="00B52C63" w:rsidRPr="00AB5441">
        <w:rPr>
          <w:rFonts w:cs="Arial"/>
          <w:sz w:val="24"/>
          <w:szCs w:val="24"/>
        </w:rPr>
        <w:t xml:space="preserve"> e </w:t>
      </w:r>
      <w:r w:rsidR="00EE1DD2" w:rsidRPr="00AB5441">
        <w:rPr>
          <w:rFonts w:cs="Arial"/>
          <w:sz w:val="24"/>
          <w:szCs w:val="24"/>
        </w:rPr>
        <w:t>99</w:t>
      </w:r>
      <w:r w:rsidR="00747B29" w:rsidRPr="00AB5441">
        <w:rPr>
          <w:rFonts w:cs="Arial"/>
          <w:sz w:val="24"/>
          <w:szCs w:val="24"/>
        </w:rPr>
        <w:t>/</w:t>
      </w:r>
      <w:r w:rsidR="00EE1DD2" w:rsidRPr="00AB5441">
        <w:rPr>
          <w:rFonts w:cs="Arial"/>
          <w:sz w:val="24"/>
          <w:szCs w:val="24"/>
        </w:rPr>
        <w:t>2009</w:t>
      </w:r>
      <w:r w:rsidR="004A222F" w:rsidRPr="00AB5441">
        <w:rPr>
          <w:rStyle w:val="Refdenotaderodap"/>
          <w:rFonts w:cs="Arial"/>
          <w:sz w:val="24"/>
          <w:szCs w:val="24"/>
        </w:rPr>
        <w:footnoteReference w:id="5"/>
      </w:r>
      <w:r w:rsidR="00747B29" w:rsidRPr="00AB5441">
        <w:rPr>
          <w:rFonts w:cs="Arial"/>
          <w:sz w:val="24"/>
          <w:szCs w:val="24"/>
        </w:rPr>
        <w:t xml:space="preserve"> e</w:t>
      </w:r>
      <w:r w:rsidR="00EE1DD2" w:rsidRPr="00AB5441">
        <w:rPr>
          <w:rFonts w:cs="Arial"/>
          <w:sz w:val="24"/>
          <w:szCs w:val="24"/>
        </w:rPr>
        <w:t xml:space="preserve"> 182</w:t>
      </w:r>
      <w:r w:rsidR="00747B29" w:rsidRPr="00AB5441">
        <w:rPr>
          <w:rFonts w:cs="Arial"/>
          <w:sz w:val="24"/>
          <w:szCs w:val="24"/>
        </w:rPr>
        <w:t>/</w:t>
      </w:r>
      <w:r w:rsidR="00EE1DD2" w:rsidRPr="00AB5441">
        <w:rPr>
          <w:rFonts w:cs="Arial"/>
          <w:sz w:val="24"/>
          <w:szCs w:val="24"/>
        </w:rPr>
        <w:t>2013</w:t>
      </w:r>
      <w:r w:rsidR="004A222F" w:rsidRPr="00AB5441">
        <w:rPr>
          <w:rStyle w:val="Refdenotaderodap"/>
          <w:rFonts w:cs="Arial"/>
          <w:sz w:val="24"/>
          <w:szCs w:val="24"/>
        </w:rPr>
        <w:footnoteReference w:id="6"/>
      </w:r>
      <w:r w:rsidR="004A222F" w:rsidRPr="00AB5441">
        <w:rPr>
          <w:rFonts w:cs="Arial"/>
          <w:sz w:val="24"/>
          <w:szCs w:val="24"/>
        </w:rPr>
        <w:t>,</w:t>
      </w:r>
      <w:r w:rsidR="00106862" w:rsidRPr="00AB5441">
        <w:rPr>
          <w:rFonts w:cs="Arial"/>
          <w:sz w:val="24"/>
          <w:szCs w:val="24"/>
        </w:rPr>
        <w:t xml:space="preserve"> </w:t>
      </w:r>
      <w:r w:rsidR="004A222F" w:rsidRPr="00AB5441">
        <w:rPr>
          <w:rFonts w:cs="Arial"/>
          <w:sz w:val="24"/>
          <w:szCs w:val="24"/>
        </w:rPr>
        <w:t>a Resolução</w:t>
      </w:r>
      <w:r w:rsidR="00106862" w:rsidRPr="00AB5441">
        <w:rPr>
          <w:rFonts w:cs="Arial"/>
          <w:sz w:val="24"/>
          <w:szCs w:val="24"/>
        </w:rPr>
        <w:t xml:space="preserve"> do TRE-BA n. </w:t>
      </w:r>
      <w:r w:rsidR="006369A0" w:rsidRPr="00AB5441">
        <w:rPr>
          <w:rFonts w:cs="Arial"/>
          <w:sz w:val="24"/>
          <w:szCs w:val="24"/>
        </w:rPr>
        <w:t>0</w:t>
      </w:r>
      <w:r w:rsidR="00EE1DD2" w:rsidRPr="00AB5441">
        <w:rPr>
          <w:rFonts w:cs="Arial"/>
          <w:sz w:val="24"/>
          <w:szCs w:val="24"/>
        </w:rPr>
        <w:t>5</w:t>
      </w:r>
      <w:r w:rsidR="004A222F" w:rsidRPr="00AB5441">
        <w:rPr>
          <w:rFonts w:cs="Arial"/>
          <w:sz w:val="24"/>
          <w:szCs w:val="24"/>
        </w:rPr>
        <w:t>/</w:t>
      </w:r>
      <w:r w:rsidR="00EE1DD2" w:rsidRPr="00AB5441">
        <w:rPr>
          <w:rFonts w:cs="Arial"/>
          <w:sz w:val="24"/>
          <w:szCs w:val="24"/>
        </w:rPr>
        <w:t>201</w:t>
      </w:r>
      <w:r w:rsidR="006A4FC1" w:rsidRPr="00AB5441">
        <w:rPr>
          <w:rFonts w:cs="Arial"/>
          <w:sz w:val="24"/>
          <w:szCs w:val="24"/>
        </w:rPr>
        <w:t>3</w:t>
      </w:r>
      <w:r w:rsidR="004A222F" w:rsidRPr="00AB5441">
        <w:rPr>
          <w:rStyle w:val="Refdenotaderodap"/>
          <w:rFonts w:cs="Arial"/>
          <w:sz w:val="24"/>
          <w:szCs w:val="24"/>
        </w:rPr>
        <w:footnoteReference w:id="7"/>
      </w:r>
      <w:r w:rsidR="00AB5441" w:rsidRPr="00AB5441">
        <w:rPr>
          <w:rFonts w:cs="Arial"/>
          <w:sz w:val="24"/>
          <w:szCs w:val="24"/>
        </w:rPr>
        <w:t>,</w:t>
      </w:r>
      <w:r w:rsidR="00EE1DD2" w:rsidRPr="00AB5441">
        <w:rPr>
          <w:rFonts w:cs="Arial"/>
          <w:sz w:val="24"/>
          <w:szCs w:val="24"/>
        </w:rPr>
        <w:t xml:space="preserve"> </w:t>
      </w:r>
      <w:r w:rsidR="002E4EA6">
        <w:rPr>
          <w:rFonts w:cs="Arial"/>
          <w:sz w:val="24"/>
          <w:szCs w:val="24"/>
        </w:rPr>
        <w:t xml:space="preserve">e </w:t>
      </w:r>
      <w:r w:rsidR="00EE1DD2" w:rsidRPr="00AB5441">
        <w:rPr>
          <w:rFonts w:cs="Arial"/>
          <w:sz w:val="24"/>
          <w:szCs w:val="24"/>
        </w:rPr>
        <w:t>a</w:t>
      </w:r>
      <w:r w:rsidR="002E4EA6">
        <w:rPr>
          <w:rFonts w:cs="Arial"/>
          <w:sz w:val="24"/>
          <w:szCs w:val="24"/>
        </w:rPr>
        <w:t>s</w:t>
      </w:r>
      <w:r w:rsidR="00EE1DD2" w:rsidRPr="00AB5441">
        <w:rPr>
          <w:rFonts w:cs="Arial"/>
          <w:sz w:val="24"/>
          <w:szCs w:val="24"/>
        </w:rPr>
        <w:t xml:space="preserve"> Portaria</w:t>
      </w:r>
      <w:r w:rsidR="002E4EA6">
        <w:rPr>
          <w:rFonts w:cs="Arial"/>
          <w:sz w:val="24"/>
          <w:szCs w:val="24"/>
        </w:rPr>
        <w:t>s do Diretor-Geral do</w:t>
      </w:r>
      <w:r w:rsidR="00EE1DD2" w:rsidRPr="00AB5441">
        <w:rPr>
          <w:rFonts w:cs="Arial"/>
          <w:sz w:val="24"/>
          <w:szCs w:val="24"/>
        </w:rPr>
        <w:t xml:space="preserve"> TRE-BA</w:t>
      </w:r>
      <w:r w:rsidR="00374FF8">
        <w:rPr>
          <w:rFonts w:cs="Arial"/>
          <w:sz w:val="24"/>
          <w:szCs w:val="24"/>
        </w:rPr>
        <w:t xml:space="preserve">        </w:t>
      </w:r>
      <w:r w:rsidR="00EE1DD2" w:rsidRPr="00AB5441">
        <w:rPr>
          <w:rFonts w:cs="Arial"/>
          <w:sz w:val="24"/>
          <w:szCs w:val="24"/>
        </w:rPr>
        <w:t xml:space="preserve"> n. 179</w:t>
      </w:r>
      <w:r w:rsidR="002E4EA6">
        <w:rPr>
          <w:rStyle w:val="Refdenotaderodap"/>
          <w:rFonts w:cs="Arial"/>
          <w:sz w:val="24"/>
          <w:szCs w:val="24"/>
        </w:rPr>
        <w:footnoteReference w:id="8"/>
      </w:r>
      <w:r w:rsidR="002E4EA6">
        <w:rPr>
          <w:rFonts w:cs="Arial"/>
          <w:sz w:val="24"/>
          <w:szCs w:val="24"/>
        </w:rPr>
        <w:t xml:space="preserve"> e 192</w:t>
      </w:r>
      <w:r w:rsidR="00EE1DD2" w:rsidRPr="00AB5441">
        <w:rPr>
          <w:rFonts w:cs="Arial"/>
          <w:sz w:val="24"/>
          <w:szCs w:val="24"/>
        </w:rPr>
        <w:t>/2015</w:t>
      </w:r>
      <w:r w:rsidR="002E4EA6">
        <w:rPr>
          <w:rStyle w:val="Refdenotaderodap"/>
          <w:rFonts w:cs="Arial"/>
          <w:sz w:val="24"/>
          <w:szCs w:val="24"/>
        </w:rPr>
        <w:footnoteReference w:id="9"/>
      </w:r>
      <w:r w:rsidR="00EE1DD2" w:rsidRPr="00AB5441">
        <w:rPr>
          <w:rFonts w:cs="Arial"/>
          <w:sz w:val="24"/>
          <w:szCs w:val="24"/>
        </w:rPr>
        <w:t>.</w:t>
      </w:r>
    </w:p>
    <w:p w:rsidR="00473798" w:rsidRDefault="00473798" w:rsidP="00473798">
      <w:pPr>
        <w:jc w:val="both"/>
        <w:rPr>
          <w:rFonts w:cs="Arial"/>
          <w:sz w:val="24"/>
          <w:szCs w:val="24"/>
        </w:rPr>
      </w:pPr>
      <w:r w:rsidRPr="00473798">
        <w:rPr>
          <w:rFonts w:cs="Arial"/>
          <w:sz w:val="24"/>
          <w:szCs w:val="24"/>
        </w:rPr>
        <w:t xml:space="preserve">1.5 </w:t>
      </w:r>
      <w:proofErr w:type="gramStart"/>
      <w:r w:rsidR="00A627CE">
        <w:rPr>
          <w:rFonts w:cs="Arial"/>
          <w:sz w:val="24"/>
          <w:szCs w:val="24"/>
        </w:rPr>
        <w:t>Informa-se</w:t>
      </w:r>
      <w:proofErr w:type="gramEnd"/>
      <w:r w:rsidR="00A627CE">
        <w:rPr>
          <w:rFonts w:cs="Arial"/>
          <w:sz w:val="24"/>
          <w:szCs w:val="24"/>
        </w:rPr>
        <w:t xml:space="preserve"> que a</w:t>
      </w:r>
      <w:r w:rsidRPr="00473798">
        <w:rPr>
          <w:rFonts w:cs="Arial"/>
          <w:sz w:val="24"/>
          <w:szCs w:val="24"/>
        </w:rPr>
        <w:t xml:space="preserve"> Resolução CNJ n. 211, de 15 de dezembro de 2015, que institui a Estratégia Nacional de Tecnologia da Informação e Comunicação do Poder Judiciário (ENTIC-JUD), embora editada em momento posterior à celebração do Contrato n. 161/2014, entrou em vigor em concomitância com a continuidade da execução dos serviços de manutenção preventiva e corretiva do sistema de solução CDC, tendo sido convertida em fonte de informação para melhor construção da visão geral do objeto sob exame.</w:t>
      </w:r>
    </w:p>
    <w:p w:rsidR="00A424DC" w:rsidRPr="00A9571E" w:rsidRDefault="00A424DC" w:rsidP="002A2AC1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</w:t>
      </w:r>
      <w:r w:rsidR="00473798"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 xml:space="preserve"> </w:t>
      </w:r>
      <w:r w:rsidR="0010312A">
        <w:rPr>
          <w:rFonts w:cs="Arial"/>
          <w:sz w:val="24"/>
          <w:szCs w:val="24"/>
        </w:rPr>
        <w:t>A</w:t>
      </w:r>
      <w:r w:rsidRPr="00E763F5">
        <w:rPr>
          <w:rFonts w:cs="Arial"/>
          <w:sz w:val="24"/>
          <w:szCs w:val="24"/>
        </w:rPr>
        <w:t xml:space="preserve"> </w:t>
      </w:r>
      <w:r w:rsidR="007D4E73" w:rsidRPr="00E763F5">
        <w:rPr>
          <w:rFonts w:cs="Arial"/>
          <w:sz w:val="24"/>
          <w:szCs w:val="24"/>
        </w:rPr>
        <w:t>Coordenadoria de Infraestrutura (COINFRA)</w:t>
      </w:r>
      <w:r w:rsidR="007D4E73">
        <w:rPr>
          <w:rFonts w:cs="Arial"/>
          <w:sz w:val="24"/>
          <w:szCs w:val="24"/>
        </w:rPr>
        <w:t xml:space="preserve"> é </w:t>
      </w:r>
      <w:r w:rsidR="00A537D2">
        <w:rPr>
          <w:rFonts w:cs="Arial"/>
          <w:sz w:val="24"/>
          <w:szCs w:val="24"/>
        </w:rPr>
        <w:t xml:space="preserve">a unidade </w:t>
      </w:r>
      <w:r w:rsidR="007D4E73">
        <w:rPr>
          <w:rFonts w:cs="Arial"/>
          <w:sz w:val="24"/>
          <w:szCs w:val="24"/>
        </w:rPr>
        <w:t>compet</w:t>
      </w:r>
      <w:r w:rsidR="00A537D2">
        <w:rPr>
          <w:rFonts w:cs="Arial"/>
          <w:sz w:val="24"/>
          <w:szCs w:val="24"/>
        </w:rPr>
        <w:t>e</w:t>
      </w:r>
      <w:r w:rsidR="007D4E73">
        <w:rPr>
          <w:rFonts w:cs="Arial"/>
          <w:sz w:val="24"/>
          <w:szCs w:val="24"/>
        </w:rPr>
        <w:t>n</w:t>
      </w:r>
      <w:r w:rsidR="00A537D2">
        <w:rPr>
          <w:rFonts w:cs="Arial"/>
          <w:sz w:val="24"/>
          <w:szCs w:val="24"/>
        </w:rPr>
        <w:t>te</w:t>
      </w:r>
      <w:r w:rsidR="007D4E73">
        <w:rPr>
          <w:rFonts w:cs="Arial"/>
          <w:sz w:val="24"/>
          <w:szCs w:val="24"/>
        </w:rPr>
        <w:t xml:space="preserve"> responsável</w:t>
      </w:r>
      <w:r w:rsidR="007D4E73" w:rsidRPr="00C14623">
        <w:rPr>
          <w:sz w:val="24"/>
          <w:szCs w:val="24"/>
        </w:rPr>
        <w:t xml:space="preserve"> </w:t>
      </w:r>
      <w:r w:rsidR="007D4E73">
        <w:rPr>
          <w:sz w:val="24"/>
          <w:szCs w:val="24"/>
        </w:rPr>
        <w:t>pela</w:t>
      </w:r>
      <w:r w:rsidR="00767ECA">
        <w:rPr>
          <w:sz w:val="24"/>
          <w:szCs w:val="24"/>
        </w:rPr>
        <w:t>s atividades</w:t>
      </w:r>
      <w:r w:rsidR="00767ECA" w:rsidRPr="00C14623">
        <w:rPr>
          <w:sz w:val="24"/>
          <w:szCs w:val="24"/>
        </w:rPr>
        <w:t xml:space="preserve"> </w:t>
      </w:r>
      <w:r w:rsidR="00767ECA">
        <w:rPr>
          <w:sz w:val="24"/>
          <w:szCs w:val="24"/>
        </w:rPr>
        <w:t xml:space="preserve">relacionadas ao </w:t>
      </w:r>
      <w:r w:rsidR="00767ECA" w:rsidRPr="00E763F5">
        <w:rPr>
          <w:rFonts w:cs="Arial"/>
          <w:sz w:val="24"/>
          <w:szCs w:val="24"/>
        </w:rPr>
        <w:t>planeja</w:t>
      </w:r>
      <w:r w:rsidR="00767ECA">
        <w:rPr>
          <w:rFonts w:cs="Arial"/>
          <w:sz w:val="24"/>
          <w:szCs w:val="24"/>
        </w:rPr>
        <w:t>mento</w:t>
      </w:r>
      <w:r w:rsidR="00767ECA" w:rsidRPr="00E763F5">
        <w:rPr>
          <w:rFonts w:cs="Arial"/>
          <w:sz w:val="24"/>
          <w:szCs w:val="24"/>
        </w:rPr>
        <w:t xml:space="preserve">, </w:t>
      </w:r>
      <w:r w:rsidR="00767ECA">
        <w:rPr>
          <w:rFonts w:cs="Arial"/>
          <w:sz w:val="24"/>
          <w:szCs w:val="24"/>
        </w:rPr>
        <w:t xml:space="preserve">coordenação </w:t>
      </w:r>
      <w:r w:rsidR="00767ECA" w:rsidRPr="00E763F5">
        <w:rPr>
          <w:rFonts w:cs="Arial"/>
          <w:sz w:val="24"/>
          <w:szCs w:val="24"/>
        </w:rPr>
        <w:t>e control</w:t>
      </w:r>
      <w:r w:rsidR="00767ECA">
        <w:rPr>
          <w:rFonts w:cs="Arial"/>
          <w:sz w:val="24"/>
          <w:szCs w:val="24"/>
        </w:rPr>
        <w:t>e</w:t>
      </w:r>
      <w:r w:rsidR="00767ECA" w:rsidRPr="00E763F5">
        <w:rPr>
          <w:rFonts w:cs="Arial"/>
          <w:sz w:val="24"/>
          <w:szCs w:val="24"/>
        </w:rPr>
        <w:t xml:space="preserve"> dos recursos necessários ao funcionamento da infraestrutura de serviço e equipamento de tecnologia e comunicação da </w:t>
      </w:r>
      <w:r w:rsidR="00767ECA" w:rsidRPr="00E763F5">
        <w:rPr>
          <w:rFonts w:cs="Arial"/>
          <w:sz w:val="24"/>
          <w:szCs w:val="24"/>
        </w:rPr>
        <w:lastRenderedPageBreak/>
        <w:t xml:space="preserve">Secretaria do Tribunal e </w:t>
      </w:r>
      <w:r w:rsidR="00D07932">
        <w:rPr>
          <w:rFonts w:cs="Arial"/>
          <w:sz w:val="24"/>
          <w:szCs w:val="24"/>
        </w:rPr>
        <w:t xml:space="preserve">dos </w:t>
      </w:r>
      <w:r w:rsidR="00EE0546">
        <w:rPr>
          <w:rFonts w:cs="Arial"/>
          <w:sz w:val="24"/>
          <w:szCs w:val="24"/>
        </w:rPr>
        <w:t>C</w:t>
      </w:r>
      <w:r w:rsidR="00767ECA" w:rsidRPr="00E763F5">
        <w:rPr>
          <w:rFonts w:cs="Arial"/>
          <w:sz w:val="24"/>
          <w:szCs w:val="24"/>
        </w:rPr>
        <w:t xml:space="preserve">artórios </w:t>
      </w:r>
      <w:r w:rsidR="00EE0546">
        <w:rPr>
          <w:rFonts w:cs="Arial"/>
          <w:sz w:val="24"/>
          <w:szCs w:val="24"/>
        </w:rPr>
        <w:t>E</w:t>
      </w:r>
      <w:r w:rsidR="00767ECA" w:rsidRPr="00E763F5">
        <w:rPr>
          <w:rFonts w:cs="Arial"/>
          <w:sz w:val="24"/>
          <w:szCs w:val="24"/>
        </w:rPr>
        <w:t xml:space="preserve">leitorais, bem como </w:t>
      </w:r>
      <w:r w:rsidR="00A537D2">
        <w:rPr>
          <w:rFonts w:cs="Arial"/>
          <w:sz w:val="24"/>
          <w:szCs w:val="24"/>
        </w:rPr>
        <w:t xml:space="preserve">por </w:t>
      </w:r>
      <w:r w:rsidR="00767ECA">
        <w:rPr>
          <w:rFonts w:cs="Arial"/>
          <w:sz w:val="24"/>
          <w:szCs w:val="24"/>
        </w:rPr>
        <w:t>realiza</w:t>
      </w:r>
      <w:r w:rsidR="00A537D2">
        <w:rPr>
          <w:rFonts w:cs="Arial"/>
          <w:sz w:val="24"/>
          <w:szCs w:val="24"/>
        </w:rPr>
        <w:t>r</w:t>
      </w:r>
      <w:r w:rsidR="00767ECA">
        <w:rPr>
          <w:rFonts w:cs="Arial"/>
          <w:sz w:val="24"/>
          <w:szCs w:val="24"/>
        </w:rPr>
        <w:t xml:space="preserve"> </w:t>
      </w:r>
      <w:r w:rsidR="00767ECA" w:rsidRPr="00FD7633">
        <w:rPr>
          <w:rFonts w:cs="Arial"/>
          <w:sz w:val="24"/>
          <w:szCs w:val="24"/>
        </w:rPr>
        <w:t>pesquisas</w:t>
      </w:r>
      <w:r w:rsidR="00FD7633" w:rsidRPr="00FD7633">
        <w:rPr>
          <w:rFonts w:cs="Arial"/>
          <w:sz w:val="24"/>
          <w:szCs w:val="24"/>
        </w:rPr>
        <w:t xml:space="preserve"> e</w:t>
      </w:r>
      <w:r w:rsidR="00767ECA" w:rsidRPr="00FD7633">
        <w:rPr>
          <w:rFonts w:cs="Arial"/>
          <w:sz w:val="24"/>
          <w:szCs w:val="24"/>
        </w:rPr>
        <w:t xml:space="preserve"> avaliações</w:t>
      </w:r>
      <w:r w:rsidR="00767ECA" w:rsidRPr="00E763F5">
        <w:rPr>
          <w:rFonts w:cs="Arial"/>
          <w:sz w:val="24"/>
          <w:szCs w:val="24"/>
        </w:rPr>
        <w:t xml:space="preserve"> </w:t>
      </w:r>
      <w:r w:rsidR="00767ECA">
        <w:rPr>
          <w:rFonts w:cs="Arial"/>
          <w:sz w:val="24"/>
          <w:szCs w:val="24"/>
        </w:rPr>
        <w:t>para</w:t>
      </w:r>
      <w:r w:rsidR="00767ECA" w:rsidRPr="00E763F5">
        <w:rPr>
          <w:rFonts w:cs="Arial"/>
          <w:sz w:val="24"/>
          <w:szCs w:val="24"/>
        </w:rPr>
        <w:t xml:space="preserve"> propor adoção de novas t</w:t>
      </w:r>
      <w:r w:rsidR="00767ECA">
        <w:rPr>
          <w:rFonts w:cs="Arial"/>
          <w:sz w:val="24"/>
          <w:szCs w:val="24"/>
        </w:rPr>
        <w:t xml:space="preserve">ecnologias e </w:t>
      </w:r>
      <w:r w:rsidR="001D2468">
        <w:rPr>
          <w:rFonts w:cs="Arial"/>
          <w:sz w:val="24"/>
          <w:szCs w:val="24"/>
        </w:rPr>
        <w:t xml:space="preserve">projetos. Tais atividades, no âmbito do </w:t>
      </w:r>
      <w:r w:rsidR="003E6556">
        <w:rPr>
          <w:rFonts w:cs="Arial"/>
          <w:sz w:val="24"/>
          <w:szCs w:val="24"/>
        </w:rPr>
        <w:t>TRE-BA</w:t>
      </w:r>
      <w:r w:rsidR="001D2468">
        <w:rPr>
          <w:rFonts w:cs="Arial"/>
          <w:sz w:val="24"/>
          <w:szCs w:val="24"/>
        </w:rPr>
        <w:t>,</w:t>
      </w:r>
      <w:r w:rsidR="003E6556">
        <w:rPr>
          <w:rFonts w:cs="Arial"/>
          <w:sz w:val="24"/>
          <w:szCs w:val="24"/>
        </w:rPr>
        <w:t xml:space="preserve"> </w:t>
      </w:r>
      <w:r w:rsidR="0048413D">
        <w:rPr>
          <w:rFonts w:cs="Arial"/>
          <w:sz w:val="24"/>
          <w:szCs w:val="24"/>
        </w:rPr>
        <w:t xml:space="preserve">estão </w:t>
      </w:r>
      <w:r w:rsidR="001D2468" w:rsidRPr="00E763F5">
        <w:rPr>
          <w:rFonts w:cs="Arial"/>
          <w:sz w:val="24"/>
          <w:szCs w:val="24"/>
        </w:rPr>
        <w:t xml:space="preserve">de acordo </w:t>
      </w:r>
      <w:r w:rsidR="001D2468" w:rsidRPr="00A9571E">
        <w:rPr>
          <w:rFonts w:cs="Arial"/>
          <w:sz w:val="24"/>
          <w:szCs w:val="24"/>
        </w:rPr>
        <w:t>com o art. 116 da Resolução Administrativa TRE-BA n. 05/201</w:t>
      </w:r>
      <w:r w:rsidR="00E7030F" w:rsidRPr="00A9571E">
        <w:rPr>
          <w:rFonts w:cs="Arial"/>
          <w:sz w:val="24"/>
          <w:szCs w:val="24"/>
        </w:rPr>
        <w:t>3</w:t>
      </w:r>
      <w:r w:rsidR="001D2468" w:rsidRPr="00A9571E">
        <w:rPr>
          <w:rFonts w:cs="Arial"/>
          <w:sz w:val="24"/>
          <w:szCs w:val="24"/>
        </w:rPr>
        <w:t>.</w:t>
      </w:r>
    </w:p>
    <w:p w:rsidR="00464EF2" w:rsidRDefault="00A424DC" w:rsidP="0010312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</w:t>
      </w:r>
      <w:r w:rsidR="00473798">
        <w:rPr>
          <w:rFonts w:cs="Arial"/>
          <w:sz w:val="24"/>
          <w:szCs w:val="24"/>
        </w:rPr>
        <w:t>7</w:t>
      </w:r>
      <w:r>
        <w:rPr>
          <w:rFonts w:cs="Arial"/>
          <w:sz w:val="24"/>
          <w:szCs w:val="24"/>
        </w:rPr>
        <w:t xml:space="preserve"> </w:t>
      </w:r>
      <w:r w:rsidR="0010312A" w:rsidRPr="0010312A">
        <w:rPr>
          <w:rFonts w:cs="Arial"/>
          <w:sz w:val="24"/>
          <w:szCs w:val="24"/>
        </w:rPr>
        <w:t xml:space="preserve">O contrato </w:t>
      </w:r>
      <w:r w:rsidR="00464EF2">
        <w:rPr>
          <w:rFonts w:cs="Arial"/>
          <w:sz w:val="24"/>
          <w:szCs w:val="24"/>
        </w:rPr>
        <w:t>inspecionado</w:t>
      </w:r>
      <w:r w:rsidR="0010312A" w:rsidRPr="0010312A">
        <w:rPr>
          <w:rFonts w:cs="Arial"/>
          <w:sz w:val="24"/>
          <w:szCs w:val="24"/>
        </w:rPr>
        <w:t xml:space="preserve"> te</w:t>
      </w:r>
      <w:r w:rsidR="0010312A">
        <w:rPr>
          <w:rFonts w:cs="Arial"/>
          <w:sz w:val="24"/>
          <w:szCs w:val="24"/>
        </w:rPr>
        <w:t>ve</w:t>
      </w:r>
      <w:r w:rsidR="0010312A" w:rsidRPr="0010312A">
        <w:rPr>
          <w:rFonts w:cs="Arial"/>
          <w:sz w:val="24"/>
          <w:szCs w:val="24"/>
        </w:rPr>
        <w:t xml:space="preserve"> como objeto o fornecimento de solução de centro de dados </w:t>
      </w:r>
      <w:proofErr w:type="gramStart"/>
      <w:r w:rsidR="0010312A" w:rsidRPr="0010312A">
        <w:rPr>
          <w:rFonts w:cs="Arial"/>
          <w:sz w:val="24"/>
          <w:szCs w:val="24"/>
        </w:rPr>
        <w:t>modular</w:t>
      </w:r>
      <w:proofErr w:type="gramEnd"/>
      <w:r w:rsidR="0010312A" w:rsidRPr="0010312A">
        <w:rPr>
          <w:rFonts w:cs="Arial"/>
          <w:sz w:val="24"/>
          <w:szCs w:val="24"/>
        </w:rPr>
        <w:t xml:space="preserve"> contêiner, com serviços de instalação, treinamentos, operação assistida, suporte e manutenção preventiva e corretiva de sistemas e subsistemas, objetivando a reestruturação no parque tecnológico promovida pela Secretaria de Tecnologia da Informação (STI) </w:t>
      </w:r>
      <w:r w:rsidR="003E6556" w:rsidRPr="0010312A">
        <w:rPr>
          <w:rFonts w:cs="Arial"/>
          <w:sz w:val="24"/>
          <w:szCs w:val="24"/>
        </w:rPr>
        <w:t>do</w:t>
      </w:r>
      <w:r w:rsidR="003E6556" w:rsidRPr="003E6556">
        <w:rPr>
          <w:rFonts w:cs="Arial"/>
          <w:sz w:val="24"/>
          <w:szCs w:val="24"/>
        </w:rPr>
        <w:t xml:space="preserve"> </w:t>
      </w:r>
      <w:r w:rsidR="003E6556" w:rsidRPr="00E763F5">
        <w:rPr>
          <w:rFonts w:cs="Arial"/>
          <w:sz w:val="24"/>
          <w:szCs w:val="24"/>
        </w:rPr>
        <w:t>TRE-BA</w:t>
      </w:r>
      <w:r w:rsidR="003E6556">
        <w:rPr>
          <w:rFonts w:cs="Arial"/>
          <w:sz w:val="24"/>
          <w:szCs w:val="24"/>
        </w:rPr>
        <w:t>.</w:t>
      </w:r>
    </w:p>
    <w:p w:rsidR="009E1E7A" w:rsidRDefault="00EE1DD2" w:rsidP="009E1E7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</w:t>
      </w:r>
      <w:r w:rsidR="00473798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 xml:space="preserve"> </w:t>
      </w:r>
      <w:r w:rsidR="009E1E7A">
        <w:rPr>
          <w:rFonts w:cs="Arial"/>
          <w:sz w:val="24"/>
          <w:szCs w:val="24"/>
        </w:rPr>
        <w:t xml:space="preserve">A </w:t>
      </w:r>
      <w:r w:rsidR="009E1E7A" w:rsidRPr="00E763F5">
        <w:rPr>
          <w:rFonts w:cs="Arial"/>
          <w:sz w:val="24"/>
          <w:szCs w:val="24"/>
        </w:rPr>
        <w:t xml:space="preserve">aquisição de solução para </w:t>
      </w:r>
      <w:r w:rsidR="009E1E7A" w:rsidRPr="006A133A">
        <w:rPr>
          <w:rFonts w:cs="Arial"/>
          <w:sz w:val="24"/>
          <w:szCs w:val="24"/>
        </w:rPr>
        <w:t xml:space="preserve">data </w:t>
      </w:r>
      <w:proofErr w:type="gramStart"/>
      <w:r w:rsidR="009E1E7A" w:rsidRPr="006A133A">
        <w:rPr>
          <w:rFonts w:cs="Arial"/>
          <w:sz w:val="24"/>
          <w:szCs w:val="24"/>
        </w:rPr>
        <w:t>center</w:t>
      </w:r>
      <w:proofErr w:type="gramEnd"/>
      <w:r w:rsidR="009E1E7A" w:rsidRPr="00E763F5">
        <w:rPr>
          <w:rFonts w:cs="Arial"/>
          <w:i/>
          <w:sz w:val="24"/>
          <w:szCs w:val="24"/>
        </w:rPr>
        <w:t xml:space="preserve"> </w:t>
      </w:r>
      <w:r w:rsidR="009E1E7A">
        <w:rPr>
          <w:rFonts w:cs="Arial"/>
          <w:sz w:val="24"/>
          <w:szCs w:val="24"/>
        </w:rPr>
        <w:t>foi viabilizada</w:t>
      </w:r>
      <w:r w:rsidR="006C1250">
        <w:rPr>
          <w:rFonts w:cs="Arial"/>
          <w:sz w:val="24"/>
          <w:szCs w:val="24"/>
        </w:rPr>
        <w:t xml:space="preserve"> por </w:t>
      </w:r>
      <w:r w:rsidR="009E1E7A" w:rsidRPr="00E763F5">
        <w:rPr>
          <w:rFonts w:cs="Arial"/>
          <w:sz w:val="24"/>
          <w:szCs w:val="24"/>
        </w:rPr>
        <w:t xml:space="preserve">adesão à Ata de Registro de Preços da empresa </w:t>
      </w:r>
      <w:r w:rsidR="009E1E7A" w:rsidRPr="00FD7633">
        <w:rPr>
          <w:rFonts w:cs="Arial"/>
          <w:sz w:val="24"/>
          <w:szCs w:val="24"/>
        </w:rPr>
        <w:t>ACECO TI</w:t>
      </w:r>
      <w:r w:rsidR="00FD7633" w:rsidRPr="00FD7633">
        <w:rPr>
          <w:rFonts w:cs="Arial"/>
          <w:sz w:val="24"/>
          <w:szCs w:val="24"/>
        </w:rPr>
        <w:t>,</w:t>
      </w:r>
      <w:r w:rsidR="009E1E7A" w:rsidRPr="00FD7633">
        <w:rPr>
          <w:rFonts w:cs="Arial"/>
          <w:sz w:val="24"/>
          <w:szCs w:val="24"/>
        </w:rPr>
        <w:t xml:space="preserve"> gerenciada</w:t>
      </w:r>
      <w:r w:rsidR="009E1E7A" w:rsidRPr="00E763F5">
        <w:rPr>
          <w:rFonts w:cs="Arial"/>
          <w:sz w:val="24"/>
          <w:szCs w:val="24"/>
        </w:rPr>
        <w:t xml:space="preserve"> pela Empresa Brasileira de Serviços Hospitalares (EBSERH), resulta</w:t>
      </w:r>
      <w:r w:rsidR="009E1E7A">
        <w:rPr>
          <w:rFonts w:cs="Arial"/>
          <w:sz w:val="24"/>
          <w:szCs w:val="24"/>
        </w:rPr>
        <w:t>ndo na assinatura do Contrato n</w:t>
      </w:r>
      <w:r w:rsidR="009E1E7A" w:rsidRPr="00E763F5">
        <w:rPr>
          <w:rFonts w:cs="Arial"/>
          <w:sz w:val="24"/>
          <w:szCs w:val="24"/>
        </w:rPr>
        <w:t>. 161/2014 em 12 de janeiro de 2015.</w:t>
      </w:r>
    </w:p>
    <w:p w:rsidR="00D47D19" w:rsidRPr="00AE5620" w:rsidRDefault="006C1250" w:rsidP="003E6556">
      <w:pPr>
        <w:jc w:val="both"/>
        <w:rPr>
          <w:rFonts w:cs="Arial"/>
          <w:sz w:val="24"/>
          <w:szCs w:val="24"/>
        </w:rPr>
      </w:pPr>
      <w:r w:rsidRPr="00AE5620">
        <w:rPr>
          <w:rFonts w:cs="Arial"/>
          <w:sz w:val="24"/>
          <w:szCs w:val="24"/>
        </w:rPr>
        <w:t>1.</w:t>
      </w:r>
      <w:r w:rsidR="00473798" w:rsidRPr="00AE5620">
        <w:rPr>
          <w:rFonts w:cs="Arial"/>
          <w:sz w:val="24"/>
          <w:szCs w:val="24"/>
        </w:rPr>
        <w:t>9</w:t>
      </w:r>
      <w:r w:rsidRPr="00AE5620">
        <w:rPr>
          <w:rFonts w:cs="Arial"/>
          <w:sz w:val="24"/>
          <w:szCs w:val="24"/>
        </w:rPr>
        <w:t xml:space="preserve"> </w:t>
      </w:r>
      <w:r w:rsidR="003E6556" w:rsidRPr="00AE5620">
        <w:rPr>
          <w:rFonts w:cs="Arial"/>
          <w:sz w:val="24"/>
          <w:szCs w:val="24"/>
        </w:rPr>
        <w:t>O volume de recursos dispendidos com a contratação foi de R$ 1.</w:t>
      </w:r>
      <w:r w:rsidR="008F1799" w:rsidRPr="00AE5620">
        <w:rPr>
          <w:rFonts w:cs="Arial"/>
          <w:sz w:val="24"/>
          <w:szCs w:val="24"/>
        </w:rPr>
        <w:t>408</w:t>
      </w:r>
      <w:r w:rsidR="003E6556" w:rsidRPr="00AE5620">
        <w:rPr>
          <w:rFonts w:cs="Arial"/>
          <w:sz w:val="24"/>
          <w:szCs w:val="24"/>
        </w:rPr>
        <w:t>.</w:t>
      </w:r>
      <w:r w:rsidR="008F1799" w:rsidRPr="00AE5620">
        <w:rPr>
          <w:rFonts w:cs="Arial"/>
          <w:sz w:val="24"/>
          <w:szCs w:val="24"/>
        </w:rPr>
        <w:t>240</w:t>
      </w:r>
      <w:r w:rsidR="003E6556" w:rsidRPr="00AE5620">
        <w:rPr>
          <w:rFonts w:cs="Arial"/>
          <w:sz w:val="24"/>
          <w:szCs w:val="24"/>
        </w:rPr>
        <w:t>,</w:t>
      </w:r>
      <w:r w:rsidR="008F1799" w:rsidRPr="00AE5620">
        <w:rPr>
          <w:rFonts w:cs="Arial"/>
          <w:sz w:val="24"/>
          <w:szCs w:val="24"/>
        </w:rPr>
        <w:t>88</w:t>
      </w:r>
      <w:r w:rsidR="003E6556" w:rsidRPr="00AE5620">
        <w:rPr>
          <w:rFonts w:cs="Arial"/>
          <w:sz w:val="24"/>
          <w:szCs w:val="24"/>
        </w:rPr>
        <w:t xml:space="preserve"> (um milhão, </w:t>
      </w:r>
      <w:r w:rsidR="008F1799" w:rsidRPr="00AE5620">
        <w:rPr>
          <w:rFonts w:cs="Arial"/>
          <w:sz w:val="24"/>
          <w:szCs w:val="24"/>
        </w:rPr>
        <w:t>quatro</w:t>
      </w:r>
      <w:r w:rsidR="003E6556" w:rsidRPr="00AE5620">
        <w:rPr>
          <w:rFonts w:cs="Arial"/>
          <w:sz w:val="24"/>
          <w:szCs w:val="24"/>
        </w:rPr>
        <w:t>cento</w:t>
      </w:r>
      <w:r w:rsidR="008F1799" w:rsidRPr="00AE5620">
        <w:rPr>
          <w:rFonts w:cs="Arial"/>
          <w:sz w:val="24"/>
          <w:szCs w:val="24"/>
        </w:rPr>
        <w:t>s</w:t>
      </w:r>
      <w:r w:rsidR="003E6556" w:rsidRPr="00AE5620">
        <w:rPr>
          <w:rFonts w:cs="Arial"/>
          <w:sz w:val="24"/>
          <w:szCs w:val="24"/>
        </w:rPr>
        <w:t xml:space="preserve"> e </w:t>
      </w:r>
      <w:r w:rsidR="008F1799" w:rsidRPr="00AE5620">
        <w:rPr>
          <w:rFonts w:cs="Arial"/>
          <w:sz w:val="24"/>
          <w:szCs w:val="24"/>
        </w:rPr>
        <w:t xml:space="preserve">oito </w:t>
      </w:r>
      <w:r w:rsidR="003E6556" w:rsidRPr="00AE5620">
        <w:rPr>
          <w:rFonts w:cs="Arial"/>
          <w:sz w:val="24"/>
          <w:szCs w:val="24"/>
        </w:rPr>
        <w:t xml:space="preserve">mil, </w:t>
      </w:r>
      <w:r w:rsidR="008F1799" w:rsidRPr="00AE5620">
        <w:rPr>
          <w:rFonts w:cs="Arial"/>
          <w:sz w:val="24"/>
          <w:szCs w:val="24"/>
        </w:rPr>
        <w:t xml:space="preserve">duzentos </w:t>
      </w:r>
      <w:r w:rsidR="003E6556" w:rsidRPr="00AE5620">
        <w:rPr>
          <w:rFonts w:cs="Arial"/>
          <w:sz w:val="24"/>
          <w:szCs w:val="24"/>
        </w:rPr>
        <w:t xml:space="preserve">e quarenta </w:t>
      </w:r>
      <w:r w:rsidR="008F1799" w:rsidRPr="00AE5620">
        <w:rPr>
          <w:rFonts w:cs="Arial"/>
          <w:sz w:val="24"/>
          <w:szCs w:val="24"/>
        </w:rPr>
        <w:t>r</w:t>
      </w:r>
      <w:r w:rsidR="003E6556" w:rsidRPr="00AE5620">
        <w:rPr>
          <w:rFonts w:cs="Arial"/>
          <w:sz w:val="24"/>
          <w:szCs w:val="24"/>
        </w:rPr>
        <w:t xml:space="preserve">eais e </w:t>
      </w:r>
      <w:r w:rsidR="008F1799" w:rsidRPr="00AE5620">
        <w:rPr>
          <w:rFonts w:cs="Arial"/>
          <w:sz w:val="24"/>
          <w:szCs w:val="24"/>
        </w:rPr>
        <w:t>oitenta e oito</w:t>
      </w:r>
      <w:r w:rsidR="003E6556" w:rsidRPr="00AE5620">
        <w:rPr>
          <w:rFonts w:cs="Arial"/>
          <w:sz w:val="24"/>
          <w:szCs w:val="24"/>
        </w:rPr>
        <w:t xml:space="preserve"> centavos) </w:t>
      </w:r>
      <w:r w:rsidR="00AE5620" w:rsidRPr="00AE5620">
        <w:rPr>
          <w:rFonts w:cs="Arial"/>
          <w:sz w:val="24"/>
          <w:szCs w:val="24"/>
        </w:rPr>
        <w:t>envolvendo aquisição e instalação do contêiner, treinamento, operação assistida e serviços de suporte e manutenção preventiva e corretiva de todos os sistemas e subsistemas da solução.</w:t>
      </w:r>
    </w:p>
    <w:p w:rsidR="00E81649" w:rsidRDefault="003E6556" w:rsidP="003E6556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</w:t>
      </w:r>
      <w:r w:rsidR="00473798"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 xml:space="preserve"> </w:t>
      </w:r>
      <w:r w:rsidR="00F21594">
        <w:rPr>
          <w:rFonts w:cs="Arial"/>
          <w:sz w:val="24"/>
          <w:szCs w:val="24"/>
        </w:rPr>
        <w:t xml:space="preserve">Com base no objetivo da inspeção, </w:t>
      </w:r>
      <w:r w:rsidR="004B5AA4" w:rsidRPr="00E763F5">
        <w:rPr>
          <w:rFonts w:cs="Arial"/>
          <w:sz w:val="24"/>
          <w:szCs w:val="24"/>
        </w:rPr>
        <w:t xml:space="preserve">durante a fase de planejamento </w:t>
      </w:r>
      <w:r w:rsidR="004B5AA4">
        <w:rPr>
          <w:rFonts w:cs="Arial"/>
          <w:sz w:val="24"/>
          <w:szCs w:val="24"/>
        </w:rPr>
        <w:t xml:space="preserve">dos trabalhos </w:t>
      </w:r>
      <w:r w:rsidR="00F21594">
        <w:rPr>
          <w:rFonts w:cs="Arial"/>
          <w:sz w:val="24"/>
          <w:szCs w:val="24"/>
        </w:rPr>
        <w:t xml:space="preserve">foram elaboradas </w:t>
      </w:r>
      <w:r w:rsidRPr="00E763F5">
        <w:rPr>
          <w:rFonts w:cs="Arial"/>
          <w:sz w:val="24"/>
          <w:szCs w:val="24"/>
        </w:rPr>
        <w:t xml:space="preserve">questões </w:t>
      </w:r>
      <w:r w:rsidR="004B5AA4">
        <w:rPr>
          <w:rFonts w:cs="Arial"/>
          <w:sz w:val="24"/>
          <w:szCs w:val="24"/>
        </w:rPr>
        <w:t xml:space="preserve">de </w:t>
      </w:r>
      <w:proofErr w:type="gramStart"/>
      <w:r w:rsidR="004B5AA4">
        <w:rPr>
          <w:rFonts w:cs="Arial"/>
          <w:sz w:val="24"/>
          <w:szCs w:val="24"/>
        </w:rPr>
        <w:t xml:space="preserve">inspeção </w:t>
      </w:r>
      <w:r w:rsidR="00E8312A">
        <w:rPr>
          <w:rFonts w:cs="Arial"/>
          <w:sz w:val="24"/>
          <w:szCs w:val="24"/>
        </w:rPr>
        <w:t>registradas em</w:t>
      </w:r>
      <w:r w:rsidR="004B5AA4">
        <w:rPr>
          <w:rFonts w:cs="Arial"/>
          <w:sz w:val="24"/>
          <w:szCs w:val="24"/>
        </w:rPr>
        <w:t xml:space="preserve"> Papel de Trabalho denominado</w:t>
      </w:r>
      <w:proofErr w:type="gramEnd"/>
      <w:r w:rsidR="004B5AA4">
        <w:rPr>
          <w:rFonts w:cs="Arial"/>
          <w:sz w:val="24"/>
          <w:szCs w:val="24"/>
        </w:rPr>
        <w:t xml:space="preserve"> </w:t>
      </w:r>
      <w:r w:rsidR="00E81649">
        <w:rPr>
          <w:rFonts w:cs="Arial"/>
          <w:sz w:val="24"/>
          <w:szCs w:val="24"/>
        </w:rPr>
        <w:t>“</w:t>
      </w:r>
      <w:r w:rsidR="004B5AA4">
        <w:rPr>
          <w:rFonts w:cs="Arial"/>
          <w:sz w:val="24"/>
          <w:szCs w:val="24"/>
        </w:rPr>
        <w:t>Matriz de Planejamento</w:t>
      </w:r>
      <w:r w:rsidR="00E81649">
        <w:rPr>
          <w:rFonts w:cs="Arial"/>
          <w:sz w:val="24"/>
          <w:szCs w:val="24"/>
        </w:rPr>
        <w:t>”</w:t>
      </w:r>
      <w:r w:rsidR="004B5AA4">
        <w:rPr>
          <w:rFonts w:cs="Arial"/>
          <w:sz w:val="24"/>
          <w:szCs w:val="24"/>
        </w:rPr>
        <w:t>. Dentre as principais questões verificou-se se a contratação foi realizada</w:t>
      </w:r>
      <w:r w:rsidR="00E81649">
        <w:rPr>
          <w:rFonts w:cs="Arial"/>
          <w:sz w:val="24"/>
          <w:szCs w:val="24"/>
        </w:rPr>
        <w:t xml:space="preserve"> de acordo com a legislação aplicável; se foi realizada</w:t>
      </w:r>
      <w:r w:rsidR="004B5AA4">
        <w:rPr>
          <w:rFonts w:cs="Arial"/>
          <w:sz w:val="24"/>
          <w:szCs w:val="24"/>
        </w:rPr>
        <w:t xml:space="preserve"> com base em estudos técnicos preliminares visando assegurar a viabilidade da contratação; </w:t>
      </w:r>
      <w:r w:rsidR="00E81649">
        <w:rPr>
          <w:rFonts w:cs="Arial"/>
          <w:sz w:val="24"/>
          <w:szCs w:val="24"/>
        </w:rPr>
        <w:t>se a contratação foi realizada em alinhamento com as diretrizes estratégi</w:t>
      </w:r>
      <w:r w:rsidR="00D1382A">
        <w:rPr>
          <w:rFonts w:cs="Arial"/>
          <w:sz w:val="24"/>
          <w:szCs w:val="24"/>
        </w:rPr>
        <w:t>c</w:t>
      </w:r>
      <w:r w:rsidR="00E81649">
        <w:rPr>
          <w:rFonts w:cs="Arial"/>
          <w:sz w:val="24"/>
          <w:szCs w:val="24"/>
        </w:rPr>
        <w:t xml:space="preserve">as da organização e com </w:t>
      </w:r>
      <w:r w:rsidR="00E81649" w:rsidRPr="00E763F5">
        <w:rPr>
          <w:rFonts w:cs="Arial"/>
          <w:sz w:val="24"/>
          <w:szCs w:val="24"/>
        </w:rPr>
        <w:t>o plano anual de contra</w:t>
      </w:r>
      <w:r w:rsidR="00E81649">
        <w:rPr>
          <w:rFonts w:cs="Arial"/>
          <w:sz w:val="24"/>
          <w:szCs w:val="24"/>
        </w:rPr>
        <w:t>tações institucional (PLANCONT</w:t>
      </w:r>
      <w:r w:rsidR="00E81649" w:rsidRPr="00AE5620">
        <w:rPr>
          <w:rFonts w:cs="Arial"/>
          <w:sz w:val="24"/>
          <w:szCs w:val="24"/>
        </w:rPr>
        <w:t xml:space="preserve">); </w:t>
      </w:r>
      <w:r w:rsidR="00616365" w:rsidRPr="00AE5620">
        <w:rPr>
          <w:rFonts w:cs="Arial"/>
          <w:sz w:val="24"/>
          <w:szCs w:val="24"/>
        </w:rPr>
        <w:t xml:space="preserve">e, </w:t>
      </w:r>
      <w:r w:rsidR="00E81649" w:rsidRPr="00AE5620">
        <w:rPr>
          <w:rFonts w:cs="Arial"/>
          <w:sz w:val="24"/>
          <w:szCs w:val="24"/>
        </w:rPr>
        <w:t>s</w:t>
      </w:r>
      <w:r w:rsidR="004B5AA4" w:rsidRPr="00AE5620">
        <w:rPr>
          <w:rFonts w:cs="Arial"/>
          <w:sz w:val="24"/>
          <w:szCs w:val="24"/>
        </w:rPr>
        <w:t>e</w:t>
      </w:r>
      <w:r w:rsidR="004B5AA4">
        <w:rPr>
          <w:rFonts w:cs="Arial"/>
          <w:sz w:val="24"/>
          <w:szCs w:val="24"/>
        </w:rPr>
        <w:t xml:space="preserve"> a </w:t>
      </w:r>
      <w:r w:rsidR="0036578C">
        <w:rPr>
          <w:rFonts w:cs="Arial"/>
          <w:sz w:val="24"/>
          <w:szCs w:val="24"/>
        </w:rPr>
        <w:t>execuç</w:t>
      </w:r>
      <w:r w:rsidR="004B5AA4">
        <w:rPr>
          <w:rFonts w:cs="Arial"/>
          <w:sz w:val="24"/>
          <w:szCs w:val="24"/>
        </w:rPr>
        <w:t xml:space="preserve">ão do contrato está sendo realizada de forma a contribuir </w:t>
      </w:r>
      <w:r w:rsidR="004B5AA4" w:rsidRPr="00AE5620">
        <w:rPr>
          <w:rFonts w:cs="Arial"/>
          <w:sz w:val="24"/>
          <w:szCs w:val="24"/>
        </w:rPr>
        <w:t xml:space="preserve">para </w:t>
      </w:r>
      <w:r w:rsidR="00616365" w:rsidRPr="00AE5620">
        <w:rPr>
          <w:rFonts w:cs="Arial"/>
          <w:sz w:val="24"/>
          <w:szCs w:val="24"/>
        </w:rPr>
        <w:t xml:space="preserve">que </w:t>
      </w:r>
      <w:r w:rsidR="004B5AA4" w:rsidRPr="00AE5620">
        <w:rPr>
          <w:rFonts w:cs="Arial"/>
          <w:sz w:val="24"/>
          <w:szCs w:val="24"/>
        </w:rPr>
        <w:t>a</w:t>
      </w:r>
      <w:r w:rsidR="004B5AA4">
        <w:rPr>
          <w:rFonts w:cs="Arial"/>
          <w:sz w:val="24"/>
          <w:szCs w:val="24"/>
        </w:rPr>
        <w:t xml:space="preserve"> solução adquirida atenda </w:t>
      </w:r>
      <w:r w:rsidR="00E81649">
        <w:rPr>
          <w:rFonts w:cs="Arial"/>
          <w:sz w:val="24"/>
          <w:szCs w:val="24"/>
        </w:rPr>
        <w:t>à</w:t>
      </w:r>
      <w:r w:rsidR="004B5AA4">
        <w:rPr>
          <w:rFonts w:cs="Arial"/>
          <w:sz w:val="24"/>
          <w:szCs w:val="24"/>
        </w:rPr>
        <w:t xml:space="preserve"> necessidade que originou a contratação</w:t>
      </w:r>
      <w:r w:rsidR="0036578C">
        <w:rPr>
          <w:rFonts w:cs="Arial"/>
          <w:sz w:val="24"/>
          <w:szCs w:val="24"/>
        </w:rPr>
        <w:t>, bem assim a atuação dos fiscais na gestão do contrato</w:t>
      </w:r>
      <w:r w:rsidR="00E81649">
        <w:rPr>
          <w:rFonts w:cs="Arial"/>
          <w:sz w:val="24"/>
          <w:szCs w:val="24"/>
        </w:rPr>
        <w:t>.</w:t>
      </w:r>
    </w:p>
    <w:p w:rsidR="001D0169" w:rsidRDefault="00FC5E51" w:rsidP="00FC5E51">
      <w:pPr>
        <w:jc w:val="both"/>
        <w:rPr>
          <w:bCs/>
          <w:sz w:val="24"/>
          <w:szCs w:val="24"/>
        </w:rPr>
      </w:pPr>
      <w:r w:rsidRPr="00FC5E51">
        <w:rPr>
          <w:bCs/>
          <w:sz w:val="24"/>
          <w:szCs w:val="24"/>
        </w:rPr>
        <w:t>1.1</w:t>
      </w:r>
      <w:r w:rsidR="00473798">
        <w:rPr>
          <w:bCs/>
          <w:sz w:val="24"/>
          <w:szCs w:val="24"/>
        </w:rPr>
        <w:t>1</w:t>
      </w:r>
      <w:r w:rsidRPr="00FC5E51">
        <w:rPr>
          <w:bCs/>
          <w:sz w:val="24"/>
          <w:szCs w:val="24"/>
        </w:rPr>
        <w:t xml:space="preserve"> </w:t>
      </w:r>
      <w:r w:rsidR="00E81649">
        <w:rPr>
          <w:bCs/>
          <w:sz w:val="24"/>
          <w:szCs w:val="24"/>
        </w:rPr>
        <w:t xml:space="preserve">A fim </w:t>
      </w:r>
      <w:r w:rsidR="00D1382A">
        <w:rPr>
          <w:bCs/>
          <w:sz w:val="24"/>
          <w:szCs w:val="24"/>
        </w:rPr>
        <w:t xml:space="preserve">de </w:t>
      </w:r>
      <w:r w:rsidR="00E81649">
        <w:rPr>
          <w:bCs/>
          <w:sz w:val="24"/>
          <w:szCs w:val="24"/>
        </w:rPr>
        <w:t xml:space="preserve">obter evidências que possibilitassem a avaliação da contratação foram aplicados procedimentos de análise documental, inspeções e entrevistas </w:t>
      </w:r>
      <w:proofErr w:type="gramStart"/>
      <w:r w:rsidR="00E81649">
        <w:rPr>
          <w:bCs/>
          <w:sz w:val="24"/>
          <w:szCs w:val="24"/>
        </w:rPr>
        <w:t xml:space="preserve">consolidados </w:t>
      </w:r>
      <w:r w:rsidR="001D0169">
        <w:rPr>
          <w:bCs/>
          <w:sz w:val="24"/>
          <w:szCs w:val="24"/>
        </w:rPr>
        <w:t xml:space="preserve">nos </w:t>
      </w:r>
      <w:r w:rsidR="00E81649">
        <w:rPr>
          <w:bCs/>
          <w:sz w:val="24"/>
          <w:szCs w:val="24"/>
        </w:rPr>
        <w:t>papéis de trabalho</w:t>
      </w:r>
      <w:proofErr w:type="gramEnd"/>
      <w:r w:rsidR="001D0169">
        <w:rPr>
          <w:bCs/>
          <w:sz w:val="24"/>
          <w:szCs w:val="24"/>
        </w:rPr>
        <w:t>:</w:t>
      </w:r>
      <w:r w:rsidRPr="00FC5E51">
        <w:rPr>
          <w:bCs/>
          <w:sz w:val="24"/>
          <w:szCs w:val="24"/>
        </w:rPr>
        <w:t xml:space="preserve"> </w:t>
      </w:r>
      <w:r w:rsidRPr="009E1E7A">
        <w:rPr>
          <w:bCs/>
          <w:sz w:val="24"/>
          <w:szCs w:val="24"/>
        </w:rPr>
        <w:t xml:space="preserve">“Extrato de Entrevista” (realizadas com os fiscais </w:t>
      </w:r>
      <w:r w:rsidR="00A627CE">
        <w:rPr>
          <w:bCs/>
          <w:sz w:val="24"/>
          <w:szCs w:val="24"/>
        </w:rPr>
        <w:t xml:space="preserve">e </w:t>
      </w:r>
      <w:r w:rsidRPr="009E1E7A">
        <w:rPr>
          <w:bCs/>
          <w:sz w:val="24"/>
          <w:szCs w:val="24"/>
        </w:rPr>
        <w:t xml:space="preserve">gestores do </w:t>
      </w:r>
      <w:r w:rsidR="00A627CE">
        <w:rPr>
          <w:bCs/>
          <w:sz w:val="24"/>
          <w:szCs w:val="24"/>
        </w:rPr>
        <w:t>C</w:t>
      </w:r>
      <w:r w:rsidRPr="009E1E7A">
        <w:rPr>
          <w:bCs/>
          <w:sz w:val="24"/>
          <w:szCs w:val="24"/>
        </w:rPr>
        <w:t>ontrato</w:t>
      </w:r>
      <w:r w:rsidR="00A627CE">
        <w:rPr>
          <w:bCs/>
          <w:sz w:val="24"/>
          <w:szCs w:val="24"/>
        </w:rPr>
        <w:t xml:space="preserve"> n. 161/2014 e os gestores </w:t>
      </w:r>
      <w:r w:rsidR="001D0169" w:rsidRPr="009E1E7A">
        <w:rPr>
          <w:bCs/>
          <w:sz w:val="24"/>
          <w:szCs w:val="24"/>
        </w:rPr>
        <w:t>envolvidos no processo d</w:t>
      </w:r>
      <w:r w:rsidR="00D234C1">
        <w:rPr>
          <w:bCs/>
          <w:sz w:val="24"/>
          <w:szCs w:val="24"/>
        </w:rPr>
        <w:t>e</w:t>
      </w:r>
      <w:r w:rsidR="001D0169" w:rsidRPr="009E1E7A">
        <w:rPr>
          <w:bCs/>
          <w:sz w:val="24"/>
          <w:szCs w:val="24"/>
        </w:rPr>
        <w:t xml:space="preserve"> contratação das interligações</w:t>
      </w:r>
      <w:r w:rsidRPr="009E1E7A">
        <w:rPr>
          <w:bCs/>
          <w:sz w:val="24"/>
          <w:szCs w:val="24"/>
        </w:rPr>
        <w:t>), “</w:t>
      </w:r>
      <w:proofErr w:type="spellStart"/>
      <w:r w:rsidRPr="009E1E7A">
        <w:rPr>
          <w:bCs/>
          <w:i/>
          <w:sz w:val="24"/>
          <w:szCs w:val="24"/>
        </w:rPr>
        <w:t>Check</w:t>
      </w:r>
      <w:proofErr w:type="spellEnd"/>
      <w:r w:rsidRPr="009E1E7A">
        <w:rPr>
          <w:bCs/>
          <w:i/>
          <w:sz w:val="24"/>
          <w:szCs w:val="24"/>
        </w:rPr>
        <w:t xml:space="preserve"> </w:t>
      </w:r>
      <w:proofErr w:type="spellStart"/>
      <w:r w:rsidRPr="009E1E7A">
        <w:rPr>
          <w:bCs/>
          <w:i/>
          <w:sz w:val="24"/>
          <w:szCs w:val="24"/>
        </w:rPr>
        <w:t>list</w:t>
      </w:r>
      <w:proofErr w:type="spellEnd"/>
      <w:r w:rsidRPr="009E1E7A">
        <w:rPr>
          <w:bCs/>
          <w:i/>
          <w:sz w:val="24"/>
          <w:szCs w:val="24"/>
        </w:rPr>
        <w:t>”</w:t>
      </w:r>
      <w:r w:rsidRPr="009E1E7A">
        <w:rPr>
          <w:bCs/>
          <w:sz w:val="24"/>
          <w:szCs w:val="24"/>
        </w:rPr>
        <w:t xml:space="preserve"> relativo à inspeção in loco realizada no CDC (com verificação de </w:t>
      </w:r>
      <w:r w:rsidR="001D0169" w:rsidRPr="009E1E7A">
        <w:rPr>
          <w:bCs/>
          <w:sz w:val="24"/>
          <w:szCs w:val="24"/>
        </w:rPr>
        <w:t>11</w:t>
      </w:r>
      <w:r w:rsidRPr="009E1E7A">
        <w:rPr>
          <w:bCs/>
          <w:sz w:val="24"/>
          <w:szCs w:val="24"/>
        </w:rPr>
        <w:t xml:space="preserve"> itens), “Análise de </w:t>
      </w:r>
      <w:r w:rsidR="001D0169" w:rsidRPr="009E1E7A">
        <w:rPr>
          <w:bCs/>
          <w:sz w:val="24"/>
          <w:szCs w:val="24"/>
        </w:rPr>
        <w:t>Conformidade</w:t>
      </w:r>
      <w:r w:rsidRPr="009E1E7A">
        <w:rPr>
          <w:bCs/>
          <w:sz w:val="24"/>
          <w:szCs w:val="24"/>
        </w:rPr>
        <w:t xml:space="preserve"> do Processo de Contratação”</w:t>
      </w:r>
      <w:r w:rsidR="001D0169" w:rsidRPr="009E1E7A">
        <w:rPr>
          <w:bCs/>
          <w:sz w:val="24"/>
          <w:szCs w:val="24"/>
        </w:rPr>
        <w:t xml:space="preserve"> e</w:t>
      </w:r>
      <w:r w:rsidR="001D0169">
        <w:rPr>
          <w:bCs/>
          <w:sz w:val="24"/>
          <w:szCs w:val="24"/>
        </w:rPr>
        <w:t xml:space="preserve"> </w:t>
      </w:r>
      <w:r w:rsidR="001D0169" w:rsidRPr="00FC5E51">
        <w:rPr>
          <w:bCs/>
          <w:sz w:val="24"/>
          <w:szCs w:val="24"/>
        </w:rPr>
        <w:t>“</w:t>
      </w:r>
      <w:r w:rsidR="001D0169">
        <w:rPr>
          <w:bCs/>
          <w:sz w:val="24"/>
          <w:szCs w:val="24"/>
        </w:rPr>
        <w:t>A</w:t>
      </w:r>
      <w:r w:rsidR="001D0169" w:rsidRPr="00FC5E51">
        <w:rPr>
          <w:bCs/>
          <w:sz w:val="24"/>
          <w:szCs w:val="24"/>
        </w:rPr>
        <w:t xml:space="preserve">nálise </w:t>
      </w:r>
      <w:r w:rsidR="001D0169">
        <w:rPr>
          <w:bCs/>
          <w:sz w:val="24"/>
          <w:szCs w:val="24"/>
        </w:rPr>
        <w:t>da</w:t>
      </w:r>
      <w:r w:rsidR="001D0169" w:rsidRPr="00FC5E51">
        <w:rPr>
          <w:bCs/>
          <w:sz w:val="24"/>
          <w:szCs w:val="24"/>
        </w:rPr>
        <w:t xml:space="preserve"> </w:t>
      </w:r>
      <w:r w:rsidR="001D0169">
        <w:rPr>
          <w:bCs/>
          <w:sz w:val="24"/>
          <w:szCs w:val="24"/>
        </w:rPr>
        <w:t xml:space="preserve">Conformidade </w:t>
      </w:r>
      <w:r w:rsidR="001D0169" w:rsidRPr="00FC5E51">
        <w:rPr>
          <w:bCs/>
          <w:sz w:val="24"/>
          <w:szCs w:val="24"/>
        </w:rPr>
        <w:t xml:space="preserve">dos </w:t>
      </w:r>
      <w:r w:rsidR="00897A72">
        <w:rPr>
          <w:bCs/>
          <w:sz w:val="24"/>
          <w:szCs w:val="24"/>
        </w:rPr>
        <w:t>Pagamentos E</w:t>
      </w:r>
      <w:r w:rsidR="001D0169" w:rsidRPr="00FC5E51">
        <w:rPr>
          <w:bCs/>
          <w:sz w:val="24"/>
          <w:szCs w:val="24"/>
        </w:rPr>
        <w:t>fetuados</w:t>
      </w:r>
      <w:r w:rsidR="001D0169">
        <w:rPr>
          <w:bCs/>
          <w:sz w:val="24"/>
          <w:szCs w:val="24"/>
        </w:rPr>
        <w:t xml:space="preserve">”. Durante a execução dos trabalhos foi realizada </w:t>
      </w:r>
      <w:r w:rsidRPr="00FC5E51">
        <w:rPr>
          <w:bCs/>
          <w:sz w:val="24"/>
          <w:szCs w:val="24"/>
        </w:rPr>
        <w:t xml:space="preserve">circularização à empresa contratada, </w:t>
      </w:r>
      <w:r w:rsidR="001D0169">
        <w:rPr>
          <w:bCs/>
          <w:sz w:val="24"/>
          <w:szCs w:val="24"/>
        </w:rPr>
        <w:t>com o objetivo de confirmar e/ou esclarecer pontos relativos ao contrato.</w:t>
      </w:r>
    </w:p>
    <w:p w:rsidR="00E8312A" w:rsidRPr="009E1E7A" w:rsidRDefault="001D0169" w:rsidP="009E1E7A">
      <w:pPr>
        <w:jc w:val="both"/>
        <w:rPr>
          <w:rFonts w:cs="Arial"/>
          <w:sz w:val="24"/>
          <w:szCs w:val="24"/>
        </w:rPr>
      </w:pPr>
      <w:r w:rsidRPr="009E1E7A">
        <w:rPr>
          <w:rFonts w:cs="Arial"/>
          <w:sz w:val="24"/>
          <w:szCs w:val="24"/>
        </w:rPr>
        <w:t>1</w:t>
      </w:r>
      <w:r w:rsidR="009E1E7A" w:rsidRPr="009E1E7A">
        <w:rPr>
          <w:rFonts w:cs="Arial"/>
          <w:sz w:val="24"/>
          <w:szCs w:val="24"/>
        </w:rPr>
        <w:t>.</w:t>
      </w:r>
      <w:r w:rsidRPr="009E1E7A">
        <w:rPr>
          <w:rFonts w:cs="Arial"/>
          <w:sz w:val="24"/>
          <w:szCs w:val="24"/>
        </w:rPr>
        <w:t>1</w:t>
      </w:r>
      <w:r w:rsidR="00473798">
        <w:rPr>
          <w:rFonts w:cs="Arial"/>
          <w:sz w:val="24"/>
          <w:szCs w:val="24"/>
        </w:rPr>
        <w:t>2</w:t>
      </w:r>
      <w:r w:rsidR="006C1250">
        <w:rPr>
          <w:rFonts w:cs="Arial"/>
          <w:sz w:val="24"/>
          <w:szCs w:val="24"/>
        </w:rPr>
        <w:t xml:space="preserve"> </w:t>
      </w:r>
      <w:r w:rsidR="00E8312A" w:rsidRPr="009E1E7A">
        <w:rPr>
          <w:rFonts w:cs="Arial"/>
          <w:sz w:val="24"/>
          <w:szCs w:val="24"/>
        </w:rPr>
        <w:t xml:space="preserve">No intuito de viabilizar análises necessárias à elucidação das questões de inspeção formuladas </w:t>
      </w:r>
      <w:r w:rsidRPr="009E1E7A">
        <w:rPr>
          <w:rFonts w:cs="Arial"/>
          <w:sz w:val="24"/>
          <w:szCs w:val="24"/>
        </w:rPr>
        <w:t xml:space="preserve">foram solicitadas informações adicionais por meio de Requisição de </w:t>
      </w:r>
      <w:r w:rsidR="00E8312A" w:rsidRPr="009E1E7A">
        <w:rPr>
          <w:rFonts w:cs="Arial"/>
          <w:sz w:val="24"/>
          <w:szCs w:val="24"/>
        </w:rPr>
        <w:t xml:space="preserve">Documentos e/ou Informações (RDI) </w:t>
      </w:r>
      <w:proofErr w:type="gramStart"/>
      <w:r w:rsidR="00E8312A" w:rsidRPr="009E1E7A">
        <w:rPr>
          <w:rFonts w:cs="Arial"/>
          <w:sz w:val="24"/>
          <w:szCs w:val="24"/>
        </w:rPr>
        <w:t>sob números</w:t>
      </w:r>
      <w:proofErr w:type="gramEnd"/>
      <w:r w:rsidR="00E8312A" w:rsidRPr="009E1E7A">
        <w:rPr>
          <w:rFonts w:cs="Arial"/>
          <w:sz w:val="24"/>
          <w:szCs w:val="24"/>
        </w:rPr>
        <w:t xml:space="preserve"> de ordem </w:t>
      </w:r>
      <w:r w:rsidR="00897A72" w:rsidRPr="00897A72">
        <w:rPr>
          <w:rFonts w:cs="Arial"/>
          <w:sz w:val="24"/>
          <w:szCs w:val="24"/>
        </w:rPr>
        <w:t>01, 02, 03, 04, 10, 21, 22, 23 e 24/2016</w:t>
      </w:r>
      <w:r w:rsidR="00E8312A" w:rsidRPr="009E1E7A">
        <w:rPr>
          <w:rFonts w:cs="Arial"/>
          <w:sz w:val="24"/>
          <w:szCs w:val="24"/>
        </w:rPr>
        <w:t>.</w:t>
      </w:r>
    </w:p>
    <w:p w:rsidR="00FC5E51" w:rsidRPr="009E1E7A" w:rsidRDefault="00FC5E51" w:rsidP="00FC5E51">
      <w:pPr>
        <w:jc w:val="both"/>
        <w:rPr>
          <w:sz w:val="24"/>
          <w:szCs w:val="24"/>
        </w:rPr>
      </w:pPr>
      <w:r w:rsidRPr="009E1E7A">
        <w:rPr>
          <w:rFonts w:cs="Arial"/>
          <w:sz w:val="24"/>
          <w:szCs w:val="24"/>
        </w:rPr>
        <w:t>1.1</w:t>
      </w:r>
      <w:r w:rsidR="00473798">
        <w:rPr>
          <w:rFonts w:cs="Arial"/>
          <w:sz w:val="24"/>
          <w:szCs w:val="24"/>
        </w:rPr>
        <w:t>3</w:t>
      </w:r>
      <w:r w:rsidR="009E1E7A" w:rsidRPr="009E1E7A">
        <w:rPr>
          <w:rFonts w:cs="Arial"/>
          <w:sz w:val="24"/>
          <w:szCs w:val="24"/>
        </w:rPr>
        <w:t xml:space="preserve"> </w:t>
      </w:r>
      <w:r w:rsidRPr="009E1E7A">
        <w:rPr>
          <w:rFonts w:cs="Arial"/>
          <w:sz w:val="24"/>
          <w:szCs w:val="24"/>
        </w:rPr>
        <w:t xml:space="preserve">Ademais, ao longo da análise do processo de aquisição do CDC, foram </w:t>
      </w:r>
      <w:r w:rsidR="00AE5620" w:rsidRPr="00AE5620">
        <w:rPr>
          <w:rFonts w:cs="Arial"/>
          <w:sz w:val="24"/>
          <w:szCs w:val="24"/>
        </w:rPr>
        <w:t>consultados</w:t>
      </w:r>
      <w:r w:rsidR="009E1E7A" w:rsidRPr="00AE5620">
        <w:rPr>
          <w:rFonts w:cs="Arial"/>
          <w:sz w:val="24"/>
          <w:szCs w:val="24"/>
        </w:rPr>
        <w:t xml:space="preserve">, </w:t>
      </w:r>
      <w:r w:rsidRPr="00AE5620">
        <w:rPr>
          <w:rFonts w:cs="Arial"/>
          <w:sz w:val="24"/>
          <w:szCs w:val="24"/>
        </w:rPr>
        <w:t xml:space="preserve">o </w:t>
      </w:r>
      <w:r w:rsidRPr="009E1E7A">
        <w:rPr>
          <w:rFonts w:cs="Arial"/>
          <w:sz w:val="24"/>
          <w:szCs w:val="24"/>
        </w:rPr>
        <w:t xml:space="preserve">Processo SADP n. 19.308/2014, referente à aquisição de solução de data </w:t>
      </w:r>
      <w:proofErr w:type="gramStart"/>
      <w:r w:rsidRPr="009E1E7A">
        <w:rPr>
          <w:rFonts w:cs="Arial"/>
          <w:sz w:val="24"/>
          <w:szCs w:val="24"/>
        </w:rPr>
        <w:t>center</w:t>
      </w:r>
      <w:proofErr w:type="gramEnd"/>
      <w:r w:rsidRPr="009E1E7A">
        <w:rPr>
          <w:rFonts w:cs="Arial"/>
          <w:sz w:val="24"/>
          <w:szCs w:val="24"/>
        </w:rPr>
        <w:t xml:space="preserve"> em contêiner;</w:t>
      </w:r>
      <w:r w:rsidRPr="009E1E7A">
        <w:rPr>
          <w:sz w:val="24"/>
          <w:szCs w:val="24"/>
        </w:rPr>
        <w:t xml:space="preserve"> abrangendo o fornecimento e instalação do CDC,</w:t>
      </w:r>
      <w:r w:rsidR="009E1E7A" w:rsidRPr="009E1E7A">
        <w:rPr>
          <w:sz w:val="24"/>
          <w:szCs w:val="24"/>
        </w:rPr>
        <w:t xml:space="preserve"> </w:t>
      </w:r>
      <w:r w:rsidRPr="009E1E7A">
        <w:rPr>
          <w:sz w:val="24"/>
          <w:szCs w:val="24"/>
        </w:rPr>
        <w:t>a transferência dos equipamentos</w:t>
      </w:r>
      <w:r w:rsidR="00D1382A">
        <w:rPr>
          <w:sz w:val="24"/>
          <w:szCs w:val="24"/>
        </w:rPr>
        <w:t xml:space="preserve"> (</w:t>
      </w:r>
      <w:proofErr w:type="spellStart"/>
      <w:r w:rsidR="00D1382A" w:rsidRPr="00D1382A">
        <w:rPr>
          <w:i/>
          <w:sz w:val="24"/>
          <w:szCs w:val="24"/>
        </w:rPr>
        <w:t>moving</w:t>
      </w:r>
      <w:proofErr w:type="spellEnd"/>
      <w:r w:rsidR="00D1382A">
        <w:rPr>
          <w:sz w:val="24"/>
          <w:szCs w:val="24"/>
        </w:rPr>
        <w:t>)</w:t>
      </w:r>
      <w:r w:rsidRPr="009E1E7A">
        <w:rPr>
          <w:sz w:val="24"/>
          <w:szCs w:val="24"/>
        </w:rPr>
        <w:t xml:space="preserve"> </w:t>
      </w:r>
      <w:r w:rsidR="009E1E7A" w:rsidRPr="009E1E7A">
        <w:rPr>
          <w:sz w:val="24"/>
          <w:szCs w:val="24"/>
        </w:rPr>
        <w:t xml:space="preserve">e </w:t>
      </w:r>
      <w:r w:rsidRPr="009E1E7A">
        <w:rPr>
          <w:sz w:val="24"/>
          <w:szCs w:val="24"/>
        </w:rPr>
        <w:t xml:space="preserve">manutenções preventivas mensais e corretivas eventuais (arquivado em virtude da aquisição de CDC por adesão a ata de registro de preços); bem como, o PAD n. 12.476/2015, relativo à contratação de empresa especializada para a execução </w:t>
      </w:r>
      <w:r w:rsidR="00D1382A">
        <w:rPr>
          <w:sz w:val="24"/>
          <w:szCs w:val="24"/>
        </w:rPr>
        <w:t>dos serviços de interligação</w:t>
      </w:r>
      <w:r w:rsidRPr="009E1E7A">
        <w:rPr>
          <w:sz w:val="24"/>
          <w:szCs w:val="24"/>
        </w:rPr>
        <w:t xml:space="preserve"> elétrica e lógica do data center contêiner adquirido pelo Tribunal.</w:t>
      </w:r>
    </w:p>
    <w:p w:rsidR="00FC5E51" w:rsidRDefault="006C1250" w:rsidP="00FC5E51">
      <w:pPr>
        <w:jc w:val="both"/>
        <w:rPr>
          <w:bCs/>
          <w:sz w:val="24"/>
          <w:szCs w:val="24"/>
        </w:rPr>
      </w:pPr>
      <w:r w:rsidRPr="006C1250">
        <w:rPr>
          <w:bCs/>
          <w:sz w:val="24"/>
          <w:szCs w:val="24"/>
        </w:rPr>
        <w:lastRenderedPageBreak/>
        <w:t>1.1</w:t>
      </w:r>
      <w:r w:rsidR="00473798">
        <w:rPr>
          <w:bCs/>
          <w:sz w:val="24"/>
          <w:szCs w:val="24"/>
        </w:rPr>
        <w:t>4</w:t>
      </w:r>
      <w:r w:rsidR="00FC5E51" w:rsidRPr="006C1250">
        <w:rPr>
          <w:bCs/>
          <w:sz w:val="24"/>
          <w:szCs w:val="24"/>
        </w:rPr>
        <w:t xml:space="preserve"> Ressalta-se que a ACECO TI, em </w:t>
      </w:r>
      <w:r w:rsidR="00FC5E51" w:rsidRPr="00AE5620">
        <w:rPr>
          <w:bCs/>
          <w:sz w:val="24"/>
          <w:szCs w:val="24"/>
        </w:rPr>
        <w:t xml:space="preserve">resposta </w:t>
      </w:r>
      <w:r w:rsidR="0072575F" w:rsidRPr="00AE5620">
        <w:rPr>
          <w:bCs/>
          <w:sz w:val="24"/>
          <w:szCs w:val="24"/>
        </w:rPr>
        <w:t xml:space="preserve">à </w:t>
      </w:r>
      <w:r w:rsidRPr="00AE5620">
        <w:rPr>
          <w:bCs/>
          <w:sz w:val="24"/>
          <w:szCs w:val="24"/>
        </w:rPr>
        <w:t>circularização realizada (</w:t>
      </w:r>
      <w:r w:rsidR="00FC5E51" w:rsidRPr="00AE5620">
        <w:rPr>
          <w:bCs/>
          <w:sz w:val="24"/>
          <w:szCs w:val="24"/>
        </w:rPr>
        <w:t>Ofício n. 01/SEAGES/COGES/2016</w:t>
      </w:r>
      <w:r w:rsidRPr="00AE5620">
        <w:rPr>
          <w:bCs/>
          <w:sz w:val="24"/>
          <w:szCs w:val="24"/>
        </w:rPr>
        <w:t>)</w:t>
      </w:r>
      <w:r w:rsidR="00FC5E51" w:rsidRPr="00AE5620">
        <w:rPr>
          <w:bCs/>
          <w:sz w:val="24"/>
          <w:szCs w:val="24"/>
        </w:rPr>
        <w:t>, apresentou Relatório Técnico ac</w:t>
      </w:r>
      <w:r w:rsidR="00FC5E51" w:rsidRPr="006C1250">
        <w:rPr>
          <w:bCs/>
          <w:sz w:val="24"/>
          <w:szCs w:val="24"/>
        </w:rPr>
        <w:t xml:space="preserve">erca da prestação do serviço de manutenção preventiva e corretiva </w:t>
      </w:r>
      <w:r w:rsidR="00D1382A">
        <w:rPr>
          <w:bCs/>
          <w:sz w:val="24"/>
          <w:szCs w:val="24"/>
        </w:rPr>
        <w:t>d</w:t>
      </w:r>
      <w:r w:rsidR="00FC5E51" w:rsidRPr="006C1250">
        <w:rPr>
          <w:bCs/>
          <w:sz w:val="24"/>
          <w:szCs w:val="24"/>
        </w:rPr>
        <w:t>os sistemas e subsistemas do CDC (Doc. PAD n. 123.147</w:t>
      </w:r>
      <w:r w:rsidR="004B7F53">
        <w:rPr>
          <w:bCs/>
          <w:sz w:val="24"/>
          <w:szCs w:val="24"/>
        </w:rPr>
        <w:t>, de 12/7/</w:t>
      </w:r>
      <w:r w:rsidR="00FC5E51" w:rsidRPr="006C1250">
        <w:rPr>
          <w:bCs/>
          <w:sz w:val="24"/>
          <w:szCs w:val="24"/>
        </w:rPr>
        <w:t xml:space="preserve">2016), </w:t>
      </w:r>
      <w:r w:rsidRPr="006C1250">
        <w:rPr>
          <w:bCs/>
          <w:sz w:val="24"/>
          <w:szCs w:val="24"/>
        </w:rPr>
        <w:t>com recomendações de</w:t>
      </w:r>
      <w:r w:rsidR="00FC5E51" w:rsidRPr="006C1250">
        <w:rPr>
          <w:bCs/>
          <w:sz w:val="24"/>
          <w:szCs w:val="24"/>
        </w:rPr>
        <w:t xml:space="preserve"> que, mesmo o sistema não estando em operação, não </w:t>
      </w:r>
      <w:proofErr w:type="gramStart"/>
      <w:r w:rsidR="00FC5E51" w:rsidRPr="006C1250">
        <w:rPr>
          <w:bCs/>
          <w:sz w:val="24"/>
          <w:szCs w:val="24"/>
        </w:rPr>
        <w:t>sejam interrompidas</w:t>
      </w:r>
      <w:proofErr w:type="gramEnd"/>
      <w:r w:rsidR="00FC5E51" w:rsidRPr="006C1250">
        <w:rPr>
          <w:bCs/>
          <w:sz w:val="24"/>
          <w:szCs w:val="24"/>
        </w:rPr>
        <w:t xml:space="preserve"> as inspeções e limpezas para conservar os equipamentos disponíveis. </w:t>
      </w:r>
      <w:r w:rsidRPr="006C1250">
        <w:rPr>
          <w:bCs/>
          <w:sz w:val="24"/>
          <w:szCs w:val="24"/>
        </w:rPr>
        <w:t>Diante da ausência de energização</w:t>
      </w:r>
      <w:r w:rsidR="00FC5E51" w:rsidRPr="006C1250">
        <w:rPr>
          <w:bCs/>
          <w:sz w:val="24"/>
          <w:szCs w:val="24"/>
        </w:rPr>
        <w:t>, propôs disponibilizar semestralmente um gerador, por 15 dias, para testes funcionais de todo o sistema CDC, até sua definitiva instalação pelo Tribunal, visando manter sua f</w:t>
      </w:r>
      <w:r w:rsidR="00D1382A">
        <w:rPr>
          <w:bCs/>
          <w:sz w:val="24"/>
          <w:szCs w:val="24"/>
        </w:rPr>
        <w:t>uncionalidade</w:t>
      </w:r>
      <w:r w:rsidR="00FC5E51" w:rsidRPr="006C1250">
        <w:rPr>
          <w:bCs/>
          <w:sz w:val="24"/>
          <w:szCs w:val="24"/>
        </w:rPr>
        <w:t>.</w:t>
      </w:r>
    </w:p>
    <w:p w:rsidR="004B7F53" w:rsidRPr="00D868ED" w:rsidRDefault="004B7F53" w:rsidP="00FC5E51">
      <w:pPr>
        <w:jc w:val="both"/>
        <w:rPr>
          <w:bCs/>
          <w:sz w:val="24"/>
          <w:szCs w:val="24"/>
        </w:rPr>
      </w:pPr>
      <w:r w:rsidRPr="00D868ED">
        <w:rPr>
          <w:bCs/>
          <w:sz w:val="24"/>
          <w:szCs w:val="24"/>
        </w:rPr>
        <w:t>1.15 Vale salientar</w:t>
      </w:r>
      <w:r w:rsidR="005776A2" w:rsidRPr="00D868ED">
        <w:rPr>
          <w:bCs/>
          <w:sz w:val="24"/>
          <w:szCs w:val="24"/>
        </w:rPr>
        <w:t xml:space="preserve"> que</w:t>
      </w:r>
      <w:r w:rsidR="00020367" w:rsidRPr="00D868ED">
        <w:rPr>
          <w:bCs/>
          <w:sz w:val="24"/>
          <w:szCs w:val="24"/>
        </w:rPr>
        <w:t>, tendo em vista a mencionada proposta da ACECO TI de disponibilizar gerador para testes funcionais dos sistemas do CDC, verificou</w:t>
      </w:r>
      <w:r w:rsidR="00D868ED">
        <w:rPr>
          <w:bCs/>
          <w:sz w:val="24"/>
          <w:szCs w:val="24"/>
        </w:rPr>
        <w:t>-se</w:t>
      </w:r>
      <w:r w:rsidR="001E3E67" w:rsidRPr="00D868ED">
        <w:rPr>
          <w:bCs/>
          <w:sz w:val="24"/>
          <w:szCs w:val="24"/>
        </w:rPr>
        <w:t>, após o encerramento da fase de execução da inspeção administrativa,</w:t>
      </w:r>
      <w:r w:rsidR="00020367" w:rsidRPr="00D868ED">
        <w:rPr>
          <w:bCs/>
          <w:sz w:val="24"/>
          <w:szCs w:val="24"/>
        </w:rPr>
        <w:t xml:space="preserve"> a possibilidade de realiza</w:t>
      </w:r>
      <w:r w:rsidR="001E3E67" w:rsidRPr="00D868ED">
        <w:rPr>
          <w:bCs/>
          <w:sz w:val="24"/>
          <w:szCs w:val="24"/>
        </w:rPr>
        <w:t>r</w:t>
      </w:r>
      <w:r w:rsidR="00020367" w:rsidRPr="00D868ED">
        <w:rPr>
          <w:bCs/>
          <w:sz w:val="24"/>
          <w:szCs w:val="24"/>
        </w:rPr>
        <w:t xml:space="preserve"> vistoria </w:t>
      </w:r>
      <w:r w:rsidR="001E3E67" w:rsidRPr="00D868ED">
        <w:rPr>
          <w:bCs/>
          <w:sz w:val="24"/>
          <w:szCs w:val="24"/>
        </w:rPr>
        <w:t>n</w:t>
      </w:r>
      <w:r w:rsidR="00020367" w:rsidRPr="00D868ED">
        <w:rPr>
          <w:bCs/>
          <w:sz w:val="24"/>
          <w:szCs w:val="24"/>
        </w:rPr>
        <w:t xml:space="preserve">o contêiner data </w:t>
      </w:r>
      <w:proofErr w:type="gramStart"/>
      <w:r w:rsidR="00020367" w:rsidRPr="00D868ED">
        <w:rPr>
          <w:bCs/>
          <w:sz w:val="24"/>
          <w:szCs w:val="24"/>
        </w:rPr>
        <w:t>center</w:t>
      </w:r>
      <w:proofErr w:type="gramEnd"/>
      <w:r w:rsidR="00020367" w:rsidRPr="00D868ED">
        <w:rPr>
          <w:bCs/>
          <w:sz w:val="24"/>
          <w:szCs w:val="24"/>
        </w:rPr>
        <w:t xml:space="preserve"> energizado</w:t>
      </w:r>
      <w:r w:rsidR="001E3E67" w:rsidRPr="00D868ED">
        <w:rPr>
          <w:bCs/>
          <w:sz w:val="24"/>
          <w:szCs w:val="24"/>
        </w:rPr>
        <w:t>, o que levou à</w:t>
      </w:r>
      <w:r w:rsidR="00020367" w:rsidRPr="00D868ED">
        <w:rPr>
          <w:bCs/>
          <w:sz w:val="24"/>
          <w:szCs w:val="24"/>
        </w:rPr>
        <w:t xml:space="preserve"> postergação da elaboração do presente relatório.</w:t>
      </w:r>
    </w:p>
    <w:p w:rsidR="003D02D7" w:rsidRPr="00E763F5" w:rsidRDefault="00A424DC" w:rsidP="002A2AC1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1.1</w:t>
      </w:r>
      <w:r w:rsidR="004B7F53">
        <w:rPr>
          <w:rFonts w:cs="Arial"/>
          <w:sz w:val="24"/>
          <w:szCs w:val="24"/>
        </w:rPr>
        <w:t>6</w:t>
      </w:r>
      <w:r w:rsidR="00473798">
        <w:rPr>
          <w:rFonts w:cs="Arial"/>
          <w:sz w:val="24"/>
          <w:szCs w:val="24"/>
        </w:rPr>
        <w:t xml:space="preserve"> </w:t>
      </w:r>
      <w:r w:rsidR="003D02D7" w:rsidRPr="00E763F5">
        <w:rPr>
          <w:bCs/>
          <w:sz w:val="24"/>
          <w:szCs w:val="24"/>
        </w:rPr>
        <w:t xml:space="preserve">Registre-se, por oportuno, que nenhum óbice foi imposto ao desenvolvimento dos trabalhos da presente inspeção. </w:t>
      </w:r>
      <w:r w:rsidR="003D02D7" w:rsidRPr="00023FCB">
        <w:rPr>
          <w:bCs/>
          <w:sz w:val="24"/>
          <w:szCs w:val="24"/>
        </w:rPr>
        <w:t>Não obstante a ausência de servidores com formação específica da especial</w:t>
      </w:r>
      <w:r w:rsidR="005356AD" w:rsidRPr="00023FCB">
        <w:rPr>
          <w:bCs/>
          <w:sz w:val="24"/>
          <w:szCs w:val="24"/>
        </w:rPr>
        <w:t xml:space="preserve">idade Tecnologia da Informação para as análises das questões técnicas da contratação, a equipe de </w:t>
      </w:r>
      <w:r w:rsidR="00473798">
        <w:rPr>
          <w:bCs/>
          <w:sz w:val="24"/>
          <w:szCs w:val="24"/>
        </w:rPr>
        <w:t>inspeção</w:t>
      </w:r>
      <w:r w:rsidR="005356AD" w:rsidRPr="00023FCB">
        <w:rPr>
          <w:bCs/>
          <w:sz w:val="24"/>
          <w:szCs w:val="24"/>
        </w:rPr>
        <w:t xml:space="preserve"> </w:t>
      </w:r>
      <w:r w:rsidR="00473798">
        <w:rPr>
          <w:bCs/>
          <w:sz w:val="24"/>
          <w:szCs w:val="24"/>
        </w:rPr>
        <w:t>ateve-se a</w:t>
      </w:r>
      <w:r w:rsidR="005356AD" w:rsidRPr="00023FCB">
        <w:rPr>
          <w:bCs/>
          <w:sz w:val="24"/>
          <w:szCs w:val="24"/>
        </w:rPr>
        <w:t xml:space="preserve">o </w:t>
      </w:r>
      <w:r w:rsidR="00767ECA">
        <w:rPr>
          <w:bCs/>
          <w:sz w:val="24"/>
          <w:szCs w:val="24"/>
        </w:rPr>
        <w:t>escopo definido no planejamento dos trabalhos</w:t>
      </w:r>
      <w:r w:rsidR="005356AD" w:rsidRPr="00023FCB">
        <w:rPr>
          <w:bCs/>
          <w:sz w:val="24"/>
          <w:szCs w:val="24"/>
        </w:rPr>
        <w:t>.</w:t>
      </w:r>
    </w:p>
    <w:p w:rsidR="00965A66" w:rsidRPr="0072063B" w:rsidRDefault="00A424DC" w:rsidP="002A2AC1">
      <w:pPr>
        <w:pStyle w:val="TextosemFormata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1.1</w:t>
      </w:r>
      <w:r w:rsidR="004B7F53">
        <w:rPr>
          <w:rFonts w:ascii="Times New Roman" w:hAnsi="Times New Roman" w:cs="Times New Roman"/>
          <w:snapToGrid w:val="0"/>
          <w:sz w:val="24"/>
          <w:szCs w:val="24"/>
        </w:rPr>
        <w:t>7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FC5E51">
        <w:rPr>
          <w:rFonts w:ascii="Times New Roman" w:hAnsi="Times New Roman" w:cs="Times New Roman"/>
          <w:snapToGrid w:val="0"/>
          <w:sz w:val="24"/>
          <w:szCs w:val="24"/>
        </w:rPr>
        <w:t>Registre-se</w:t>
      </w:r>
      <w:proofErr w:type="gramEnd"/>
      <w:r w:rsidR="00965A66">
        <w:rPr>
          <w:rFonts w:ascii="Times New Roman" w:hAnsi="Times New Roman" w:cs="Times New Roman"/>
          <w:snapToGrid w:val="0"/>
          <w:sz w:val="24"/>
          <w:szCs w:val="24"/>
        </w:rPr>
        <w:t xml:space="preserve">, ainda, o apoio técnico prestado pelo </w:t>
      </w:r>
      <w:r w:rsidR="005A5E58">
        <w:rPr>
          <w:rFonts w:ascii="Times New Roman" w:hAnsi="Times New Roman" w:cs="Times New Roman"/>
          <w:snapToGrid w:val="0"/>
          <w:sz w:val="24"/>
          <w:szCs w:val="24"/>
        </w:rPr>
        <w:t>funcionário</w:t>
      </w:r>
      <w:r w:rsidR="00965A6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222A0">
        <w:rPr>
          <w:rFonts w:ascii="Times New Roman" w:hAnsi="Times New Roman" w:cs="Times New Roman"/>
          <w:snapToGrid w:val="0"/>
          <w:sz w:val="24"/>
          <w:szCs w:val="24"/>
        </w:rPr>
        <w:t>Cássio Danilo Cardoso Santana Telles</w:t>
      </w:r>
      <w:r w:rsidR="00965A66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3222A0">
        <w:rPr>
          <w:rFonts w:ascii="Times New Roman" w:hAnsi="Times New Roman" w:cs="Times New Roman"/>
          <w:snapToGrid w:val="0"/>
          <w:sz w:val="24"/>
          <w:szCs w:val="24"/>
        </w:rPr>
        <w:t xml:space="preserve">Técnico de suporte da </w:t>
      </w:r>
      <w:r w:rsidR="005A5E58">
        <w:rPr>
          <w:rFonts w:ascii="Times New Roman" w:hAnsi="Times New Roman" w:cs="Times New Roman"/>
          <w:snapToGrid w:val="0"/>
          <w:sz w:val="24"/>
          <w:szCs w:val="24"/>
        </w:rPr>
        <w:t xml:space="preserve">empresa </w:t>
      </w:r>
      <w:r w:rsidR="003222A0">
        <w:rPr>
          <w:rFonts w:ascii="Times New Roman" w:hAnsi="Times New Roman" w:cs="Times New Roman"/>
          <w:snapToGrid w:val="0"/>
          <w:sz w:val="24"/>
          <w:szCs w:val="24"/>
        </w:rPr>
        <w:t>CTIS</w:t>
      </w:r>
      <w:r w:rsidR="005A5E58">
        <w:rPr>
          <w:rFonts w:ascii="Times New Roman" w:hAnsi="Times New Roman" w:cs="Times New Roman"/>
          <w:snapToGrid w:val="0"/>
          <w:sz w:val="24"/>
          <w:szCs w:val="24"/>
        </w:rPr>
        <w:t xml:space="preserve"> Tecnologia S/A</w:t>
      </w:r>
      <w:r w:rsidR="004E39D6">
        <w:rPr>
          <w:rFonts w:ascii="Times New Roman" w:hAnsi="Times New Roman" w:cs="Times New Roman"/>
          <w:snapToGrid w:val="0"/>
          <w:sz w:val="24"/>
          <w:szCs w:val="24"/>
        </w:rPr>
        <w:t xml:space="preserve"> (prestadora de serviços de TI contratada pelo Tribunal), </w:t>
      </w:r>
      <w:r w:rsidR="00965A66">
        <w:rPr>
          <w:rFonts w:ascii="Times New Roman" w:hAnsi="Times New Roman" w:cs="Times New Roman"/>
          <w:snapToGrid w:val="0"/>
          <w:sz w:val="24"/>
          <w:szCs w:val="24"/>
        </w:rPr>
        <w:t xml:space="preserve">quando da realização de atividades que demandaram conhecimentos especializados. </w:t>
      </w:r>
    </w:p>
    <w:p w:rsidR="00106862" w:rsidRPr="00857003" w:rsidRDefault="00106862" w:rsidP="002A2AC1">
      <w:pPr>
        <w:rPr>
          <w:sz w:val="24"/>
          <w:szCs w:val="24"/>
        </w:rPr>
      </w:pPr>
    </w:p>
    <w:p w:rsidR="00604FE6" w:rsidRPr="00064450" w:rsidRDefault="00F61F7B" w:rsidP="002A2AC1">
      <w:pPr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9C1E05" w:rsidRPr="00CB13FF">
        <w:rPr>
          <w:b/>
          <w:sz w:val="24"/>
          <w:szCs w:val="24"/>
        </w:rPr>
        <w:t xml:space="preserve">. </w:t>
      </w:r>
      <w:r w:rsidR="003A1453" w:rsidRPr="00CB13FF">
        <w:rPr>
          <w:b/>
          <w:sz w:val="24"/>
          <w:szCs w:val="24"/>
        </w:rPr>
        <w:t xml:space="preserve">ACHADOS </w:t>
      </w:r>
      <w:r w:rsidR="00FF0A59">
        <w:rPr>
          <w:b/>
          <w:sz w:val="24"/>
          <w:szCs w:val="24"/>
        </w:rPr>
        <w:t xml:space="preserve">DA </w:t>
      </w:r>
      <w:r w:rsidR="00F45A8C">
        <w:rPr>
          <w:b/>
          <w:sz w:val="24"/>
          <w:szCs w:val="24"/>
        </w:rPr>
        <w:t>INSPEÇÃO</w:t>
      </w:r>
    </w:p>
    <w:p w:rsidR="00A34B73" w:rsidRPr="00CB13FF" w:rsidRDefault="00674F7B" w:rsidP="002A2AC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Concluídas as etapas reservadas ao exame, análise e cotejo de documentos, registros e demais fontes de informação utilizadas </w:t>
      </w:r>
      <w:r w:rsidR="00FC5708">
        <w:rPr>
          <w:sz w:val="24"/>
          <w:szCs w:val="24"/>
        </w:rPr>
        <w:t>para elucidação das questões</w:t>
      </w:r>
      <w:r>
        <w:rPr>
          <w:sz w:val="24"/>
          <w:szCs w:val="24"/>
        </w:rPr>
        <w:t xml:space="preserve"> propostas, restaram evidenciados os seguintes achados:</w:t>
      </w:r>
    </w:p>
    <w:p w:rsidR="00D26E19" w:rsidRPr="00847EA1" w:rsidRDefault="00F61F7B" w:rsidP="002A2AC1">
      <w:pPr>
        <w:tabs>
          <w:tab w:val="left" w:pos="85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26E19" w:rsidRPr="00847EA1">
        <w:rPr>
          <w:b/>
          <w:sz w:val="24"/>
          <w:szCs w:val="24"/>
        </w:rPr>
        <w:t>.1.</w:t>
      </w:r>
      <w:r w:rsidR="00847EA1" w:rsidRPr="00847EA1">
        <w:rPr>
          <w:b/>
          <w:sz w:val="24"/>
          <w:szCs w:val="24"/>
        </w:rPr>
        <w:t xml:space="preserve"> </w:t>
      </w:r>
      <w:r w:rsidR="00FC5708">
        <w:rPr>
          <w:b/>
          <w:sz w:val="24"/>
          <w:szCs w:val="24"/>
        </w:rPr>
        <w:t>Aquisição de solução</w:t>
      </w:r>
      <w:r w:rsidR="00555566">
        <w:rPr>
          <w:b/>
          <w:sz w:val="24"/>
          <w:szCs w:val="24"/>
        </w:rPr>
        <w:t>, por adesão à ata de registro de preços</w:t>
      </w:r>
      <w:r w:rsidR="00EF37CD">
        <w:rPr>
          <w:b/>
          <w:sz w:val="24"/>
          <w:szCs w:val="24"/>
        </w:rPr>
        <w:t>,</w:t>
      </w:r>
      <w:r w:rsidR="00FC5708">
        <w:rPr>
          <w:b/>
          <w:sz w:val="24"/>
          <w:szCs w:val="24"/>
        </w:rPr>
        <w:t xml:space="preserve"> </w:t>
      </w:r>
      <w:r w:rsidR="00555566">
        <w:rPr>
          <w:b/>
          <w:sz w:val="24"/>
          <w:szCs w:val="24"/>
        </w:rPr>
        <w:t>com características insuficientes ao</w:t>
      </w:r>
      <w:r w:rsidR="00FC5708">
        <w:rPr>
          <w:b/>
          <w:sz w:val="24"/>
          <w:szCs w:val="24"/>
        </w:rPr>
        <w:t xml:space="preserve"> atendimento </w:t>
      </w:r>
      <w:r w:rsidR="00555566">
        <w:rPr>
          <w:b/>
          <w:sz w:val="24"/>
          <w:szCs w:val="24"/>
        </w:rPr>
        <w:t>da</w:t>
      </w:r>
      <w:r w:rsidR="00FC5708">
        <w:rPr>
          <w:b/>
          <w:sz w:val="24"/>
          <w:szCs w:val="24"/>
        </w:rPr>
        <w:t xml:space="preserve"> demanda do Órgão</w:t>
      </w:r>
      <w:r w:rsidR="00EF6552">
        <w:rPr>
          <w:b/>
          <w:sz w:val="24"/>
          <w:szCs w:val="24"/>
        </w:rPr>
        <w:t>.</w:t>
      </w:r>
    </w:p>
    <w:p w:rsidR="000714E1" w:rsidRPr="00B57ABA" w:rsidRDefault="00F17EEB" w:rsidP="002A2AC1">
      <w:pPr>
        <w:pStyle w:val="ecxmsonormal"/>
        <w:spacing w:after="120"/>
        <w:jc w:val="both"/>
        <w:rPr>
          <w:rFonts w:cs="Arial"/>
        </w:rPr>
      </w:pPr>
      <w:r>
        <w:rPr>
          <w:b/>
        </w:rPr>
        <w:t xml:space="preserve">2.1.1 </w:t>
      </w:r>
      <w:r w:rsidR="00D26E19" w:rsidRPr="00847EA1">
        <w:rPr>
          <w:b/>
          <w:i/>
        </w:rPr>
        <w:t>Situação Encontrada:</w:t>
      </w:r>
      <w:r w:rsidR="00847EA1" w:rsidRPr="00847EA1">
        <w:t xml:space="preserve"> </w:t>
      </w:r>
      <w:r w:rsidR="004F04AD" w:rsidRPr="00EF6552">
        <w:rPr>
          <w:rFonts w:cs="Arial"/>
        </w:rPr>
        <w:t>A</w:t>
      </w:r>
      <w:r w:rsidR="004F04AD" w:rsidRPr="00793BFC">
        <w:rPr>
          <w:rFonts w:cs="Arial"/>
        </w:rPr>
        <w:t xml:space="preserve">desão à Ata de Registro de Preços </w:t>
      </w:r>
      <w:r w:rsidR="004F04AD">
        <w:rPr>
          <w:rFonts w:cs="Arial"/>
        </w:rPr>
        <w:t xml:space="preserve">que atende somente parte da solução. </w:t>
      </w:r>
      <w:r w:rsidR="00FC5708" w:rsidRPr="00EF6552">
        <w:rPr>
          <w:rFonts w:cs="Arial"/>
        </w:rPr>
        <w:t>A aquisição contemp</w:t>
      </w:r>
      <w:r w:rsidR="004F04AD" w:rsidRPr="00EF6552">
        <w:rPr>
          <w:rFonts w:cs="Arial"/>
        </w:rPr>
        <w:t xml:space="preserve">lou apenas a </w:t>
      </w:r>
      <w:r w:rsidR="004F04AD">
        <w:rPr>
          <w:rFonts w:cs="Arial"/>
        </w:rPr>
        <w:t xml:space="preserve">solução CDC, não abrangeu as </w:t>
      </w:r>
      <w:r w:rsidR="00444237" w:rsidRPr="00793BFC">
        <w:rPr>
          <w:rFonts w:cs="Arial"/>
        </w:rPr>
        <w:t>interligaç</w:t>
      </w:r>
      <w:r w:rsidR="004F04AD">
        <w:rPr>
          <w:rFonts w:cs="Arial"/>
        </w:rPr>
        <w:t>ões</w:t>
      </w:r>
      <w:r w:rsidR="00444237" w:rsidRPr="00793BFC">
        <w:rPr>
          <w:rFonts w:cs="Arial"/>
        </w:rPr>
        <w:t xml:space="preserve"> elétrica</w:t>
      </w:r>
      <w:r w:rsidR="004F04AD">
        <w:rPr>
          <w:rFonts w:cs="Arial"/>
        </w:rPr>
        <w:t>s</w:t>
      </w:r>
      <w:r w:rsidR="00444237" w:rsidRPr="00793BFC">
        <w:rPr>
          <w:rFonts w:cs="Arial"/>
        </w:rPr>
        <w:t xml:space="preserve"> e </w:t>
      </w:r>
      <w:r w:rsidR="00444237" w:rsidRPr="004614BA">
        <w:rPr>
          <w:rFonts w:cs="Arial"/>
        </w:rPr>
        <w:t>lógica</w:t>
      </w:r>
      <w:r w:rsidR="004F04AD" w:rsidRPr="004614BA">
        <w:rPr>
          <w:rFonts w:cs="Arial"/>
        </w:rPr>
        <w:t>s</w:t>
      </w:r>
      <w:r w:rsidR="00444237" w:rsidRPr="004614BA">
        <w:rPr>
          <w:rFonts w:cs="Arial"/>
        </w:rPr>
        <w:t>,</w:t>
      </w:r>
      <w:r w:rsidR="00444237" w:rsidRPr="004614BA">
        <w:rPr>
          <w:rFonts w:cs="Arial"/>
          <w:color w:val="365F91" w:themeColor="accent1" w:themeShade="BF"/>
        </w:rPr>
        <w:t xml:space="preserve"> </w:t>
      </w:r>
      <w:r w:rsidR="004614BA" w:rsidRPr="00B57ABA">
        <w:rPr>
          <w:rFonts w:cs="Arial"/>
        </w:rPr>
        <w:t xml:space="preserve">nem a aquisição de gerador, </w:t>
      </w:r>
      <w:r w:rsidR="004F04AD" w:rsidRPr="00B57ABA">
        <w:rPr>
          <w:rFonts w:cs="Arial"/>
        </w:rPr>
        <w:t>não</w:t>
      </w:r>
      <w:r w:rsidR="004F04AD" w:rsidRPr="004614BA">
        <w:rPr>
          <w:rFonts w:cs="Arial"/>
        </w:rPr>
        <w:t xml:space="preserve"> atendendo, portanto, a </w:t>
      </w:r>
      <w:r w:rsidR="00EF6552" w:rsidRPr="004614BA">
        <w:rPr>
          <w:rFonts w:cs="Arial"/>
        </w:rPr>
        <w:t>demanda</w:t>
      </w:r>
      <w:r w:rsidR="004F04AD" w:rsidRPr="004614BA">
        <w:rPr>
          <w:rFonts w:cs="Arial"/>
        </w:rPr>
        <w:t xml:space="preserve"> </w:t>
      </w:r>
      <w:r w:rsidR="00925097">
        <w:rPr>
          <w:rFonts w:cs="Arial"/>
        </w:rPr>
        <w:t xml:space="preserve">integral </w:t>
      </w:r>
      <w:r w:rsidR="004F04AD" w:rsidRPr="004614BA">
        <w:rPr>
          <w:rFonts w:cs="Arial"/>
        </w:rPr>
        <w:t>do Órgão</w:t>
      </w:r>
      <w:r w:rsidR="00621681">
        <w:rPr>
          <w:rFonts w:cs="Arial"/>
        </w:rPr>
        <w:t xml:space="preserve">, </w:t>
      </w:r>
      <w:r w:rsidR="002B693A">
        <w:rPr>
          <w:rFonts w:cs="Arial"/>
        </w:rPr>
        <w:t>ao invés de</w:t>
      </w:r>
      <w:r w:rsidR="00621681">
        <w:rPr>
          <w:rFonts w:cs="Arial"/>
        </w:rPr>
        <w:t xml:space="preserve"> realiza</w:t>
      </w:r>
      <w:r w:rsidR="00D1382A">
        <w:rPr>
          <w:rFonts w:cs="Arial"/>
        </w:rPr>
        <w:t>ção de</w:t>
      </w:r>
      <w:r w:rsidR="00621681">
        <w:rPr>
          <w:rFonts w:cs="Arial"/>
        </w:rPr>
        <w:t xml:space="preserve"> licitação que viabilizasse todos os aspectos necessários à demanda da organização: solução</w:t>
      </w:r>
      <w:r w:rsidR="00D1382A">
        <w:rPr>
          <w:rFonts w:cs="Arial"/>
        </w:rPr>
        <w:t xml:space="preserve"> contêiner, gerador</w:t>
      </w:r>
      <w:r w:rsidR="00621681">
        <w:rPr>
          <w:rFonts w:cs="Arial"/>
        </w:rPr>
        <w:t xml:space="preserve"> e suas int</w:t>
      </w:r>
      <w:r w:rsidR="00961382">
        <w:rPr>
          <w:rFonts w:cs="Arial"/>
        </w:rPr>
        <w:t>erligações elétricas e lógicas.</w:t>
      </w:r>
    </w:p>
    <w:p w:rsidR="00D26E19" w:rsidRPr="00F61F7B" w:rsidRDefault="00F17EEB" w:rsidP="002A2AC1">
      <w:pPr>
        <w:pStyle w:val="ecxmsonormal"/>
        <w:spacing w:after="120"/>
        <w:jc w:val="both"/>
      </w:pPr>
      <w:r>
        <w:rPr>
          <w:b/>
        </w:rPr>
        <w:t xml:space="preserve">2.1.2 </w:t>
      </w:r>
      <w:r w:rsidR="00D26E19">
        <w:rPr>
          <w:b/>
          <w:i/>
        </w:rPr>
        <w:t>Critério</w:t>
      </w:r>
      <w:r w:rsidR="00D26E19" w:rsidRPr="0078259F">
        <w:rPr>
          <w:b/>
          <w:i/>
        </w:rPr>
        <w:t>:</w:t>
      </w:r>
      <w:r w:rsidR="00847EA1" w:rsidRPr="0078259F">
        <w:rPr>
          <w:b/>
          <w:i/>
        </w:rPr>
        <w:t xml:space="preserve"> </w:t>
      </w:r>
      <w:r w:rsidR="00444237" w:rsidRPr="0078259F">
        <w:t>a)</w:t>
      </w:r>
      <w:r w:rsidR="00444237" w:rsidRPr="00C70E78">
        <w:rPr>
          <w:sz w:val="20"/>
          <w:szCs w:val="20"/>
        </w:rPr>
        <w:t xml:space="preserve"> </w:t>
      </w:r>
      <w:proofErr w:type="spellStart"/>
      <w:r w:rsidR="00444237" w:rsidRPr="00F61F7B">
        <w:t>Arts</w:t>
      </w:r>
      <w:proofErr w:type="spellEnd"/>
      <w:r w:rsidR="00444237" w:rsidRPr="00F61F7B">
        <w:t>. 2° e 12, § 1º, da Res. CNJ n</w:t>
      </w:r>
      <w:r w:rsidR="00E138E2">
        <w:t>.</w:t>
      </w:r>
      <w:r w:rsidR="00444237" w:rsidRPr="00F61F7B">
        <w:t xml:space="preserve"> 182/2013</w:t>
      </w:r>
      <w:r w:rsidR="00961382">
        <w:t>;</w:t>
      </w:r>
      <w:r w:rsidR="00444237" w:rsidRPr="00F61F7B">
        <w:t xml:space="preserve"> b) Resoluções CNJ n</w:t>
      </w:r>
      <w:r w:rsidR="00AF6B35">
        <w:t>.</w:t>
      </w:r>
      <w:r w:rsidR="00444237" w:rsidRPr="00F61F7B">
        <w:t xml:space="preserve"> 90 e 99/2009 e Resolução TRE-BA n</w:t>
      </w:r>
      <w:r w:rsidR="00E138E2">
        <w:t>.</w:t>
      </w:r>
      <w:r w:rsidR="00444237" w:rsidRPr="00F61F7B">
        <w:t xml:space="preserve"> 03/2010.</w:t>
      </w:r>
    </w:p>
    <w:p w:rsidR="00444237" w:rsidRPr="00F61F7B" w:rsidRDefault="00F17EEB" w:rsidP="002A2AC1">
      <w:pPr>
        <w:pStyle w:val="ecxmsonormal"/>
        <w:spacing w:after="120"/>
        <w:jc w:val="both"/>
      </w:pPr>
      <w:r>
        <w:rPr>
          <w:b/>
        </w:rPr>
        <w:t xml:space="preserve">2.1.3 </w:t>
      </w:r>
      <w:r w:rsidR="00D26E19" w:rsidRPr="00847EA1">
        <w:rPr>
          <w:b/>
          <w:i/>
        </w:rPr>
        <w:t>Evidência</w:t>
      </w:r>
      <w:r w:rsidR="00847EA1" w:rsidRPr="00847EA1">
        <w:rPr>
          <w:b/>
          <w:i/>
        </w:rPr>
        <w:t xml:space="preserve">(s): </w:t>
      </w:r>
      <w:r w:rsidR="00444237" w:rsidRPr="00F61F7B">
        <w:t>a) Processo SADP n</w:t>
      </w:r>
      <w:r w:rsidR="009161E6">
        <w:t>.</w:t>
      </w:r>
      <w:r w:rsidR="00444237" w:rsidRPr="00F61F7B">
        <w:t xml:space="preserve"> 19.308/2014, que trata da contratação por licitação da solução CDC </w:t>
      </w:r>
      <w:r w:rsidR="007A063E">
        <w:t>com</w:t>
      </w:r>
      <w:r w:rsidR="00444237" w:rsidRPr="00F61F7B">
        <w:t xml:space="preserve"> interligação elétrica e lógica; b) Processo SADP n</w:t>
      </w:r>
      <w:r w:rsidR="00340EE6">
        <w:t>.</w:t>
      </w:r>
      <w:r w:rsidR="00444237" w:rsidRPr="00F61F7B">
        <w:t xml:space="preserve"> 101</w:t>
      </w:r>
      <w:r w:rsidR="00E138E2">
        <w:t>.035/2014, migrado para o PAD n.</w:t>
      </w:r>
      <w:r w:rsidR="00444237" w:rsidRPr="00F61F7B">
        <w:t xml:space="preserve"> 286/2015; c) Doc. PAD n</w:t>
      </w:r>
      <w:r w:rsidR="00E138E2">
        <w:t>.</w:t>
      </w:r>
      <w:r w:rsidR="00444237" w:rsidRPr="00F61F7B">
        <w:t xml:space="preserve"> 1.970/2015 em que consta a manifestação da </w:t>
      </w:r>
      <w:r w:rsidR="00476EE3" w:rsidRPr="00E763F5">
        <w:rPr>
          <w:rFonts w:cs="Arial"/>
        </w:rPr>
        <w:t xml:space="preserve">Coordenadoria de Infraestrutura </w:t>
      </w:r>
      <w:r w:rsidR="00476EE3">
        <w:rPr>
          <w:rFonts w:cs="Arial"/>
        </w:rPr>
        <w:t>(</w:t>
      </w:r>
      <w:r w:rsidR="00444237" w:rsidRPr="00F61F7B">
        <w:t>COINFRA</w:t>
      </w:r>
      <w:r w:rsidR="00476EE3">
        <w:t>)</w:t>
      </w:r>
      <w:r w:rsidR="00444237" w:rsidRPr="00F61F7B">
        <w:t xml:space="preserve"> acerca da proposta de adesão à Ata de Registro de Preços</w:t>
      </w:r>
      <w:r w:rsidR="00FD55D3" w:rsidRPr="00B57ABA">
        <w:t>, ressaltando que seria possível o contêiner ser instalado e entrar em operação sem o gerador, mas não sem as interligações elétricas e lógicas</w:t>
      </w:r>
      <w:r w:rsidR="00444237" w:rsidRPr="00F61F7B">
        <w:t>; d) Doc. PAD n</w:t>
      </w:r>
      <w:r w:rsidR="00E138E2">
        <w:t>.</w:t>
      </w:r>
      <w:r w:rsidR="00444237" w:rsidRPr="00F61F7B">
        <w:t xml:space="preserve"> 153.345/2016 relativo ao Extrato de Entrevista realizada com o gestor do contrato (Quesito </w:t>
      </w:r>
      <w:proofErr w:type="gramStart"/>
      <w:r w:rsidR="00444237" w:rsidRPr="00F61F7B">
        <w:t>2</w:t>
      </w:r>
      <w:proofErr w:type="gramEnd"/>
      <w:r w:rsidR="00444237" w:rsidRPr="00F61F7B">
        <w:t>); e) Doc. PAD n</w:t>
      </w:r>
      <w:r w:rsidR="00E138E2">
        <w:t>.</w:t>
      </w:r>
      <w:r w:rsidR="00444237" w:rsidRPr="00F61F7B">
        <w:t xml:space="preserve"> 141.192/2016 relativo ao Extrato de </w:t>
      </w:r>
      <w:r w:rsidR="00444237" w:rsidRPr="00F61F7B">
        <w:lastRenderedPageBreak/>
        <w:t xml:space="preserve">Entrevista realizada com a </w:t>
      </w:r>
      <w:r w:rsidR="00476EE3">
        <w:t>Coordenadoria de Obras e Manutenção Predial (</w:t>
      </w:r>
      <w:r w:rsidR="00444237" w:rsidRPr="00F61F7B">
        <w:t>COMANP</w:t>
      </w:r>
      <w:proofErr w:type="gramStart"/>
      <w:r w:rsidR="00476EE3">
        <w:t>)</w:t>
      </w:r>
      <w:proofErr w:type="gramEnd"/>
      <w:r w:rsidR="00444237" w:rsidRPr="00F61F7B">
        <w:t>/</w:t>
      </w:r>
      <w:r w:rsidR="00476EE3">
        <w:t>Seção de Projetos e Obras (</w:t>
      </w:r>
      <w:r w:rsidR="00444237" w:rsidRPr="00F61F7B">
        <w:t>SEPROB</w:t>
      </w:r>
      <w:r w:rsidR="00476EE3">
        <w:t>)</w:t>
      </w:r>
      <w:r w:rsidR="00444237" w:rsidRPr="00F61F7B">
        <w:t xml:space="preserve"> (Quesito 1); f) Doc. PAD n</w:t>
      </w:r>
      <w:r w:rsidR="00E138E2">
        <w:t>.</w:t>
      </w:r>
      <w:r w:rsidR="00444237" w:rsidRPr="00F61F7B">
        <w:t xml:space="preserve"> 101.862/2016 em que consta a resposta da SEPROB à RDI n</w:t>
      </w:r>
      <w:r w:rsidR="00E138E2">
        <w:t>.</w:t>
      </w:r>
      <w:r w:rsidR="00444237" w:rsidRPr="00F61F7B">
        <w:t xml:space="preserve"> 03/2016; g) Planilha de programação de gastos da </w:t>
      </w:r>
      <w:r w:rsidR="00476EE3" w:rsidRPr="00476EE3">
        <w:t xml:space="preserve">Seção de Programação e Controle Orçamentário </w:t>
      </w:r>
      <w:r w:rsidR="00476EE3">
        <w:t>(</w:t>
      </w:r>
      <w:r w:rsidR="00444237" w:rsidRPr="00F61F7B">
        <w:t>SEPROG</w:t>
      </w:r>
      <w:r w:rsidR="00476EE3">
        <w:t>)</w:t>
      </w:r>
      <w:r w:rsidR="00444237" w:rsidRPr="00F61F7B">
        <w:t xml:space="preserve"> disponibiliz</w:t>
      </w:r>
      <w:r w:rsidR="007341BD">
        <w:t>ada na pasta pública da unidade; h) T</w:t>
      </w:r>
      <w:r w:rsidR="0085066E">
        <w:t xml:space="preserve">ermo de </w:t>
      </w:r>
      <w:r w:rsidR="007341BD">
        <w:t>R</w:t>
      </w:r>
      <w:r w:rsidR="0085066E">
        <w:t>eferência</w:t>
      </w:r>
      <w:r w:rsidR="007341BD">
        <w:t xml:space="preserve"> </w:t>
      </w:r>
      <w:r w:rsidR="0085066E">
        <w:t xml:space="preserve">– </w:t>
      </w:r>
      <w:r w:rsidR="007341BD">
        <w:t xml:space="preserve">modelo de proposta para os lotes 2,3 e 4 </w:t>
      </w:r>
      <w:r w:rsidR="0085066E">
        <w:t>(</w:t>
      </w:r>
      <w:r w:rsidR="007341BD">
        <w:t>Doc. PAD n. 1</w:t>
      </w:r>
      <w:r w:rsidR="002F2909">
        <w:t>.</w:t>
      </w:r>
      <w:r w:rsidR="007341BD">
        <w:t>934/2015</w:t>
      </w:r>
      <w:r w:rsidR="00055B5C">
        <w:t>)</w:t>
      </w:r>
      <w:r w:rsidR="007341BD">
        <w:t xml:space="preserve"> e T</w:t>
      </w:r>
      <w:r w:rsidR="0085066E">
        <w:t xml:space="preserve">ermo de </w:t>
      </w:r>
      <w:r w:rsidR="007341BD">
        <w:t>R</w:t>
      </w:r>
      <w:r w:rsidR="0085066E">
        <w:t xml:space="preserve">eferência – </w:t>
      </w:r>
      <w:r w:rsidR="007341BD">
        <w:t>especificações técnica das soluções de contêiner data-center – grupo C</w:t>
      </w:r>
      <w:r w:rsidR="0085066E">
        <w:t xml:space="preserve"> (</w:t>
      </w:r>
      <w:r w:rsidR="007341BD">
        <w:t xml:space="preserve">Doc. PAD </w:t>
      </w:r>
      <w:r w:rsidR="00885B2A">
        <w:t>n</w:t>
      </w:r>
      <w:r w:rsidR="007341BD">
        <w:t>. 1</w:t>
      </w:r>
      <w:r w:rsidR="002F2909">
        <w:t>.</w:t>
      </w:r>
      <w:r w:rsidR="007341BD">
        <w:t>935/2015</w:t>
      </w:r>
      <w:r w:rsidR="0085066E">
        <w:t>)</w:t>
      </w:r>
      <w:r w:rsidR="007341BD">
        <w:t>.</w:t>
      </w:r>
    </w:p>
    <w:p w:rsidR="00B132EB" w:rsidRDefault="00F17EEB" w:rsidP="002A2AC1">
      <w:pPr>
        <w:pStyle w:val="ecxmsonormal"/>
        <w:spacing w:after="120"/>
        <w:jc w:val="both"/>
      </w:pPr>
      <w:r>
        <w:rPr>
          <w:b/>
        </w:rPr>
        <w:t xml:space="preserve">2.1.4 </w:t>
      </w:r>
      <w:r w:rsidR="00847EA1">
        <w:rPr>
          <w:b/>
          <w:i/>
        </w:rPr>
        <w:t>Causa</w:t>
      </w:r>
      <w:r w:rsidR="0052294C">
        <w:rPr>
          <w:b/>
          <w:i/>
        </w:rPr>
        <w:t>(s)</w:t>
      </w:r>
      <w:r w:rsidR="00847EA1">
        <w:rPr>
          <w:b/>
          <w:i/>
        </w:rPr>
        <w:t>:</w:t>
      </w:r>
      <w:r w:rsidR="00847EA1" w:rsidRPr="00847EA1">
        <w:rPr>
          <w:b/>
          <w:i/>
        </w:rPr>
        <w:t xml:space="preserve"> </w:t>
      </w:r>
      <w:r w:rsidR="0096780D" w:rsidRPr="0096780D">
        <w:t xml:space="preserve">a) Ausência </w:t>
      </w:r>
      <w:r w:rsidR="007A063E">
        <w:t xml:space="preserve">ou deficiência </w:t>
      </w:r>
      <w:r w:rsidR="0096780D" w:rsidRPr="0096780D">
        <w:t>de estudos técnicos preliminares, nos termos do art. 12, § 1º, da Res</w:t>
      </w:r>
      <w:proofErr w:type="gramStart"/>
      <w:r w:rsidR="00EB34D4">
        <w:t>.</w:t>
      </w:r>
      <w:r w:rsidR="0096780D" w:rsidRPr="0096780D">
        <w:t xml:space="preserve"> CNJ n</w:t>
      </w:r>
      <w:r w:rsidR="00340EE6">
        <w:t>.</w:t>
      </w:r>
      <w:r w:rsidR="0096780D" w:rsidRPr="0096780D">
        <w:t xml:space="preserve"> 182/2013</w:t>
      </w:r>
      <w:r w:rsidR="007A063E">
        <w:t xml:space="preserve">, destinados a avaliar a viabilidade, </w:t>
      </w:r>
      <w:r w:rsidR="00542FEF" w:rsidRPr="00AE5620">
        <w:t xml:space="preserve">a </w:t>
      </w:r>
      <w:r w:rsidR="007A063E" w:rsidRPr="00AE5620">
        <w:t xml:space="preserve">sustentação, </w:t>
      </w:r>
      <w:r w:rsidR="00542FEF" w:rsidRPr="00AE5620">
        <w:t xml:space="preserve">a </w:t>
      </w:r>
      <w:r w:rsidR="007A063E" w:rsidRPr="00AE5620">
        <w:t xml:space="preserve">estratégia e </w:t>
      </w:r>
      <w:r w:rsidR="00542FEF" w:rsidRPr="00AE5620">
        <w:t xml:space="preserve">os </w:t>
      </w:r>
      <w:r w:rsidR="007A063E" w:rsidRPr="00AE5620">
        <w:t>riscos da aquisição</w:t>
      </w:r>
      <w:r w:rsidR="0096780D" w:rsidRPr="00AE5620">
        <w:t>; b)</w:t>
      </w:r>
      <w:proofErr w:type="gramEnd"/>
      <w:r w:rsidR="0096780D" w:rsidRPr="00AE5620">
        <w:t xml:space="preserve"> </w:t>
      </w:r>
      <w:r w:rsidR="00464EF2" w:rsidRPr="00AE5620">
        <w:t>Apresentação de p</w:t>
      </w:r>
      <w:r w:rsidR="00161EFC" w:rsidRPr="00AE5620">
        <w:t xml:space="preserve">roposta de aquisição complexa </w:t>
      </w:r>
      <w:r w:rsidR="00464EF2" w:rsidRPr="00AE5620">
        <w:t xml:space="preserve">próximo ao </w:t>
      </w:r>
      <w:r w:rsidR="00161EFC" w:rsidRPr="00AE5620">
        <w:t>final do exercício</w:t>
      </w:r>
      <w:r w:rsidR="0096780D" w:rsidRPr="00AE5620">
        <w:t xml:space="preserve"> </w:t>
      </w:r>
      <w:r w:rsidR="00464EF2" w:rsidRPr="00AE5620">
        <w:t>visando à</w:t>
      </w:r>
      <w:r w:rsidR="0096780D" w:rsidRPr="00AE5620">
        <w:t xml:space="preserve"> utilização d</w:t>
      </w:r>
      <w:r w:rsidR="00875FA5" w:rsidRPr="00AE5620">
        <w:t xml:space="preserve">e recursos </w:t>
      </w:r>
      <w:r w:rsidR="00937D25" w:rsidRPr="00AE5620">
        <w:t>orçamentários</w:t>
      </w:r>
      <w:r w:rsidR="0096780D" w:rsidRPr="00AE5620">
        <w:t xml:space="preserve"> </w:t>
      </w:r>
      <w:r w:rsidR="00875FA5" w:rsidRPr="00AE5620">
        <w:t>remanejados</w:t>
      </w:r>
      <w:r w:rsidR="0096780D" w:rsidRPr="00AE5620">
        <w:t xml:space="preserve">; c) </w:t>
      </w:r>
      <w:r w:rsidR="00555566" w:rsidRPr="00AE5620">
        <w:t>Deficiência no</w:t>
      </w:r>
      <w:r w:rsidR="00555566">
        <w:t xml:space="preserve"> planejamento das aquisições</w:t>
      </w:r>
      <w:r w:rsidR="00EF37CD">
        <w:t>, especialmente no que se refere à verificação de identidade entre os requisitos atinentes à demanda do Órgão e os especificados na ata de registro de preços</w:t>
      </w:r>
      <w:r w:rsidR="0096780D" w:rsidRPr="0096780D">
        <w:t>;</w:t>
      </w:r>
      <w:r w:rsidR="0096780D">
        <w:t xml:space="preserve"> </w:t>
      </w:r>
      <w:r w:rsidR="00935B5F">
        <w:t xml:space="preserve">                </w:t>
      </w:r>
      <w:r w:rsidR="0096780D" w:rsidRPr="0096780D">
        <w:t xml:space="preserve">d) </w:t>
      </w:r>
      <w:r w:rsidR="0096780D">
        <w:t>C</w:t>
      </w:r>
      <w:r w:rsidR="0096780D" w:rsidRPr="0096780D">
        <w:t>omplexidade</w:t>
      </w:r>
      <w:r w:rsidR="00EF37CD">
        <w:t xml:space="preserve"> do objeto</w:t>
      </w:r>
      <w:r w:rsidR="0096780D" w:rsidRPr="0096780D">
        <w:t xml:space="preserve"> da contratação;</w:t>
      </w:r>
      <w:r w:rsidR="0096780D">
        <w:t xml:space="preserve"> </w:t>
      </w:r>
      <w:r w:rsidR="0096780D" w:rsidRPr="0096780D">
        <w:t>e) Ausência de maturidade institucional quanto ao gerenciamento dos riscos</w:t>
      </w:r>
      <w:r w:rsidR="00961382">
        <w:t>.</w:t>
      </w:r>
    </w:p>
    <w:p w:rsidR="00F61F7B" w:rsidRPr="00B91806" w:rsidRDefault="00F17EEB" w:rsidP="002A2AC1">
      <w:pPr>
        <w:pStyle w:val="ecxmsonormal"/>
        <w:spacing w:after="120"/>
        <w:jc w:val="both"/>
      </w:pPr>
      <w:r>
        <w:rPr>
          <w:b/>
        </w:rPr>
        <w:t xml:space="preserve">2.1.5 </w:t>
      </w:r>
      <w:r w:rsidR="00D26E19" w:rsidRPr="00847EA1">
        <w:rPr>
          <w:b/>
          <w:i/>
        </w:rPr>
        <w:t>Efeito(s):</w:t>
      </w:r>
      <w:r w:rsidR="00847EA1" w:rsidRPr="00847EA1">
        <w:t xml:space="preserve"> </w:t>
      </w:r>
      <w:r w:rsidR="00F61F7B" w:rsidRPr="00F61F7B">
        <w:t>a) Manutenção do risco</w:t>
      </w:r>
      <w:r w:rsidR="00F61F7B">
        <w:t>;</w:t>
      </w:r>
      <w:r w:rsidR="00FA25F3" w:rsidRPr="00B91806">
        <w:t xml:space="preserve"> </w:t>
      </w:r>
      <w:r w:rsidR="009874CA">
        <w:t xml:space="preserve">b) </w:t>
      </w:r>
      <w:r w:rsidR="00CB5C2C">
        <w:t>Precariedade quanto ao</w:t>
      </w:r>
      <w:r w:rsidR="009874CA">
        <w:t xml:space="preserve"> </w:t>
      </w:r>
      <w:r w:rsidR="00D43352">
        <w:t xml:space="preserve">aproveitamento </w:t>
      </w:r>
      <w:r w:rsidR="009874CA">
        <w:t>de recursos públicos; c</w:t>
      </w:r>
      <w:r w:rsidR="00EF37CD" w:rsidRPr="00B91806">
        <w:t xml:space="preserve">) </w:t>
      </w:r>
      <w:r w:rsidR="005E4C17">
        <w:t>N</w:t>
      </w:r>
      <w:r w:rsidR="00F61F7B" w:rsidRPr="00B91806">
        <w:t>ão atendimento da necessidade que originou a contratação.</w:t>
      </w:r>
    </w:p>
    <w:p w:rsidR="00560B49" w:rsidRDefault="00560B49" w:rsidP="002A2AC1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50F0E" w:rsidRPr="00862A84" w:rsidRDefault="00FD55D3" w:rsidP="002A2AC1">
      <w:pPr>
        <w:tabs>
          <w:tab w:val="left" w:pos="851"/>
        </w:tabs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2.2 Contratação</w:t>
      </w:r>
      <w:proofErr w:type="gramEnd"/>
      <w:r>
        <w:rPr>
          <w:b/>
          <w:sz w:val="24"/>
          <w:szCs w:val="24"/>
        </w:rPr>
        <w:t xml:space="preserve"> </w:t>
      </w:r>
      <w:r w:rsidR="007749C5">
        <w:rPr>
          <w:b/>
          <w:sz w:val="24"/>
          <w:szCs w:val="24"/>
        </w:rPr>
        <w:t>de</w:t>
      </w:r>
      <w:r w:rsidR="00862A84" w:rsidRPr="00862A84">
        <w:rPr>
          <w:b/>
          <w:sz w:val="24"/>
          <w:szCs w:val="24"/>
        </w:rPr>
        <w:t xml:space="preserve"> Solução </w:t>
      </w:r>
      <w:r w:rsidR="007749C5">
        <w:rPr>
          <w:b/>
          <w:sz w:val="24"/>
          <w:szCs w:val="24"/>
        </w:rPr>
        <w:t>de TI sem a realização de estudos técnicos preliminares</w:t>
      </w:r>
    </w:p>
    <w:p w:rsidR="00A50F0E" w:rsidRPr="00F61F7B" w:rsidRDefault="00F17EEB" w:rsidP="002A2AC1">
      <w:pPr>
        <w:pStyle w:val="ecxmsonormal"/>
        <w:spacing w:after="120"/>
        <w:jc w:val="both"/>
      </w:pPr>
      <w:r>
        <w:rPr>
          <w:b/>
        </w:rPr>
        <w:t xml:space="preserve">2.2.1 </w:t>
      </w:r>
      <w:r w:rsidR="00A50F0E">
        <w:rPr>
          <w:b/>
          <w:i/>
        </w:rPr>
        <w:t>Situação Encontrada:</w:t>
      </w:r>
      <w:r w:rsidR="00F61F7B" w:rsidRPr="00F61F7B">
        <w:t xml:space="preserve"> </w:t>
      </w:r>
      <w:r w:rsidR="007D2A55">
        <w:t>A</w:t>
      </w:r>
      <w:r w:rsidR="0087122D">
        <w:t xml:space="preserve"> contratação </w:t>
      </w:r>
      <w:r w:rsidR="00B95D44">
        <w:t xml:space="preserve">do contêiner data </w:t>
      </w:r>
      <w:proofErr w:type="gramStart"/>
      <w:r w:rsidR="00B95D44">
        <w:t>center</w:t>
      </w:r>
      <w:proofErr w:type="gramEnd"/>
      <w:r w:rsidR="00B95D44">
        <w:t xml:space="preserve"> </w:t>
      </w:r>
      <w:r w:rsidR="0087122D">
        <w:t xml:space="preserve">não foi precedida pela fase de elaboração dos estudos preliminares, </w:t>
      </w:r>
      <w:r w:rsidR="00161EFC">
        <w:t>na forma determinada</w:t>
      </w:r>
      <w:r w:rsidR="0087122D">
        <w:t xml:space="preserve"> pelo art. 12 da Resolução C</w:t>
      </w:r>
      <w:r w:rsidR="000041F0">
        <w:t>NJ n. 182/2013, que resultou na aquisição de solução incompleta e na necessidade de executar outra contratação</w:t>
      </w:r>
      <w:r w:rsidR="00925097">
        <w:t>,</w:t>
      </w:r>
      <w:r w:rsidR="000041F0">
        <w:t xml:space="preserve"> </w:t>
      </w:r>
      <w:r w:rsidR="003C6194">
        <w:t>considerada complexa</w:t>
      </w:r>
      <w:r w:rsidR="00925097">
        <w:t>,</w:t>
      </w:r>
      <w:r w:rsidR="003C6194">
        <w:t xml:space="preserve"> </w:t>
      </w:r>
      <w:r w:rsidR="000041F0">
        <w:t xml:space="preserve">para </w:t>
      </w:r>
      <w:r w:rsidR="0056214C">
        <w:t xml:space="preserve">realização </w:t>
      </w:r>
      <w:r w:rsidR="0056214C" w:rsidRPr="00F61F7B">
        <w:t>do</w:t>
      </w:r>
      <w:r w:rsidR="0056214C">
        <w:t>s</w:t>
      </w:r>
      <w:r w:rsidR="0056214C" w:rsidRPr="00F61F7B">
        <w:t xml:space="preserve"> serviço</w:t>
      </w:r>
      <w:r w:rsidR="0056214C">
        <w:t>s</w:t>
      </w:r>
      <w:r w:rsidR="0056214C" w:rsidRPr="00F61F7B">
        <w:t xml:space="preserve"> de interligação elétrica e lógica </w:t>
      </w:r>
      <w:r w:rsidR="00F61F7B" w:rsidRPr="00F61F7B">
        <w:t>do Contêiner Data Center</w:t>
      </w:r>
      <w:r w:rsidR="00D1382A">
        <w:t xml:space="preserve"> e aquisição do gerador</w:t>
      </w:r>
      <w:r w:rsidR="0056214C">
        <w:t>, cuja p</w:t>
      </w:r>
      <w:r w:rsidR="00F61F7B" w:rsidRPr="00F61F7B">
        <w:t>rotocolização do Termo de Referência</w:t>
      </w:r>
      <w:r w:rsidR="00B37954">
        <w:t xml:space="preserve"> </w:t>
      </w:r>
      <w:r w:rsidR="003E7AD8">
        <w:t>se materializou</w:t>
      </w:r>
      <w:r w:rsidR="00F61F7B" w:rsidRPr="00F61F7B">
        <w:t xml:space="preserve"> por meio do PAD n</w:t>
      </w:r>
      <w:r w:rsidR="00E138E2">
        <w:t>.</w:t>
      </w:r>
      <w:r w:rsidR="00F61F7B" w:rsidRPr="00F61F7B">
        <w:t xml:space="preserve"> 12.476/2015 em 9/11/2015, ainda sem a realização do procedimento licitatório</w:t>
      </w:r>
      <w:r w:rsidR="00645A38">
        <w:t>.</w:t>
      </w:r>
    </w:p>
    <w:p w:rsidR="00A50F0E" w:rsidRPr="00F61F7B" w:rsidRDefault="00F17EEB" w:rsidP="002A2AC1">
      <w:pPr>
        <w:pStyle w:val="ecxmsonormal"/>
        <w:spacing w:after="120"/>
        <w:jc w:val="both"/>
      </w:pPr>
      <w:r>
        <w:rPr>
          <w:b/>
        </w:rPr>
        <w:t>2.2.</w:t>
      </w:r>
      <w:r w:rsidR="00682AF7">
        <w:rPr>
          <w:b/>
        </w:rPr>
        <w:t>2</w:t>
      </w:r>
      <w:r>
        <w:rPr>
          <w:b/>
        </w:rPr>
        <w:t xml:space="preserve"> </w:t>
      </w:r>
      <w:r w:rsidR="00A50F0E">
        <w:rPr>
          <w:b/>
          <w:i/>
        </w:rPr>
        <w:t>Critério:</w:t>
      </w:r>
      <w:r w:rsidR="00F61F7B" w:rsidRPr="00F61F7B">
        <w:t xml:space="preserve"> a) Resoluções CNJ n</w:t>
      </w:r>
      <w:r w:rsidR="00E138E2">
        <w:t>.</w:t>
      </w:r>
      <w:r w:rsidR="00F61F7B" w:rsidRPr="00F61F7B">
        <w:t xml:space="preserve"> 182/2013 e 211/2015;</w:t>
      </w:r>
      <w:r w:rsidR="00F61F7B">
        <w:t xml:space="preserve"> </w:t>
      </w:r>
      <w:r w:rsidR="00F61F7B" w:rsidRPr="00F61F7B">
        <w:t>b) Portaria DG n</w:t>
      </w:r>
      <w:r w:rsidR="00E138E2">
        <w:t>.</w:t>
      </w:r>
      <w:r w:rsidR="00F61F7B" w:rsidRPr="00F61F7B">
        <w:t xml:space="preserve"> 179, de 3/11/2015, que aprovou o Manual de Planejamento das Contratações das Soluções de Tecnologia da Informação e Comunicação no âmbito do Tribunal Regional Eleitoral da Bahia;</w:t>
      </w:r>
      <w:r>
        <w:t xml:space="preserve"> </w:t>
      </w:r>
      <w:r w:rsidR="00F61F7B" w:rsidRPr="00F61F7B">
        <w:t>c) Contrato n</w:t>
      </w:r>
      <w:r w:rsidR="00E138E2">
        <w:t>.</w:t>
      </w:r>
      <w:r w:rsidR="00F61F7B" w:rsidRPr="00F61F7B">
        <w:t xml:space="preserve"> 161/2014 (aquisição do CDC).</w:t>
      </w:r>
    </w:p>
    <w:p w:rsidR="00A50F0E" w:rsidRPr="00CE4251" w:rsidRDefault="00F17EEB" w:rsidP="002A2AC1">
      <w:pPr>
        <w:pStyle w:val="ecxmsonormal"/>
        <w:spacing w:after="120"/>
        <w:jc w:val="both"/>
      </w:pPr>
      <w:r w:rsidRPr="007E5963">
        <w:rPr>
          <w:b/>
        </w:rPr>
        <w:t>2.2.</w:t>
      </w:r>
      <w:r w:rsidR="00682AF7">
        <w:rPr>
          <w:b/>
        </w:rPr>
        <w:t>3</w:t>
      </w:r>
      <w:r>
        <w:rPr>
          <w:b/>
        </w:rPr>
        <w:t xml:space="preserve"> </w:t>
      </w:r>
      <w:r w:rsidR="00A50F0E">
        <w:rPr>
          <w:b/>
          <w:i/>
        </w:rPr>
        <w:t>Evidência(s):</w:t>
      </w:r>
      <w:r w:rsidR="007E5963" w:rsidRPr="007E5963">
        <w:t xml:space="preserve"> </w:t>
      </w:r>
      <w:r w:rsidR="007E5963" w:rsidRPr="00CE4251">
        <w:t>a) PAD n</w:t>
      </w:r>
      <w:r w:rsidR="00E138E2">
        <w:t>.</w:t>
      </w:r>
      <w:r w:rsidR="007E5963" w:rsidRPr="00CE4251">
        <w:t xml:space="preserve"> 12.476/2015, que trata da contratação do serviço de interligação elétrica e lógica para o CDC; b) Doc. PAD n</w:t>
      </w:r>
      <w:r w:rsidR="00E138E2">
        <w:t>.</w:t>
      </w:r>
      <w:r w:rsidR="007E5963" w:rsidRPr="00CE4251">
        <w:t xml:space="preserve"> 153.345/2016 relativo ao Extrato de Entrevista realizada com o gestor do contrato (Quesito</w:t>
      </w:r>
      <w:r w:rsidR="006F5573">
        <w:t>s</w:t>
      </w:r>
      <w:r w:rsidR="007E5963" w:rsidRPr="00CE4251">
        <w:t xml:space="preserve"> </w:t>
      </w:r>
      <w:proofErr w:type="gramStart"/>
      <w:r w:rsidR="007E5963" w:rsidRPr="00CE4251">
        <w:t>6</w:t>
      </w:r>
      <w:proofErr w:type="gramEnd"/>
      <w:r w:rsidR="006F5573">
        <w:t xml:space="preserve"> </w:t>
      </w:r>
      <w:r w:rsidR="006F5573" w:rsidRPr="003E7AD8">
        <w:t>e 9</w:t>
      </w:r>
      <w:r w:rsidR="007E5963" w:rsidRPr="003E7AD8">
        <w:t xml:space="preserve">); </w:t>
      </w:r>
      <w:r w:rsidR="008E2626" w:rsidRPr="003E7AD8">
        <w:t>c</w:t>
      </w:r>
      <w:r w:rsidR="007E5963" w:rsidRPr="003E7AD8">
        <w:t>) Doc. PAD n</w:t>
      </w:r>
      <w:r w:rsidR="00E138E2" w:rsidRPr="003E7AD8">
        <w:t>.</w:t>
      </w:r>
      <w:r w:rsidR="007E5963" w:rsidRPr="003E7AD8">
        <w:t xml:space="preserve"> </w:t>
      </w:r>
      <w:r w:rsidR="006F5573" w:rsidRPr="003E7AD8">
        <w:t>141.192</w:t>
      </w:r>
      <w:r w:rsidR="007E5963" w:rsidRPr="003E7AD8">
        <w:t>/2016 re</w:t>
      </w:r>
      <w:r w:rsidR="006F5573" w:rsidRPr="003E7AD8">
        <w:t>lativo a</w:t>
      </w:r>
      <w:r w:rsidR="00FE1F96" w:rsidRPr="003E7AD8">
        <w:t>o</w:t>
      </w:r>
      <w:r w:rsidR="006F5573" w:rsidRPr="003E7AD8">
        <w:t xml:space="preserve"> Extrato de Entrevista com</w:t>
      </w:r>
      <w:r w:rsidR="007E5963" w:rsidRPr="003E7AD8">
        <w:t xml:space="preserve"> </w:t>
      </w:r>
      <w:r w:rsidR="006F5573" w:rsidRPr="003E7AD8">
        <w:t>a</w:t>
      </w:r>
      <w:r w:rsidR="007E5963" w:rsidRPr="003E7AD8">
        <w:t xml:space="preserve"> </w:t>
      </w:r>
      <w:r w:rsidR="00D562F9" w:rsidRPr="003E7AD8">
        <w:t>COMANP/</w:t>
      </w:r>
      <w:r w:rsidR="006F5573" w:rsidRPr="003E7AD8">
        <w:t>SEPROB (Quesitos 1, 5 e 6)</w:t>
      </w:r>
      <w:r w:rsidR="007E5963" w:rsidRPr="003E7AD8">
        <w:t>;</w:t>
      </w:r>
      <w:r w:rsidR="007E5963" w:rsidRPr="00CE4251">
        <w:t xml:space="preserve"> </w:t>
      </w:r>
      <w:r w:rsidR="008E2626">
        <w:t>d</w:t>
      </w:r>
      <w:r w:rsidR="007E5963" w:rsidRPr="00CE4251">
        <w:t xml:space="preserve">) Inspeção in loco no Contêiner Data Center, realizada em 12/7/2016; </w:t>
      </w:r>
      <w:r w:rsidR="008E2626" w:rsidRPr="006931C4">
        <w:t>e</w:t>
      </w:r>
      <w:r w:rsidR="007E5963" w:rsidRPr="006931C4">
        <w:t xml:space="preserve">) Relatórios </w:t>
      </w:r>
      <w:proofErr w:type="spellStart"/>
      <w:r w:rsidR="008B3160" w:rsidRPr="006931C4">
        <w:rPr>
          <w:i/>
        </w:rPr>
        <w:t>O</w:t>
      </w:r>
      <w:r w:rsidR="007E5963" w:rsidRPr="006931C4">
        <w:rPr>
          <w:i/>
        </w:rPr>
        <w:t>ngoing</w:t>
      </w:r>
      <w:proofErr w:type="spellEnd"/>
      <w:r w:rsidR="00C018CB">
        <w:rPr>
          <w:rStyle w:val="Refdenotaderodap"/>
          <w:i/>
        </w:rPr>
        <w:footnoteReference w:id="10"/>
      </w:r>
      <w:r w:rsidR="007E5963" w:rsidRPr="006931C4">
        <w:t xml:space="preserve"> </w:t>
      </w:r>
      <w:r w:rsidR="00265480" w:rsidRPr="006931C4">
        <w:t>mensais</w:t>
      </w:r>
      <w:r w:rsidR="000E3D0C" w:rsidRPr="006931C4">
        <w:t>,</w:t>
      </w:r>
      <w:r w:rsidR="00265480" w:rsidRPr="006931C4">
        <w:t xml:space="preserve"> </w:t>
      </w:r>
      <w:r w:rsidR="007E5963" w:rsidRPr="006931C4">
        <w:t>Docs</w:t>
      </w:r>
      <w:r w:rsidR="00C401B1" w:rsidRPr="006931C4">
        <w:t>.</w:t>
      </w:r>
      <w:r w:rsidR="007E5963" w:rsidRPr="006931C4">
        <w:t xml:space="preserve"> </w:t>
      </w:r>
      <w:r w:rsidR="00B117BC" w:rsidRPr="006931C4">
        <w:t xml:space="preserve">PAD </w:t>
      </w:r>
      <w:r w:rsidR="007E5963" w:rsidRPr="006931C4">
        <w:t>n</w:t>
      </w:r>
      <w:r w:rsidR="00E138E2" w:rsidRPr="006931C4">
        <w:t>.</w:t>
      </w:r>
      <w:r w:rsidR="00CC6B5A" w:rsidRPr="006931C4">
        <w:t xml:space="preserve"> 115.521 (JUL/2015), 115.530 (AGO/2015),</w:t>
      </w:r>
      <w:r w:rsidR="007E5963" w:rsidRPr="006931C4">
        <w:t xml:space="preserve"> 92.571</w:t>
      </w:r>
      <w:r w:rsidR="00CC6B5A" w:rsidRPr="006931C4">
        <w:t xml:space="preserve"> (SET/2015)</w:t>
      </w:r>
      <w:r w:rsidR="00BF705D" w:rsidRPr="006931C4">
        <w:t>,</w:t>
      </w:r>
      <w:r w:rsidR="007E5963" w:rsidRPr="006931C4">
        <w:t xml:space="preserve"> 92.575</w:t>
      </w:r>
      <w:r w:rsidR="00CC6B5A" w:rsidRPr="006931C4">
        <w:t xml:space="preserve"> (OUT/2015)</w:t>
      </w:r>
      <w:r w:rsidR="00BF705D" w:rsidRPr="006931C4">
        <w:t>,</w:t>
      </w:r>
      <w:r w:rsidR="007E5963" w:rsidRPr="006931C4">
        <w:t xml:space="preserve"> 92.578</w:t>
      </w:r>
      <w:r w:rsidR="00CC6B5A" w:rsidRPr="006931C4">
        <w:t xml:space="preserve"> (NOV/2015)</w:t>
      </w:r>
      <w:r w:rsidR="00BF705D" w:rsidRPr="006931C4">
        <w:t>,</w:t>
      </w:r>
      <w:r w:rsidR="007E5963" w:rsidRPr="006931C4">
        <w:t xml:space="preserve"> </w:t>
      </w:r>
      <w:r w:rsidR="00CC6B5A" w:rsidRPr="006931C4">
        <w:t xml:space="preserve">115.533 (DEZ/2015), </w:t>
      </w:r>
      <w:r w:rsidR="007E5963" w:rsidRPr="006931C4">
        <w:t>92.584</w:t>
      </w:r>
      <w:r w:rsidR="00CC6B5A" w:rsidRPr="006931C4">
        <w:t xml:space="preserve"> (JAN/2016)</w:t>
      </w:r>
      <w:r w:rsidR="00BF705D" w:rsidRPr="006931C4">
        <w:t>,</w:t>
      </w:r>
      <w:r w:rsidR="007E5963" w:rsidRPr="006931C4">
        <w:t xml:space="preserve"> 92.586</w:t>
      </w:r>
      <w:r w:rsidR="00CC6B5A" w:rsidRPr="006931C4">
        <w:t xml:space="preserve"> (FEV/2016)</w:t>
      </w:r>
      <w:r w:rsidR="00BF705D" w:rsidRPr="006931C4">
        <w:t xml:space="preserve">, </w:t>
      </w:r>
      <w:r w:rsidR="007E5963" w:rsidRPr="006931C4">
        <w:t>115.537</w:t>
      </w:r>
      <w:r w:rsidR="00CC6B5A" w:rsidRPr="006931C4">
        <w:t xml:space="preserve"> (MAR/2016)</w:t>
      </w:r>
      <w:r w:rsidR="00BF705D" w:rsidRPr="006931C4">
        <w:t>,</w:t>
      </w:r>
      <w:r w:rsidR="007E5963" w:rsidRPr="006931C4">
        <w:t xml:space="preserve"> 92.594</w:t>
      </w:r>
      <w:r w:rsidR="00CC6B5A" w:rsidRPr="006931C4">
        <w:t xml:space="preserve"> (ABR/2016)</w:t>
      </w:r>
      <w:r w:rsidR="00BF705D" w:rsidRPr="006931C4">
        <w:t>,</w:t>
      </w:r>
      <w:r w:rsidR="007E5963" w:rsidRPr="006931C4">
        <w:t xml:space="preserve"> 92.597</w:t>
      </w:r>
      <w:r w:rsidR="00CC6B5A" w:rsidRPr="006931C4">
        <w:t xml:space="preserve"> (MAIO/2016)</w:t>
      </w:r>
      <w:r w:rsidR="00BF705D" w:rsidRPr="006931C4">
        <w:t>,</w:t>
      </w:r>
      <w:r w:rsidR="007E5963" w:rsidRPr="006931C4">
        <w:t xml:space="preserve"> </w:t>
      </w:r>
      <w:r w:rsidR="00CC6B5A" w:rsidRPr="006931C4">
        <w:t>114.220 (JUN/2016) e 134.463</w:t>
      </w:r>
      <w:r w:rsidR="007E5963" w:rsidRPr="006931C4">
        <w:t>/2016</w:t>
      </w:r>
      <w:r w:rsidR="00CC6B5A" w:rsidRPr="006931C4">
        <w:t xml:space="preserve"> (JUL/2016)</w:t>
      </w:r>
      <w:r w:rsidR="00A9128E" w:rsidRPr="006931C4">
        <w:t>;</w:t>
      </w:r>
      <w:r w:rsidR="007E5963" w:rsidRPr="00CE4251">
        <w:t xml:space="preserve"> </w:t>
      </w:r>
      <w:r w:rsidR="008E2626">
        <w:t>f</w:t>
      </w:r>
      <w:r w:rsidR="007E5963" w:rsidRPr="00CE4251">
        <w:t>) Termo de Garantia e Entrega d</w:t>
      </w:r>
      <w:r w:rsidR="00CC6B5A">
        <w:t>e</w:t>
      </w:r>
      <w:r w:rsidR="007E5963" w:rsidRPr="00CE4251">
        <w:t xml:space="preserve"> Projeto (Doc. PAD n</w:t>
      </w:r>
      <w:r w:rsidR="00E138E2">
        <w:t>.</w:t>
      </w:r>
      <w:r w:rsidR="007E5963" w:rsidRPr="00CE4251">
        <w:t xml:space="preserve"> 92.993/2015).</w:t>
      </w:r>
    </w:p>
    <w:p w:rsidR="00A50F0E" w:rsidRPr="00CE4251" w:rsidRDefault="007E5963" w:rsidP="00D65BFF">
      <w:pPr>
        <w:pStyle w:val="ecxmsonormal"/>
        <w:spacing w:after="120"/>
        <w:jc w:val="both"/>
      </w:pPr>
      <w:r w:rsidRPr="00C61EB0">
        <w:rPr>
          <w:b/>
        </w:rPr>
        <w:lastRenderedPageBreak/>
        <w:t>2.2.</w:t>
      </w:r>
      <w:r w:rsidR="00682AF7" w:rsidRPr="00C61EB0">
        <w:rPr>
          <w:b/>
        </w:rPr>
        <w:t>4</w:t>
      </w:r>
      <w:r w:rsidRPr="00C61EB0">
        <w:rPr>
          <w:b/>
          <w:i/>
        </w:rPr>
        <w:t xml:space="preserve"> </w:t>
      </w:r>
      <w:r w:rsidR="00A50F0E" w:rsidRPr="00C61EB0">
        <w:rPr>
          <w:b/>
          <w:i/>
        </w:rPr>
        <w:t>Causa</w:t>
      </w:r>
      <w:r w:rsidR="0052294C" w:rsidRPr="00C61EB0">
        <w:rPr>
          <w:b/>
          <w:i/>
        </w:rPr>
        <w:t>(s)</w:t>
      </w:r>
      <w:r w:rsidR="00A50F0E" w:rsidRPr="00C61EB0">
        <w:rPr>
          <w:b/>
          <w:i/>
        </w:rPr>
        <w:t>:</w:t>
      </w:r>
      <w:r w:rsidR="00CE4251" w:rsidRPr="00C61EB0">
        <w:t xml:space="preserve"> </w:t>
      </w:r>
      <w:r w:rsidR="000F4355" w:rsidRPr="00C61EB0">
        <w:t>a) Realização de aquisição sem planejamento adequado</w:t>
      </w:r>
      <w:r w:rsidR="006F3867">
        <w:t>;</w:t>
      </w:r>
      <w:r w:rsidR="000F4355" w:rsidRPr="003E7AD8">
        <w:t xml:space="preserve"> b</w:t>
      </w:r>
      <w:r w:rsidR="00960F4B" w:rsidRPr="003E7AD8">
        <w:t xml:space="preserve">) </w:t>
      </w:r>
      <w:r w:rsidR="00D81500" w:rsidRPr="003E7AD8">
        <w:t>Conhecimento acerca da</w:t>
      </w:r>
      <w:r w:rsidR="00960F4B" w:rsidRPr="003E7AD8">
        <w:t xml:space="preserve"> necessidade de execução d</w:t>
      </w:r>
      <w:r w:rsidR="00D81500" w:rsidRPr="003E7AD8">
        <w:t>e</w:t>
      </w:r>
      <w:r w:rsidR="00960F4B" w:rsidRPr="003E7AD8">
        <w:t xml:space="preserve"> projeto d</w:t>
      </w:r>
      <w:r w:rsidR="00132D01" w:rsidRPr="003E7AD8">
        <w:t>as</w:t>
      </w:r>
      <w:r w:rsidR="00960F4B" w:rsidRPr="003E7AD8">
        <w:t xml:space="preserve"> interligaç</w:t>
      </w:r>
      <w:r w:rsidR="00FE1F96" w:rsidRPr="003E7AD8">
        <w:t>ões</w:t>
      </w:r>
      <w:r w:rsidR="00960F4B" w:rsidRPr="003E7AD8">
        <w:t xml:space="preserve"> </w:t>
      </w:r>
      <w:r w:rsidR="00FE1F96" w:rsidRPr="003E7AD8">
        <w:t xml:space="preserve">elétricas e lógicas </w:t>
      </w:r>
      <w:r w:rsidR="00D81500" w:rsidRPr="003E7AD8">
        <w:t xml:space="preserve">pela Seção de Projetos e Obras (SEPROB) </w:t>
      </w:r>
      <w:r w:rsidR="00960F4B" w:rsidRPr="003E7AD8">
        <w:t xml:space="preserve">após </w:t>
      </w:r>
      <w:r w:rsidR="000F4355" w:rsidRPr="003E7AD8">
        <w:t xml:space="preserve">a </w:t>
      </w:r>
      <w:r w:rsidR="00960F4B" w:rsidRPr="003E7AD8">
        <w:t xml:space="preserve">aquisição do contêiner, por meio de reunião realizada em 23/1/2015; </w:t>
      </w:r>
      <w:r w:rsidR="00876E23">
        <w:t xml:space="preserve">       </w:t>
      </w:r>
      <w:r w:rsidR="00D81500" w:rsidRPr="003E7AD8">
        <w:t>c</w:t>
      </w:r>
      <w:r w:rsidR="00CE4251" w:rsidRPr="003E7AD8">
        <w:t>) Inexistência de cargo efetivo de Analista Judiciário com especialidade em Engenharia Elétrica;</w:t>
      </w:r>
      <w:proofErr w:type="gramStart"/>
      <w:r w:rsidR="00CE4251" w:rsidRPr="003E7AD8">
        <w:t xml:space="preserve"> </w:t>
      </w:r>
      <w:r w:rsidR="00876E23">
        <w:t xml:space="preserve">  </w:t>
      </w:r>
      <w:proofErr w:type="gramEnd"/>
      <w:r w:rsidR="00D81500" w:rsidRPr="003E7AD8">
        <w:t>d</w:t>
      </w:r>
      <w:r w:rsidR="00960F4B" w:rsidRPr="003E7AD8">
        <w:t>) Aproveitamento d</w:t>
      </w:r>
      <w:r w:rsidR="000F4355" w:rsidRPr="003E7AD8">
        <w:t>e</w:t>
      </w:r>
      <w:r w:rsidR="00960F4B" w:rsidRPr="003E7AD8">
        <w:t xml:space="preserve"> contratação </w:t>
      </w:r>
      <w:r w:rsidR="001159BD" w:rsidRPr="003E7AD8">
        <w:t xml:space="preserve">em curso de </w:t>
      </w:r>
      <w:r w:rsidR="00960F4B" w:rsidRPr="003E7AD8">
        <w:t xml:space="preserve">empresa especializada </w:t>
      </w:r>
      <w:r w:rsidR="001159BD" w:rsidRPr="003E7AD8">
        <w:t>em</w:t>
      </w:r>
      <w:r w:rsidR="00960F4B" w:rsidRPr="003E7AD8">
        <w:t xml:space="preserve"> serviços de engenharia </w:t>
      </w:r>
      <w:r w:rsidR="001159BD" w:rsidRPr="003E7AD8">
        <w:t xml:space="preserve">para </w:t>
      </w:r>
      <w:r w:rsidR="00960F4B" w:rsidRPr="003E7AD8">
        <w:t>elabora</w:t>
      </w:r>
      <w:r w:rsidR="001159BD" w:rsidRPr="003E7AD8">
        <w:t>ção</w:t>
      </w:r>
      <w:r w:rsidR="00960F4B" w:rsidRPr="003E7AD8">
        <w:t xml:space="preserve"> </w:t>
      </w:r>
      <w:r w:rsidR="001159BD" w:rsidRPr="003E7AD8">
        <w:t>d</w:t>
      </w:r>
      <w:r w:rsidR="00960F4B" w:rsidRPr="003E7AD8">
        <w:t>o projeto de interligação</w:t>
      </w:r>
      <w:r w:rsidR="00D81500" w:rsidRPr="003E7AD8">
        <w:t xml:space="preserve">, o que veio a se efetivar ao final de </w:t>
      </w:r>
      <w:r w:rsidR="00B57ABA" w:rsidRPr="003E7AD8">
        <w:t>ab</w:t>
      </w:r>
      <w:r w:rsidR="003E7AD8" w:rsidRPr="003E7AD8">
        <w:t>r</w:t>
      </w:r>
      <w:r w:rsidR="00B57ABA" w:rsidRPr="003E7AD8">
        <w:t>il</w:t>
      </w:r>
      <w:r w:rsidR="00D81500" w:rsidRPr="003E7AD8">
        <w:t>/2015;</w:t>
      </w:r>
      <w:r w:rsidR="001159BD" w:rsidRPr="003E7AD8">
        <w:t xml:space="preserve"> </w:t>
      </w:r>
      <w:r w:rsidR="00D81500" w:rsidRPr="003E7AD8">
        <w:t>e</w:t>
      </w:r>
      <w:r w:rsidR="00CE4251" w:rsidRPr="003E7AD8">
        <w:t>) Não conclusão da contratação do serviço de interli</w:t>
      </w:r>
      <w:r w:rsidR="002B680F" w:rsidRPr="003E7AD8">
        <w:t>gaç</w:t>
      </w:r>
      <w:r w:rsidR="00962B86">
        <w:t>ão elétrica e lógica do CDC</w:t>
      </w:r>
      <w:r w:rsidR="00C61EB0">
        <w:t>.</w:t>
      </w:r>
    </w:p>
    <w:p w:rsidR="00CE4251" w:rsidRPr="00CE4251" w:rsidRDefault="00682AF7" w:rsidP="002A2AC1">
      <w:pPr>
        <w:pStyle w:val="ecxmsonormal"/>
        <w:spacing w:after="120"/>
        <w:jc w:val="both"/>
      </w:pPr>
      <w:r w:rsidRPr="00682AF7">
        <w:rPr>
          <w:b/>
        </w:rPr>
        <w:t>2.2.5</w:t>
      </w:r>
      <w:r>
        <w:rPr>
          <w:b/>
          <w:i/>
        </w:rPr>
        <w:t xml:space="preserve"> </w:t>
      </w:r>
      <w:r w:rsidR="00A50F0E">
        <w:rPr>
          <w:b/>
          <w:i/>
        </w:rPr>
        <w:t>Efeito(s):</w:t>
      </w:r>
      <w:r w:rsidR="00CE4251" w:rsidRPr="00CE4251">
        <w:t xml:space="preserve"> a)</w:t>
      </w:r>
      <w:r w:rsidR="000A2D7E">
        <w:t xml:space="preserve"> </w:t>
      </w:r>
      <w:r w:rsidR="0056214C">
        <w:t>Não atendimento à necessidade que gerou a contratação</w:t>
      </w:r>
      <w:r w:rsidR="00CE4251" w:rsidRPr="00CE4251">
        <w:t>; b) Potencial perda da garantia de itens que compõe</w:t>
      </w:r>
      <w:r w:rsidR="0045460D">
        <w:t>m</w:t>
      </w:r>
      <w:r w:rsidR="00CE4251" w:rsidRPr="00CE4251">
        <w:t xml:space="preserve"> </w:t>
      </w:r>
      <w:r w:rsidR="0056214C">
        <w:t>a solução adquirida;</w:t>
      </w:r>
      <w:r w:rsidR="0056214C" w:rsidRPr="0056214C">
        <w:t xml:space="preserve"> </w:t>
      </w:r>
      <w:r w:rsidR="0056214C">
        <w:t xml:space="preserve">c) </w:t>
      </w:r>
      <w:r w:rsidR="0056214C" w:rsidRPr="00CE4251">
        <w:t>Persistência do risco de perdas de dados no sis</w:t>
      </w:r>
      <w:r w:rsidR="0056214C">
        <w:t>tema</w:t>
      </w:r>
      <w:r w:rsidR="008A2FBD">
        <w:t xml:space="preserve"> informatizado do Tribunal; d) C</w:t>
      </w:r>
      <w:r w:rsidR="0056214C">
        <w:t>usto com realização de manutenção da solução sem a verificação de todos os itens.</w:t>
      </w:r>
    </w:p>
    <w:p w:rsidR="00CE4251" w:rsidRPr="00831761" w:rsidRDefault="00CE4251" w:rsidP="002A2AC1">
      <w:pPr>
        <w:jc w:val="both"/>
        <w:rPr>
          <w:sz w:val="24"/>
          <w:szCs w:val="24"/>
        </w:rPr>
      </w:pPr>
    </w:p>
    <w:p w:rsidR="000242D0" w:rsidRDefault="00F61F7B" w:rsidP="002A2AC1">
      <w:pPr>
        <w:tabs>
          <w:tab w:val="left" w:pos="85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A50F0E">
        <w:rPr>
          <w:b/>
          <w:sz w:val="24"/>
          <w:szCs w:val="24"/>
        </w:rPr>
        <w:t>.3</w:t>
      </w:r>
      <w:r w:rsidR="00A50F0E" w:rsidRPr="00D26E19">
        <w:rPr>
          <w:b/>
          <w:sz w:val="24"/>
          <w:szCs w:val="24"/>
        </w:rPr>
        <w:t>.</w:t>
      </w:r>
      <w:r w:rsidR="002D6DE0" w:rsidRPr="002D6DE0">
        <w:t xml:space="preserve"> </w:t>
      </w:r>
      <w:r w:rsidR="003C6194">
        <w:rPr>
          <w:b/>
          <w:sz w:val="24"/>
          <w:szCs w:val="24"/>
        </w:rPr>
        <w:t xml:space="preserve">Problemas na implantação da solução devido à dificuldade </w:t>
      </w:r>
      <w:r w:rsidR="00797C61">
        <w:rPr>
          <w:b/>
          <w:sz w:val="24"/>
          <w:szCs w:val="24"/>
        </w:rPr>
        <w:t>para a</w:t>
      </w:r>
      <w:r w:rsidR="003C6194">
        <w:rPr>
          <w:b/>
          <w:sz w:val="24"/>
          <w:szCs w:val="24"/>
        </w:rPr>
        <w:t xml:space="preserve"> contratação do</w:t>
      </w:r>
      <w:r w:rsidR="002D6DE0" w:rsidRPr="002D6DE0">
        <w:rPr>
          <w:b/>
          <w:sz w:val="24"/>
          <w:szCs w:val="24"/>
        </w:rPr>
        <w:t xml:space="preserve"> serviço de interligação elétrica e lógica do Contêiner Data Center</w:t>
      </w:r>
      <w:r w:rsidR="000242D0">
        <w:rPr>
          <w:b/>
          <w:sz w:val="24"/>
          <w:szCs w:val="24"/>
        </w:rPr>
        <w:t xml:space="preserve"> em razão de especificação insuficiente ou in</w:t>
      </w:r>
      <w:r w:rsidR="000B256B">
        <w:rPr>
          <w:b/>
          <w:sz w:val="24"/>
          <w:szCs w:val="24"/>
        </w:rPr>
        <w:t>adequada no Termo de Referência</w:t>
      </w:r>
    </w:p>
    <w:p w:rsidR="002D6DE0" w:rsidRPr="002D6DE0" w:rsidRDefault="00682AF7" w:rsidP="002A2AC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2.3.1 </w:t>
      </w:r>
      <w:r w:rsidR="00A50F0E">
        <w:rPr>
          <w:b/>
          <w:i/>
          <w:sz w:val="24"/>
          <w:szCs w:val="24"/>
        </w:rPr>
        <w:t>Situação Encontrada</w:t>
      </w:r>
      <w:r w:rsidR="00A50F0E" w:rsidRPr="003E7AD8">
        <w:rPr>
          <w:sz w:val="24"/>
          <w:szCs w:val="24"/>
        </w:rPr>
        <w:t>:</w:t>
      </w:r>
      <w:r w:rsidR="002D6DE0" w:rsidRPr="003E7AD8">
        <w:rPr>
          <w:sz w:val="24"/>
          <w:szCs w:val="24"/>
        </w:rPr>
        <w:t xml:space="preserve"> </w:t>
      </w:r>
      <w:r w:rsidR="003E7AD8" w:rsidRPr="003E7AD8">
        <w:rPr>
          <w:sz w:val="24"/>
          <w:szCs w:val="24"/>
        </w:rPr>
        <w:t>a)</w:t>
      </w:r>
      <w:r w:rsidR="003E7AD8">
        <w:t xml:space="preserve"> </w:t>
      </w:r>
      <w:r w:rsidR="000242D0">
        <w:rPr>
          <w:sz w:val="24"/>
          <w:szCs w:val="24"/>
        </w:rPr>
        <w:t>A solução contratada está inoperante em razão da morosidade verificada no trâmite do processo relativo à contratação das interligações elétrica e lógica (</w:t>
      </w:r>
      <w:r w:rsidR="002D6DE0" w:rsidRPr="002D6DE0">
        <w:rPr>
          <w:sz w:val="24"/>
          <w:szCs w:val="24"/>
        </w:rPr>
        <w:t>PAD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12.476/2015</w:t>
      </w:r>
      <w:r w:rsidR="000242D0">
        <w:rPr>
          <w:sz w:val="24"/>
          <w:szCs w:val="24"/>
        </w:rPr>
        <w:t xml:space="preserve">) </w:t>
      </w:r>
      <w:r w:rsidR="003E7AD8">
        <w:rPr>
          <w:sz w:val="24"/>
          <w:szCs w:val="24"/>
        </w:rPr>
        <w:t>onde é possível verificar</w:t>
      </w:r>
      <w:r w:rsidR="000242D0">
        <w:rPr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 xml:space="preserve">diversas diligências da </w:t>
      </w:r>
      <w:r w:rsidR="00BE127A">
        <w:rPr>
          <w:sz w:val="24"/>
          <w:szCs w:val="24"/>
        </w:rPr>
        <w:t>Assessoria Jurídica de Licitações e Contratos (</w:t>
      </w:r>
      <w:r w:rsidR="002D6DE0" w:rsidRPr="002D6DE0">
        <w:rPr>
          <w:sz w:val="24"/>
          <w:szCs w:val="24"/>
        </w:rPr>
        <w:t>ASJUR1</w:t>
      </w:r>
      <w:r w:rsidR="00BE127A">
        <w:rPr>
          <w:sz w:val="24"/>
          <w:szCs w:val="24"/>
        </w:rPr>
        <w:t>)</w:t>
      </w:r>
      <w:r w:rsidR="002D6DE0" w:rsidRPr="002D6DE0">
        <w:rPr>
          <w:sz w:val="24"/>
          <w:szCs w:val="24"/>
        </w:rPr>
        <w:t xml:space="preserve"> </w:t>
      </w:r>
      <w:proofErr w:type="gramStart"/>
      <w:r w:rsidR="002D6DE0" w:rsidRPr="002D6DE0">
        <w:rPr>
          <w:sz w:val="24"/>
          <w:szCs w:val="24"/>
        </w:rPr>
        <w:t xml:space="preserve">dirigidas à área técnica para ajuste no Termo de Referência resultando, até esta data (27/7/2016), em </w:t>
      </w:r>
      <w:r w:rsidR="00BD3E19">
        <w:rPr>
          <w:sz w:val="24"/>
          <w:szCs w:val="24"/>
        </w:rPr>
        <w:t>cinco</w:t>
      </w:r>
      <w:r w:rsidR="002D6DE0" w:rsidRPr="002D6DE0">
        <w:rPr>
          <w:sz w:val="24"/>
          <w:szCs w:val="24"/>
        </w:rPr>
        <w:t xml:space="preserve"> versões </w:t>
      </w:r>
      <w:r w:rsidR="000242D0">
        <w:rPr>
          <w:sz w:val="24"/>
          <w:szCs w:val="24"/>
        </w:rPr>
        <w:t>do documento</w:t>
      </w:r>
      <w:proofErr w:type="gramEnd"/>
      <w:r w:rsidR="000242D0">
        <w:rPr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>(Docs. PAD n</w:t>
      </w:r>
      <w:r w:rsidR="0045460D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125.527 </w:t>
      </w:r>
      <w:r w:rsidR="00694E98">
        <w:rPr>
          <w:sz w:val="24"/>
          <w:szCs w:val="24"/>
        </w:rPr>
        <w:t xml:space="preserve">e </w:t>
      </w:r>
      <w:r w:rsidR="002D6DE0" w:rsidRPr="002D6DE0">
        <w:rPr>
          <w:sz w:val="24"/>
          <w:szCs w:val="24"/>
        </w:rPr>
        <w:t>149.973/2015</w:t>
      </w:r>
      <w:r w:rsidR="00694E98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30.048</w:t>
      </w:r>
      <w:r w:rsidR="00694E98">
        <w:rPr>
          <w:sz w:val="24"/>
          <w:szCs w:val="24"/>
        </w:rPr>
        <w:t xml:space="preserve">, </w:t>
      </w:r>
      <w:r w:rsidR="002D6DE0" w:rsidRPr="002D6DE0">
        <w:rPr>
          <w:sz w:val="24"/>
          <w:szCs w:val="24"/>
        </w:rPr>
        <w:t>51.295</w:t>
      </w:r>
      <w:r w:rsidR="00694E98">
        <w:rPr>
          <w:sz w:val="24"/>
          <w:szCs w:val="24"/>
        </w:rPr>
        <w:t xml:space="preserve"> e</w:t>
      </w:r>
      <w:r w:rsidR="002D6DE0" w:rsidRPr="002D6DE0">
        <w:rPr>
          <w:sz w:val="24"/>
          <w:szCs w:val="24"/>
        </w:rPr>
        <w:t xml:space="preserve"> 115.222/2016)</w:t>
      </w:r>
      <w:r w:rsidR="00D32363">
        <w:rPr>
          <w:sz w:val="24"/>
          <w:szCs w:val="24"/>
        </w:rPr>
        <w:t>;</w:t>
      </w:r>
      <w:r w:rsidR="003E7AD8">
        <w:rPr>
          <w:sz w:val="24"/>
          <w:szCs w:val="24"/>
        </w:rPr>
        <w:t xml:space="preserve"> b) A manutenção que está sendo </w:t>
      </w:r>
      <w:r w:rsidR="00C21D8F">
        <w:rPr>
          <w:sz w:val="24"/>
          <w:szCs w:val="24"/>
        </w:rPr>
        <w:t xml:space="preserve">inviabilizada na maioria dos itens previstos no relatório de inspeção devido a falta de energização do Data Center; c) Perda da garantia de itens que compõe a solução em razão da sua vida útil, a exemplo, das baterias cujo prazo é de </w:t>
      </w:r>
      <w:r w:rsidR="00EA11C9">
        <w:rPr>
          <w:sz w:val="24"/>
          <w:szCs w:val="24"/>
        </w:rPr>
        <w:t>três</w:t>
      </w:r>
      <w:r w:rsidR="00C21D8F">
        <w:rPr>
          <w:sz w:val="24"/>
          <w:szCs w:val="24"/>
        </w:rPr>
        <w:t xml:space="preserve"> anos contados da data de fabricação.</w:t>
      </w:r>
    </w:p>
    <w:p w:rsidR="00A50F0E" w:rsidRPr="002D6DE0" w:rsidRDefault="00682AF7" w:rsidP="002A2AC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2.3.2 </w:t>
      </w:r>
      <w:r w:rsidR="00A50F0E">
        <w:rPr>
          <w:b/>
          <w:i/>
          <w:sz w:val="24"/>
          <w:szCs w:val="24"/>
        </w:rPr>
        <w:t>Critério:</w:t>
      </w:r>
      <w:r w:rsidR="002D6DE0" w:rsidRPr="002D6DE0">
        <w:t xml:space="preserve"> </w:t>
      </w:r>
      <w:r w:rsidR="002D6DE0" w:rsidRPr="002D6DE0">
        <w:rPr>
          <w:sz w:val="24"/>
          <w:szCs w:val="24"/>
        </w:rPr>
        <w:t>a)</w:t>
      </w:r>
      <w:r w:rsidR="00CF4255">
        <w:rPr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>Constituição Federal, art. 37, caput; b)</w:t>
      </w:r>
      <w:r w:rsidR="00CF4255">
        <w:rPr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>Recomendação oriunda da Fiscalização dos Procedimentos Licitatórios relativos ao Bimestre J</w:t>
      </w:r>
      <w:r w:rsidR="009743F0">
        <w:rPr>
          <w:sz w:val="24"/>
          <w:szCs w:val="24"/>
        </w:rPr>
        <w:t>AN</w:t>
      </w:r>
      <w:r w:rsidR="002D6DE0" w:rsidRPr="002D6DE0">
        <w:rPr>
          <w:sz w:val="24"/>
          <w:szCs w:val="24"/>
        </w:rPr>
        <w:t>/F</w:t>
      </w:r>
      <w:r w:rsidR="009743F0">
        <w:rPr>
          <w:sz w:val="24"/>
          <w:szCs w:val="24"/>
        </w:rPr>
        <w:t>EV</w:t>
      </w:r>
      <w:r w:rsidR="002D6DE0" w:rsidRPr="002D6DE0">
        <w:rPr>
          <w:sz w:val="24"/>
          <w:szCs w:val="24"/>
        </w:rPr>
        <w:t xml:space="preserve"> 2015, item </w:t>
      </w:r>
      <w:proofErr w:type="gramStart"/>
      <w:r w:rsidR="002D6DE0" w:rsidRPr="002D6DE0">
        <w:rPr>
          <w:sz w:val="24"/>
          <w:szCs w:val="24"/>
        </w:rPr>
        <w:t>IV.</w:t>
      </w:r>
      <w:proofErr w:type="gramEnd"/>
      <w:r w:rsidR="002D6DE0" w:rsidRPr="002D6DE0">
        <w:rPr>
          <w:sz w:val="24"/>
          <w:szCs w:val="24"/>
        </w:rPr>
        <w:t>4 (PAD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5</w:t>
      </w:r>
      <w:r w:rsidR="00D87E0D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>673/2015).</w:t>
      </w:r>
    </w:p>
    <w:p w:rsidR="002D6DE0" w:rsidRPr="002D6DE0" w:rsidRDefault="00682AF7" w:rsidP="002A2AC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2.3.3 </w:t>
      </w:r>
      <w:r w:rsidR="00A50F0E">
        <w:rPr>
          <w:b/>
          <w:i/>
          <w:sz w:val="24"/>
          <w:szCs w:val="24"/>
        </w:rPr>
        <w:t>Evidência(s):</w:t>
      </w:r>
      <w:r w:rsidR="002D6DE0">
        <w:rPr>
          <w:b/>
          <w:i/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>a) Docs. PAD n</w:t>
      </w:r>
      <w:r w:rsidR="00BF705D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125.527</w:t>
      </w:r>
      <w:r w:rsidR="00BF705D">
        <w:rPr>
          <w:sz w:val="24"/>
          <w:szCs w:val="24"/>
        </w:rPr>
        <w:t xml:space="preserve"> e </w:t>
      </w:r>
      <w:r w:rsidR="002D6DE0" w:rsidRPr="002D6DE0">
        <w:rPr>
          <w:sz w:val="24"/>
          <w:szCs w:val="24"/>
        </w:rPr>
        <w:t>149.973/2015</w:t>
      </w:r>
      <w:r w:rsidR="00BF705D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30.048</w:t>
      </w:r>
      <w:r w:rsidR="00BF705D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51.295 e 115.222/2016</w:t>
      </w:r>
      <w:r w:rsidR="00BF705D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relativos aos termos de referência.</w:t>
      </w:r>
    </w:p>
    <w:p w:rsidR="00A50F0E" w:rsidRPr="00D632E1" w:rsidRDefault="00682AF7" w:rsidP="002A2AC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2.3.4 </w:t>
      </w:r>
      <w:r w:rsidR="00A50F0E">
        <w:rPr>
          <w:b/>
          <w:i/>
          <w:sz w:val="24"/>
          <w:szCs w:val="24"/>
        </w:rPr>
        <w:t>Causa</w:t>
      </w:r>
      <w:r w:rsidR="0052294C">
        <w:rPr>
          <w:b/>
          <w:i/>
          <w:sz w:val="24"/>
          <w:szCs w:val="24"/>
        </w:rPr>
        <w:t>(s)</w:t>
      </w:r>
      <w:r w:rsidR="00A50F0E">
        <w:rPr>
          <w:b/>
          <w:i/>
          <w:sz w:val="24"/>
          <w:szCs w:val="24"/>
        </w:rPr>
        <w:t>:</w:t>
      </w:r>
      <w:r w:rsidR="002D6DE0" w:rsidRPr="002D6DE0">
        <w:t xml:space="preserve"> </w:t>
      </w:r>
      <w:r w:rsidR="002D6DE0" w:rsidRPr="002D6DE0">
        <w:rPr>
          <w:sz w:val="24"/>
          <w:szCs w:val="24"/>
        </w:rPr>
        <w:t xml:space="preserve">a) Ineditismo e complexidade </w:t>
      </w:r>
      <w:r w:rsidR="000242D0">
        <w:rPr>
          <w:sz w:val="24"/>
          <w:szCs w:val="24"/>
        </w:rPr>
        <w:t>do objeto contratual</w:t>
      </w:r>
      <w:r w:rsidR="002D6DE0" w:rsidRPr="002D6DE0">
        <w:rPr>
          <w:sz w:val="24"/>
          <w:szCs w:val="24"/>
        </w:rPr>
        <w:t xml:space="preserve">; b) Ausência </w:t>
      </w:r>
      <w:r w:rsidR="000242D0">
        <w:rPr>
          <w:sz w:val="24"/>
          <w:szCs w:val="24"/>
        </w:rPr>
        <w:t>d</w:t>
      </w:r>
      <w:r w:rsidR="002D6DE0" w:rsidRPr="002D6DE0">
        <w:rPr>
          <w:sz w:val="24"/>
          <w:szCs w:val="24"/>
        </w:rPr>
        <w:t xml:space="preserve">e estudos prévios </w:t>
      </w:r>
      <w:r w:rsidR="000242D0">
        <w:rPr>
          <w:sz w:val="24"/>
          <w:szCs w:val="24"/>
        </w:rPr>
        <w:t>destinados a avaliar viabilidade</w:t>
      </w:r>
      <w:r w:rsidR="000242D0" w:rsidRPr="00AE5620">
        <w:rPr>
          <w:sz w:val="24"/>
          <w:szCs w:val="24"/>
        </w:rPr>
        <w:t>, sustentação, estratégia e</w:t>
      </w:r>
      <w:r w:rsidR="000B256B" w:rsidRPr="00AE5620">
        <w:rPr>
          <w:sz w:val="24"/>
          <w:szCs w:val="24"/>
        </w:rPr>
        <w:t xml:space="preserve"> </w:t>
      </w:r>
      <w:r w:rsidR="006F675B">
        <w:rPr>
          <w:sz w:val="24"/>
          <w:szCs w:val="24"/>
        </w:rPr>
        <w:t>riscos da aquisição; c) F</w:t>
      </w:r>
      <w:r w:rsidR="000242D0">
        <w:rPr>
          <w:sz w:val="24"/>
          <w:szCs w:val="24"/>
        </w:rPr>
        <w:t>alha do planejamento da contratação da solução</w:t>
      </w:r>
      <w:r w:rsidR="00E718B9">
        <w:rPr>
          <w:sz w:val="24"/>
          <w:szCs w:val="24"/>
        </w:rPr>
        <w:t>;</w:t>
      </w:r>
      <w:r w:rsidR="006F675B">
        <w:rPr>
          <w:sz w:val="24"/>
          <w:szCs w:val="24"/>
        </w:rPr>
        <w:t xml:space="preserve"> d) I</w:t>
      </w:r>
      <w:r w:rsidR="000242D0">
        <w:rPr>
          <w:sz w:val="24"/>
          <w:szCs w:val="24"/>
        </w:rPr>
        <w:t xml:space="preserve">nsuficiência de capacitação dos responsáveis pela </w:t>
      </w:r>
      <w:r w:rsidR="002D6DE0" w:rsidRPr="002D6DE0">
        <w:rPr>
          <w:sz w:val="24"/>
          <w:szCs w:val="24"/>
        </w:rPr>
        <w:t>elaboração do Termo de Referência</w:t>
      </w:r>
      <w:r w:rsidR="006F675B">
        <w:rPr>
          <w:sz w:val="24"/>
          <w:szCs w:val="24"/>
        </w:rPr>
        <w:t>; e) A</w:t>
      </w:r>
      <w:r w:rsidR="000242D0">
        <w:rPr>
          <w:sz w:val="24"/>
          <w:szCs w:val="24"/>
        </w:rPr>
        <w:t xml:space="preserve">usência de sistematização, padronização de procedimentos; </w:t>
      </w:r>
      <w:r w:rsidR="00BF3F34" w:rsidRPr="00D632E1">
        <w:rPr>
          <w:sz w:val="24"/>
          <w:szCs w:val="24"/>
        </w:rPr>
        <w:t xml:space="preserve">f) </w:t>
      </w:r>
      <w:r w:rsidR="000242D0" w:rsidRPr="00D632E1">
        <w:rPr>
          <w:sz w:val="24"/>
          <w:szCs w:val="24"/>
        </w:rPr>
        <w:t xml:space="preserve">Morosidade para a autorização de abertura do certame (ocorrida em 20/7/2016, Doc. PAD n. 129.241/2016); </w:t>
      </w:r>
      <w:r w:rsidR="00BF3F34" w:rsidRPr="00D632E1">
        <w:rPr>
          <w:sz w:val="24"/>
          <w:szCs w:val="24"/>
        </w:rPr>
        <w:t>g</w:t>
      </w:r>
      <w:r w:rsidR="000242D0" w:rsidRPr="00D632E1">
        <w:rPr>
          <w:sz w:val="24"/>
          <w:szCs w:val="24"/>
        </w:rPr>
        <w:t>) Ausência da realização da fase externa da licitação</w:t>
      </w:r>
      <w:r w:rsidR="00C821CE">
        <w:rPr>
          <w:sz w:val="24"/>
          <w:szCs w:val="24"/>
        </w:rPr>
        <w:t>; h) I</w:t>
      </w:r>
      <w:r w:rsidR="00BF3F34" w:rsidRPr="00D632E1">
        <w:rPr>
          <w:sz w:val="24"/>
          <w:szCs w:val="24"/>
        </w:rPr>
        <w:t>nexistência de cargo de engenheiro eletricista no quadro de pessoal deste Regional</w:t>
      </w:r>
      <w:r w:rsidR="00577C29" w:rsidRPr="00D632E1">
        <w:rPr>
          <w:sz w:val="24"/>
          <w:szCs w:val="24"/>
        </w:rPr>
        <w:t>.</w:t>
      </w:r>
    </w:p>
    <w:p w:rsidR="00A50F0E" w:rsidRPr="000F3A25" w:rsidRDefault="00682AF7" w:rsidP="002A2AC1">
      <w:pPr>
        <w:jc w:val="both"/>
        <w:rPr>
          <w:sz w:val="24"/>
          <w:szCs w:val="24"/>
        </w:rPr>
      </w:pPr>
      <w:r w:rsidRPr="000F3A25">
        <w:rPr>
          <w:b/>
          <w:sz w:val="24"/>
          <w:szCs w:val="24"/>
        </w:rPr>
        <w:t xml:space="preserve">2.3.5 </w:t>
      </w:r>
      <w:r w:rsidR="00A50F0E" w:rsidRPr="000F3A25">
        <w:rPr>
          <w:b/>
          <w:i/>
          <w:sz w:val="24"/>
          <w:szCs w:val="24"/>
        </w:rPr>
        <w:t>Efeito(s):</w:t>
      </w:r>
      <w:r w:rsidR="002D6DE0" w:rsidRPr="000F3A25">
        <w:rPr>
          <w:b/>
          <w:i/>
          <w:sz w:val="24"/>
          <w:szCs w:val="24"/>
        </w:rPr>
        <w:t xml:space="preserve"> </w:t>
      </w:r>
      <w:r w:rsidR="002D6DE0" w:rsidRPr="000F3A25">
        <w:rPr>
          <w:sz w:val="24"/>
          <w:szCs w:val="24"/>
        </w:rPr>
        <w:t>a)</w:t>
      </w:r>
      <w:r w:rsidR="00BC01CB" w:rsidRPr="000F3A25">
        <w:rPr>
          <w:sz w:val="24"/>
          <w:szCs w:val="24"/>
        </w:rPr>
        <w:t xml:space="preserve"> </w:t>
      </w:r>
      <w:r w:rsidR="00BF3F34" w:rsidRPr="000F3A25">
        <w:rPr>
          <w:sz w:val="24"/>
          <w:szCs w:val="24"/>
        </w:rPr>
        <w:t xml:space="preserve">Não atendimento da demanda do Órgão; </w:t>
      </w:r>
      <w:r w:rsidR="006F675B" w:rsidRPr="000F3A25">
        <w:rPr>
          <w:sz w:val="24"/>
          <w:szCs w:val="24"/>
        </w:rPr>
        <w:t xml:space="preserve">b) </w:t>
      </w:r>
      <w:r w:rsidR="009874CA" w:rsidRPr="000F3A25">
        <w:rPr>
          <w:sz w:val="24"/>
          <w:szCs w:val="24"/>
        </w:rPr>
        <w:t>P</w:t>
      </w:r>
      <w:r w:rsidR="00BF3F34" w:rsidRPr="000F3A25">
        <w:rPr>
          <w:sz w:val="24"/>
          <w:szCs w:val="24"/>
        </w:rPr>
        <w:t xml:space="preserve">aralização da solução; </w:t>
      </w:r>
      <w:r w:rsidR="000F3A25">
        <w:rPr>
          <w:sz w:val="24"/>
          <w:szCs w:val="24"/>
        </w:rPr>
        <w:t xml:space="preserve">                     </w:t>
      </w:r>
      <w:r w:rsidR="009874CA" w:rsidRPr="000F3A25">
        <w:rPr>
          <w:sz w:val="24"/>
          <w:szCs w:val="24"/>
        </w:rPr>
        <w:t xml:space="preserve">c) </w:t>
      </w:r>
      <w:r w:rsidR="000F3A25" w:rsidRPr="000F3A25">
        <w:rPr>
          <w:sz w:val="24"/>
          <w:szCs w:val="24"/>
        </w:rPr>
        <w:t>Precariedade quanto ao</w:t>
      </w:r>
      <w:r w:rsidR="00D43352" w:rsidRPr="000F3A25">
        <w:rPr>
          <w:sz w:val="24"/>
          <w:szCs w:val="24"/>
        </w:rPr>
        <w:t xml:space="preserve"> aproveitamento</w:t>
      </w:r>
      <w:r w:rsidR="009874CA" w:rsidRPr="000F3A25">
        <w:rPr>
          <w:sz w:val="24"/>
          <w:szCs w:val="24"/>
        </w:rPr>
        <w:t xml:space="preserve"> de recursos públicos; d</w:t>
      </w:r>
      <w:r w:rsidR="006F675B" w:rsidRPr="000F3A25">
        <w:rPr>
          <w:sz w:val="24"/>
          <w:szCs w:val="24"/>
        </w:rPr>
        <w:t xml:space="preserve">) </w:t>
      </w:r>
      <w:r w:rsidR="009874CA" w:rsidRPr="000F3A25">
        <w:rPr>
          <w:sz w:val="24"/>
          <w:szCs w:val="24"/>
        </w:rPr>
        <w:t>D</w:t>
      </w:r>
      <w:r w:rsidR="00BF3F34" w:rsidRPr="000F3A25">
        <w:rPr>
          <w:sz w:val="24"/>
          <w:szCs w:val="24"/>
        </w:rPr>
        <w:t>emora entre o tempo decorrido desde a protocolização do termo de referência e efetiva contratação do serviço.</w:t>
      </w:r>
    </w:p>
    <w:p w:rsidR="006931C4" w:rsidRDefault="006931C4" w:rsidP="002A2AC1">
      <w:pPr>
        <w:jc w:val="both"/>
        <w:rPr>
          <w:b/>
          <w:sz w:val="24"/>
          <w:szCs w:val="24"/>
        </w:rPr>
      </w:pPr>
    </w:p>
    <w:p w:rsidR="006B5E49" w:rsidRDefault="006B5E49" w:rsidP="002A2AC1">
      <w:pPr>
        <w:jc w:val="both"/>
        <w:rPr>
          <w:b/>
          <w:sz w:val="24"/>
          <w:szCs w:val="24"/>
        </w:rPr>
      </w:pPr>
    </w:p>
    <w:p w:rsidR="002D6DE0" w:rsidRPr="002D6DE0" w:rsidRDefault="00F61F7B" w:rsidP="002A2AC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A50F0E">
        <w:rPr>
          <w:b/>
          <w:sz w:val="24"/>
          <w:szCs w:val="24"/>
        </w:rPr>
        <w:t>.4</w:t>
      </w:r>
      <w:r w:rsidR="00A50F0E" w:rsidRPr="00D26E19">
        <w:rPr>
          <w:b/>
          <w:sz w:val="24"/>
          <w:szCs w:val="24"/>
        </w:rPr>
        <w:t>.</w:t>
      </w:r>
      <w:r w:rsidR="002D6DE0" w:rsidRPr="002D6DE0">
        <w:t xml:space="preserve"> </w:t>
      </w:r>
      <w:r w:rsidR="002D6DE0" w:rsidRPr="002D6DE0">
        <w:rPr>
          <w:b/>
          <w:sz w:val="24"/>
          <w:szCs w:val="24"/>
        </w:rPr>
        <w:t>F</w:t>
      </w:r>
      <w:r w:rsidR="006931C4">
        <w:rPr>
          <w:b/>
          <w:sz w:val="24"/>
          <w:szCs w:val="24"/>
        </w:rPr>
        <w:t xml:space="preserve">alha </w:t>
      </w:r>
      <w:r w:rsidR="00D10AE8">
        <w:rPr>
          <w:b/>
          <w:sz w:val="24"/>
          <w:szCs w:val="24"/>
        </w:rPr>
        <w:t>n</w:t>
      </w:r>
      <w:r w:rsidR="002D6DE0" w:rsidRPr="002D6DE0">
        <w:rPr>
          <w:b/>
          <w:sz w:val="24"/>
          <w:szCs w:val="24"/>
        </w:rPr>
        <w:t>os procedimentos da fiscalização</w:t>
      </w:r>
      <w:r w:rsidR="006931C4">
        <w:rPr>
          <w:b/>
          <w:sz w:val="24"/>
          <w:szCs w:val="24"/>
        </w:rPr>
        <w:t xml:space="preserve"> contratual no que tange aos</w:t>
      </w:r>
      <w:r w:rsidR="002D6DE0" w:rsidRPr="002D6DE0">
        <w:rPr>
          <w:b/>
          <w:sz w:val="24"/>
          <w:szCs w:val="24"/>
        </w:rPr>
        <w:t xml:space="preserve"> </w:t>
      </w:r>
      <w:r w:rsidR="00B2280E" w:rsidRPr="002D6DE0">
        <w:rPr>
          <w:b/>
          <w:sz w:val="24"/>
          <w:szCs w:val="24"/>
        </w:rPr>
        <w:t>atesto</w:t>
      </w:r>
      <w:r w:rsidR="002D6DE0" w:rsidRPr="002D6DE0">
        <w:rPr>
          <w:b/>
          <w:sz w:val="24"/>
          <w:szCs w:val="24"/>
        </w:rPr>
        <w:t xml:space="preserve"> da</w:t>
      </w:r>
      <w:r w:rsidR="006931C4">
        <w:rPr>
          <w:b/>
          <w:sz w:val="24"/>
          <w:szCs w:val="24"/>
        </w:rPr>
        <w:t>s</w:t>
      </w:r>
      <w:r w:rsidR="002D6DE0" w:rsidRPr="002D6DE0">
        <w:rPr>
          <w:b/>
          <w:sz w:val="24"/>
          <w:szCs w:val="24"/>
        </w:rPr>
        <w:t xml:space="preserve"> nota</w:t>
      </w:r>
      <w:r w:rsidR="006931C4">
        <w:rPr>
          <w:b/>
          <w:sz w:val="24"/>
          <w:szCs w:val="24"/>
        </w:rPr>
        <w:t>s</w:t>
      </w:r>
      <w:r w:rsidR="002D6DE0" w:rsidRPr="002D6DE0">
        <w:rPr>
          <w:b/>
          <w:sz w:val="24"/>
          <w:szCs w:val="24"/>
        </w:rPr>
        <w:t xml:space="preserve"> fisca</w:t>
      </w:r>
      <w:r w:rsidR="006931C4">
        <w:rPr>
          <w:b/>
          <w:sz w:val="24"/>
          <w:szCs w:val="24"/>
        </w:rPr>
        <w:t>is</w:t>
      </w:r>
      <w:r w:rsidR="002D6DE0" w:rsidRPr="002D6DE0">
        <w:rPr>
          <w:b/>
          <w:sz w:val="24"/>
          <w:szCs w:val="24"/>
        </w:rPr>
        <w:t xml:space="preserve"> para pagamento.</w:t>
      </w:r>
    </w:p>
    <w:p w:rsidR="00A50F0E" w:rsidRPr="002D6DE0" w:rsidRDefault="00D10A49" w:rsidP="002A2AC1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2.4.1</w:t>
      </w:r>
      <w:r>
        <w:rPr>
          <w:b/>
          <w:i/>
          <w:sz w:val="24"/>
          <w:szCs w:val="24"/>
        </w:rPr>
        <w:t xml:space="preserve"> </w:t>
      </w:r>
      <w:r w:rsidR="00A50F0E">
        <w:rPr>
          <w:b/>
          <w:i/>
          <w:sz w:val="24"/>
          <w:szCs w:val="24"/>
        </w:rPr>
        <w:t>Situação Encontrada:</w:t>
      </w:r>
      <w:r w:rsidR="002D6DE0">
        <w:rPr>
          <w:b/>
          <w:i/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 xml:space="preserve">a) </w:t>
      </w:r>
      <w:r w:rsidR="00D10AE8">
        <w:rPr>
          <w:sz w:val="24"/>
          <w:szCs w:val="24"/>
        </w:rPr>
        <w:t xml:space="preserve">Atesto em </w:t>
      </w:r>
      <w:r w:rsidR="00D10AE8" w:rsidRPr="002D6DE0">
        <w:rPr>
          <w:sz w:val="24"/>
          <w:szCs w:val="24"/>
        </w:rPr>
        <w:t>nota fiscal</w:t>
      </w:r>
      <w:r w:rsidR="00D10AE8">
        <w:rPr>
          <w:sz w:val="24"/>
          <w:szCs w:val="24"/>
        </w:rPr>
        <w:t xml:space="preserve"> realizado por s</w:t>
      </w:r>
      <w:r w:rsidR="002D6DE0" w:rsidRPr="002D6DE0">
        <w:rPr>
          <w:sz w:val="24"/>
          <w:szCs w:val="24"/>
        </w:rPr>
        <w:t xml:space="preserve">ervidor não designado como fiscal do contrato; b) Ausência dos relatórios </w:t>
      </w:r>
      <w:proofErr w:type="spellStart"/>
      <w:r w:rsidR="008B3160" w:rsidRPr="006931C4">
        <w:rPr>
          <w:i/>
          <w:sz w:val="24"/>
          <w:szCs w:val="24"/>
        </w:rPr>
        <w:t>O</w:t>
      </w:r>
      <w:r w:rsidR="002D6DE0" w:rsidRPr="006931C4">
        <w:rPr>
          <w:i/>
          <w:sz w:val="24"/>
          <w:szCs w:val="24"/>
        </w:rPr>
        <w:t>ngoing</w:t>
      </w:r>
      <w:proofErr w:type="spellEnd"/>
      <w:r w:rsidR="002D6DE0" w:rsidRPr="002D6DE0">
        <w:rPr>
          <w:sz w:val="24"/>
          <w:szCs w:val="24"/>
        </w:rPr>
        <w:t xml:space="preserve"> que atestam a prestação do serviço.</w:t>
      </w:r>
    </w:p>
    <w:p w:rsidR="00A50F0E" w:rsidRPr="00BB19CC" w:rsidRDefault="00D10A49" w:rsidP="002A2AC1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2.4.2</w:t>
      </w:r>
      <w:r>
        <w:rPr>
          <w:b/>
          <w:i/>
          <w:sz w:val="24"/>
          <w:szCs w:val="24"/>
        </w:rPr>
        <w:t xml:space="preserve"> </w:t>
      </w:r>
      <w:r w:rsidR="00A50F0E">
        <w:rPr>
          <w:b/>
          <w:i/>
          <w:sz w:val="24"/>
          <w:szCs w:val="24"/>
        </w:rPr>
        <w:t>Critério:</w:t>
      </w:r>
      <w:r w:rsidR="002D6DE0" w:rsidRPr="002D6DE0">
        <w:t xml:space="preserve"> </w:t>
      </w:r>
      <w:r w:rsidR="002D6DE0" w:rsidRPr="002D6DE0">
        <w:rPr>
          <w:sz w:val="24"/>
          <w:szCs w:val="24"/>
        </w:rPr>
        <w:t>a) Art. 67, Lei n</w:t>
      </w:r>
      <w:r w:rsidR="00E36738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8.666/</w:t>
      </w:r>
      <w:r w:rsidR="001D2F13">
        <w:rPr>
          <w:sz w:val="24"/>
          <w:szCs w:val="24"/>
        </w:rPr>
        <w:t>19</w:t>
      </w:r>
      <w:r w:rsidR="002D6DE0" w:rsidRPr="002D6DE0">
        <w:rPr>
          <w:sz w:val="24"/>
          <w:szCs w:val="24"/>
        </w:rPr>
        <w:t>93; b) Art. 8°, §4°, Portaria do DG n</w:t>
      </w:r>
      <w:r w:rsidR="008C0FF4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192/2015 do</w:t>
      </w:r>
      <w:r w:rsidR="00E36738">
        <w:rPr>
          <w:sz w:val="24"/>
          <w:szCs w:val="24"/>
        </w:rPr>
        <w:t xml:space="preserve"> </w:t>
      </w:r>
      <w:r w:rsidR="0087196A">
        <w:rPr>
          <w:sz w:val="24"/>
          <w:szCs w:val="24"/>
        </w:rPr>
        <w:t xml:space="preserve">     </w:t>
      </w:r>
      <w:r w:rsidR="002D6DE0" w:rsidRPr="002D6DE0">
        <w:rPr>
          <w:sz w:val="24"/>
          <w:szCs w:val="24"/>
        </w:rPr>
        <w:t>TRE-BA; c) Art. 31, IN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02/</w:t>
      </w:r>
      <w:r w:rsidR="001D2F13">
        <w:rPr>
          <w:sz w:val="24"/>
          <w:szCs w:val="24"/>
        </w:rPr>
        <w:t>20</w:t>
      </w:r>
      <w:r w:rsidR="002D6DE0" w:rsidRPr="002D6DE0">
        <w:rPr>
          <w:sz w:val="24"/>
          <w:szCs w:val="24"/>
        </w:rPr>
        <w:t>08 da SLTI/MPOG; d) Contrato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161/2014 (aquisição do CDC), </w:t>
      </w:r>
      <w:r w:rsidR="002D6DE0" w:rsidRPr="00BB19CC">
        <w:rPr>
          <w:sz w:val="24"/>
          <w:szCs w:val="24"/>
        </w:rPr>
        <w:t>cláusula 2ª, item 2.5.</w:t>
      </w:r>
    </w:p>
    <w:p w:rsidR="00A50F0E" w:rsidRPr="002D6DE0" w:rsidRDefault="00D10A49" w:rsidP="002A2AC1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2.4.3</w:t>
      </w:r>
      <w:r>
        <w:rPr>
          <w:b/>
          <w:i/>
          <w:sz w:val="24"/>
          <w:szCs w:val="24"/>
        </w:rPr>
        <w:t xml:space="preserve"> </w:t>
      </w:r>
      <w:r w:rsidR="00A50F0E">
        <w:rPr>
          <w:b/>
          <w:i/>
          <w:sz w:val="24"/>
          <w:szCs w:val="24"/>
        </w:rPr>
        <w:t>Evidência(s):</w:t>
      </w:r>
      <w:r w:rsidR="002D6DE0" w:rsidRPr="002D6DE0">
        <w:t xml:space="preserve"> </w:t>
      </w:r>
      <w:r w:rsidR="002D6DE0" w:rsidRPr="002D6DE0">
        <w:rPr>
          <w:sz w:val="24"/>
          <w:szCs w:val="24"/>
        </w:rPr>
        <w:t>a) Documento</w:t>
      </w:r>
      <w:r w:rsidR="00D10AE8">
        <w:rPr>
          <w:sz w:val="24"/>
          <w:szCs w:val="24"/>
        </w:rPr>
        <w:t>s Fiscais</w:t>
      </w:r>
      <w:r w:rsidR="002D6DE0" w:rsidRPr="002D6DE0">
        <w:rPr>
          <w:sz w:val="24"/>
          <w:szCs w:val="24"/>
        </w:rPr>
        <w:t xml:space="preserve"> n</w:t>
      </w:r>
      <w:r w:rsidR="00747279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5185 (Doc. </w:t>
      </w:r>
      <w:r w:rsidR="00D744A0" w:rsidRPr="000A2D7E">
        <w:rPr>
          <w:sz w:val="24"/>
          <w:szCs w:val="24"/>
          <w:lang w:val="en-US"/>
        </w:rPr>
        <w:t xml:space="preserve">PAD </w:t>
      </w:r>
      <w:r w:rsidR="002D6DE0" w:rsidRPr="000A2D7E">
        <w:rPr>
          <w:sz w:val="24"/>
          <w:szCs w:val="24"/>
          <w:lang w:val="en-US"/>
        </w:rPr>
        <w:t>n</w:t>
      </w:r>
      <w:r w:rsidR="00E138E2" w:rsidRPr="000A2D7E">
        <w:rPr>
          <w:sz w:val="24"/>
          <w:szCs w:val="24"/>
          <w:lang w:val="en-US"/>
        </w:rPr>
        <w:t>.</w:t>
      </w:r>
      <w:r w:rsidR="002D6DE0" w:rsidRPr="000A2D7E">
        <w:rPr>
          <w:sz w:val="24"/>
          <w:szCs w:val="24"/>
          <w:lang w:val="en-US"/>
        </w:rPr>
        <w:t xml:space="preserve"> 2.479/2016); 6153 (Doc. </w:t>
      </w:r>
      <w:r w:rsidR="00D744A0" w:rsidRPr="000A2D7E">
        <w:rPr>
          <w:sz w:val="24"/>
          <w:szCs w:val="24"/>
          <w:lang w:val="en-US"/>
        </w:rPr>
        <w:t xml:space="preserve">PAD </w:t>
      </w:r>
      <w:r w:rsidR="00133EAE" w:rsidRPr="000A2D7E">
        <w:rPr>
          <w:sz w:val="24"/>
          <w:szCs w:val="24"/>
          <w:lang w:val="en-US"/>
        </w:rPr>
        <w:t>n</w:t>
      </w:r>
      <w:r w:rsidR="00E138E2" w:rsidRPr="000A2D7E">
        <w:rPr>
          <w:sz w:val="24"/>
          <w:szCs w:val="24"/>
          <w:lang w:val="en-US"/>
        </w:rPr>
        <w:t>.</w:t>
      </w:r>
      <w:r w:rsidR="002D6DE0" w:rsidRPr="000A2D7E">
        <w:rPr>
          <w:sz w:val="24"/>
          <w:szCs w:val="24"/>
          <w:lang w:val="en-US"/>
        </w:rPr>
        <w:t xml:space="preserve"> 49.572/</w:t>
      </w:r>
      <w:r w:rsidR="005B4594" w:rsidRPr="000A2D7E">
        <w:rPr>
          <w:sz w:val="24"/>
          <w:szCs w:val="24"/>
          <w:lang w:val="en-US"/>
        </w:rPr>
        <w:t>20</w:t>
      </w:r>
      <w:r w:rsidR="002D6DE0" w:rsidRPr="000A2D7E">
        <w:rPr>
          <w:sz w:val="24"/>
          <w:szCs w:val="24"/>
          <w:lang w:val="en-US"/>
        </w:rPr>
        <w:t>16); n</w:t>
      </w:r>
      <w:r w:rsidR="00747279" w:rsidRPr="000A2D7E">
        <w:rPr>
          <w:sz w:val="24"/>
          <w:szCs w:val="24"/>
          <w:lang w:val="en-US"/>
        </w:rPr>
        <w:t>.</w:t>
      </w:r>
      <w:r w:rsidR="002D6DE0" w:rsidRPr="000A2D7E">
        <w:rPr>
          <w:sz w:val="24"/>
          <w:szCs w:val="24"/>
          <w:lang w:val="en-US"/>
        </w:rPr>
        <w:t xml:space="preserve"> 6753 (Doc. </w:t>
      </w:r>
      <w:r w:rsidR="00D744A0">
        <w:rPr>
          <w:sz w:val="24"/>
          <w:szCs w:val="24"/>
        </w:rPr>
        <w:t xml:space="preserve">PAD </w:t>
      </w:r>
      <w:r w:rsidR="002D6DE0" w:rsidRPr="002D6DE0">
        <w:rPr>
          <w:sz w:val="24"/>
          <w:szCs w:val="24"/>
        </w:rPr>
        <w:t>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95.396/</w:t>
      </w:r>
      <w:r w:rsidR="00D52882">
        <w:rPr>
          <w:sz w:val="24"/>
          <w:szCs w:val="24"/>
        </w:rPr>
        <w:t>20</w:t>
      </w:r>
      <w:r w:rsidR="002D6DE0" w:rsidRPr="002D6DE0">
        <w:rPr>
          <w:sz w:val="24"/>
          <w:szCs w:val="24"/>
        </w:rPr>
        <w:t xml:space="preserve">16); </w:t>
      </w:r>
      <w:r w:rsidR="00D10AE8">
        <w:rPr>
          <w:sz w:val="24"/>
          <w:szCs w:val="24"/>
        </w:rPr>
        <w:t>b</w:t>
      </w:r>
      <w:r w:rsidR="002D6DE0" w:rsidRPr="002D6DE0">
        <w:rPr>
          <w:sz w:val="24"/>
          <w:szCs w:val="24"/>
        </w:rPr>
        <w:t xml:space="preserve">) Relatórios </w:t>
      </w:r>
      <w:proofErr w:type="spellStart"/>
      <w:r w:rsidR="008B3160" w:rsidRPr="006931C4">
        <w:rPr>
          <w:i/>
          <w:sz w:val="24"/>
          <w:szCs w:val="24"/>
        </w:rPr>
        <w:t>O</w:t>
      </w:r>
      <w:r w:rsidR="00C02C88" w:rsidRPr="006931C4">
        <w:rPr>
          <w:i/>
          <w:sz w:val="24"/>
          <w:szCs w:val="24"/>
        </w:rPr>
        <w:t>n</w:t>
      </w:r>
      <w:r w:rsidR="002D6DE0" w:rsidRPr="006931C4">
        <w:rPr>
          <w:i/>
          <w:sz w:val="24"/>
          <w:szCs w:val="24"/>
        </w:rPr>
        <w:t>going</w:t>
      </w:r>
      <w:proofErr w:type="spellEnd"/>
      <w:r w:rsidR="00D744A0">
        <w:rPr>
          <w:i/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Docs. PAD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115.521</w:t>
      </w:r>
      <w:r w:rsidR="005B4594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115.530</w:t>
      </w:r>
      <w:r w:rsidR="005B4594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92.571</w:t>
      </w:r>
      <w:r w:rsidR="005B4594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115.533</w:t>
      </w:r>
      <w:r w:rsidR="005B4594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92.584</w:t>
      </w:r>
      <w:r w:rsidR="005B4594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92.586</w:t>
      </w:r>
      <w:r w:rsidR="005B4594">
        <w:rPr>
          <w:sz w:val="24"/>
          <w:szCs w:val="24"/>
        </w:rPr>
        <w:t>,</w:t>
      </w:r>
      <w:r w:rsidR="002D6DE0" w:rsidRPr="002D6DE0">
        <w:rPr>
          <w:sz w:val="24"/>
          <w:szCs w:val="24"/>
        </w:rPr>
        <w:t xml:space="preserve"> 115.537 e 92.594/2016</w:t>
      </w:r>
      <w:r w:rsidR="002D6DE0">
        <w:rPr>
          <w:sz w:val="24"/>
          <w:szCs w:val="24"/>
        </w:rPr>
        <w:t xml:space="preserve">; </w:t>
      </w:r>
      <w:r w:rsidR="003815DA">
        <w:rPr>
          <w:sz w:val="24"/>
          <w:szCs w:val="24"/>
        </w:rPr>
        <w:t>c</w:t>
      </w:r>
      <w:r w:rsidR="002D6DE0" w:rsidRPr="002D6DE0">
        <w:rPr>
          <w:sz w:val="24"/>
          <w:szCs w:val="24"/>
        </w:rPr>
        <w:t>) Documentos juntados extemporaneamente no PAD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286/2015 durante a realização dos trabalhos da inspeção: </w:t>
      </w:r>
      <w:r w:rsidR="00301EA8">
        <w:rPr>
          <w:sz w:val="24"/>
          <w:szCs w:val="24"/>
        </w:rPr>
        <w:t xml:space="preserve">Docs. PAD n. </w:t>
      </w:r>
      <w:r w:rsidR="002D6DE0" w:rsidRPr="002D6DE0">
        <w:rPr>
          <w:sz w:val="24"/>
          <w:szCs w:val="24"/>
        </w:rPr>
        <w:t>92.561, 92.571, 92.575, 92.578, 92.584, 92.586, 92.590, 92.594, 92.597, 135.370 e 135.37</w:t>
      </w:r>
      <w:r w:rsidR="00DB410C">
        <w:rPr>
          <w:sz w:val="24"/>
          <w:szCs w:val="24"/>
        </w:rPr>
        <w:t>2</w:t>
      </w:r>
      <w:r w:rsidR="002D6DE0" w:rsidRPr="002D6DE0">
        <w:rPr>
          <w:sz w:val="24"/>
          <w:szCs w:val="24"/>
        </w:rPr>
        <w:t>/2016;</w:t>
      </w:r>
      <w:r w:rsidR="002D6DE0">
        <w:rPr>
          <w:sz w:val="24"/>
          <w:szCs w:val="24"/>
        </w:rPr>
        <w:t xml:space="preserve"> </w:t>
      </w:r>
      <w:r w:rsidR="003815DA">
        <w:rPr>
          <w:sz w:val="24"/>
          <w:szCs w:val="24"/>
        </w:rPr>
        <w:t>d</w:t>
      </w:r>
      <w:r w:rsidR="002D6DE0" w:rsidRPr="002D6DE0">
        <w:rPr>
          <w:sz w:val="24"/>
          <w:szCs w:val="24"/>
        </w:rPr>
        <w:t>) Ausência de documentos relativos à execução do contrato, ainda não juntados no PAD n</w:t>
      </w:r>
      <w:r w:rsidR="00E138E2">
        <w:rPr>
          <w:sz w:val="24"/>
          <w:szCs w:val="24"/>
        </w:rPr>
        <w:t>.</w:t>
      </w:r>
      <w:r w:rsidR="002D6DE0" w:rsidRPr="002D6DE0">
        <w:rPr>
          <w:sz w:val="24"/>
          <w:szCs w:val="24"/>
        </w:rPr>
        <w:t xml:space="preserve"> 286/2015: </w:t>
      </w:r>
      <w:r w:rsidR="00E85682">
        <w:rPr>
          <w:sz w:val="24"/>
          <w:szCs w:val="24"/>
        </w:rPr>
        <w:t xml:space="preserve">Docs. PAD n. </w:t>
      </w:r>
      <w:r w:rsidR="002D6DE0" w:rsidRPr="002D6DE0">
        <w:rPr>
          <w:sz w:val="24"/>
          <w:szCs w:val="24"/>
        </w:rPr>
        <w:t>115.521, 115.530, 115.533 e 115.537/2016.</w:t>
      </w:r>
    </w:p>
    <w:p w:rsidR="00A50F0E" w:rsidRPr="002D6DE0" w:rsidRDefault="00D10A49" w:rsidP="002A2AC1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2.4.4</w:t>
      </w:r>
      <w:r w:rsidR="00BB19CC">
        <w:rPr>
          <w:b/>
          <w:i/>
          <w:sz w:val="24"/>
          <w:szCs w:val="24"/>
        </w:rPr>
        <w:t xml:space="preserve"> </w:t>
      </w:r>
      <w:r w:rsidR="00A50F0E">
        <w:rPr>
          <w:b/>
          <w:i/>
          <w:sz w:val="24"/>
          <w:szCs w:val="24"/>
        </w:rPr>
        <w:t>Causa</w:t>
      </w:r>
      <w:r w:rsidR="0052294C">
        <w:rPr>
          <w:b/>
          <w:i/>
          <w:sz w:val="24"/>
          <w:szCs w:val="24"/>
        </w:rPr>
        <w:t>(s)</w:t>
      </w:r>
      <w:r w:rsidR="00A50F0E">
        <w:rPr>
          <w:b/>
          <w:i/>
          <w:sz w:val="24"/>
          <w:szCs w:val="24"/>
        </w:rPr>
        <w:t>:</w:t>
      </w:r>
      <w:r w:rsidR="002D6DE0" w:rsidRPr="002D6DE0">
        <w:t xml:space="preserve"> </w:t>
      </w:r>
      <w:r w:rsidR="002D6DE0" w:rsidRPr="002D6DE0">
        <w:rPr>
          <w:sz w:val="24"/>
          <w:szCs w:val="24"/>
        </w:rPr>
        <w:t>a) Praxe administrativa da atuação do substituto do titular da chefia como substituto na atividade de fiscalização do contrato;</w:t>
      </w:r>
      <w:r w:rsidR="002D6DE0">
        <w:rPr>
          <w:sz w:val="24"/>
          <w:szCs w:val="24"/>
        </w:rPr>
        <w:t xml:space="preserve"> </w:t>
      </w:r>
      <w:r w:rsidR="002D6DE0" w:rsidRPr="002D6DE0">
        <w:rPr>
          <w:sz w:val="24"/>
          <w:szCs w:val="24"/>
        </w:rPr>
        <w:t>b) Ausência de designação formal de substituto do fiscal do contrato.</w:t>
      </w:r>
    </w:p>
    <w:p w:rsidR="00A50F0E" w:rsidRPr="002D6DE0" w:rsidRDefault="00D10A49" w:rsidP="002A2AC1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2.4.5</w:t>
      </w:r>
      <w:r>
        <w:rPr>
          <w:b/>
          <w:i/>
          <w:sz w:val="24"/>
          <w:szCs w:val="24"/>
        </w:rPr>
        <w:t xml:space="preserve"> </w:t>
      </w:r>
      <w:r w:rsidR="00A50F0E">
        <w:rPr>
          <w:b/>
          <w:i/>
          <w:sz w:val="24"/>
          <w:szCs w:val="24"/>
        </w:rPr>
        <w:t>Efeito(s):</w:t>
      </w:r>
      <w:r w:rsidR="002D6DE0" w:rsidRPr="002D6DE0">
        <w:t xml:space="preserve"> </w:t>
      </w:r>
      <w:r w:rsidR="002D6DE0" w:rsidRPr="002D6DE0">
        <w:rPr>
          <w:sz w:val="24"/>
          <w:szCs w:val="24"/>
        </w:rPr>
        <w:t xml:space="preserve">a) Risco de questionamento da legitimidade dos atos praticados; b) </w:t>
      </w:r>
      <w:r w:rsidR="005314F0">
        <w:rPr>
          <w:sz w:val="24"/>
          <w:szCs w:val="24"/>
        </w:rPr>
        <w:t>A</w:t>
      </w:r>
      <w:r w:rsidR="00D10AE8">
        <w:rPr>
          <w:sz w:val="24"/>
          <w:szCs w:val="24"/>
        </w:rPr>
        <w:t>testes indevidos com consequente pagamento indevido</w:t>
      </w:r>
      <w:r w:rsidR="005314F0">
        <w:rPr>
          <w:sz w:val="24"/>
          <w:szCs w:val="24"/>
        </w:rPr>
        <w:t xml:space="preserve">; c) </w:t>
      </w:r>
      <w:r w:rsidR="002D6DE0" w:rsidRPr="002D6DE0">
        <w:rPr>
          <w:sz w:val="24"/>
          <w:szCs w:val="24"/>
        </w:rPr>
        <w:t>Potencial dano ao erário.</w:t>
      </w:r>
    </w:p>
    <w:p w:rsidR="002D6DE0" w:rsidRDefault="002D6DE0" w:rsidP="002A2AC1">
      <w:pPr>
        <w:tabs>
          <w:tab w:val="left" w:pos="851"/>
        </w:tabs>
        <w:jc w:val="both"/>
        <w:rPr>
          <w:sz w:val="24"/>
          <w:szCs w:val="24"/>
        </w:rPr>
      </w:pPr>
    </w:p>
    <w:p w:rsidR="00D10AE8" w:rsidRDefault="00D10AE8" w:rsidP="002A2AC1">
      <w:pPr>
        <w:tabs>
          <w:tab w:val="left" w:pos="851"/>
        </w:tabs>
        <w:jc w:val="both"/>
        <w:rPr>
          <w:b/>
          <w:sz w:val="24"/>
          <w:szCs w:val="24"/>
        </w:rPr>
      </w:pPr>
      <w:proofErr w:type="gramStart"/>
      <w:r w:rsidRPr="00D10AE8">
        <w:rPr>
          <w:b/>
          <w:sz w:val="24"/>
          <w:szCs w:val="24"/>
        </w:rPr>
        <w:t>2.5</w:t>
      </w:r>
      <w:r>
        <w:rPr>
          <w:sz w:val="24"/>
          <w:szCs w:val="24"/>
        </w:rPr>
        <w:t xml:space="preserve"> </w:t>
      </w:r>
      <w:r w:rsidRPr="002D6DE0">
        <w:rPr>
          <w:b/>
          <w:sz w:val="24"/>
          <w:szCs w:val="24"/>
        </w:rPr>
        <w:t>F</w:t>
      </w:r>
      <w:r>
        <w:rPr>
          <w:b/>
          <w:sz w:val="24"/>
          <w:szCs w:val="24"/>
        </w:rPr>
        <w:t>alha</w:t>
      </w:r>
      <w:proofErr w:type="gramEnd"/>
      <w:r>
        <w:rPr>
          <w:b/>
          <w:sz w:val="24"/>
          <w:szCs w:val="24"/>
        </w:rPr>
        <w:t xml:space="preserve"> n</w:t>
      </w:r>
      <w:r w:rsidRPr="002D6DE0">
        <w:rPr>
          <w:b/>
          <w:sz w:val="24"/>
          <w:szCs w:val="24"/>
        </w:rPr>
        <w:t>os procedimentos da fiscalização</w:t>
      </w:r>
      <w:r>
        <w:rPr>
          <w:b/>
          <w:sz w:val="24"/>
          <w:szCs w:val="24"/>
        </w:rPr>
        <w:t xml:space="preserve"> contratual no que refere à instrução </w:t>
      </w:r>
      <w:r w:rsidR="00800CEF">
        <w:rPr>
          <w:b/>
          <w:sz w:val="24"/>
          <w:szCs w:val="24"/>
        </w:rPr>
        <w:t xml:space="preserve">documental da execução </w:t>
      </w:r>
      <w:r>
        <w:rPr>
          <w:b/>
          <w:sz w:val="24"/>
          <w:szCs w:val="24"/>
        </w:rPr>
        <w:t xml:space="preserve">do </w:t>
      </w:r>
      <w:r w:rsidR="00800CEF">
        <w:rPr>
          <w:b/>
          <w:sz w:val="24"/>
          <w:szCs w:val="24"/>
        </w:rPr>
        <w:t>contrato.</w:t>
      </w:r>
    </w:p>
    <w:p w:rsidR="00D10AE8" w:rsidRPr="002D6DE0" w:rsidRDefault="00D10AE8" w:rsidP="00D10AE8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5</w:t>
      </w:r>
      <w:r w:rsidRPr="00BB19CC">
        <w:rPr>
          <w:b/>
          <w:sz w:val="24"/>
          <w:szCs w:val="24"/>
        </w:rPr>
        <w:t>.1</w:t>
      </w:r>
      <w:r>
        <w:rPr>
          <w:b/>
          <w:i/>
          <w:sz w:val="24"/>
          <w:szCs w:val="24"/>
        </w:rPr>
        <w:t xml:space="preserve"> Situação Encontrada: </w:t>
      </w:r>
      <w:r w:rsidRPr="002D6DE0">
        <w:rPr>
          <w:sz w:val="24"/>
          <w:szCs w:val="24"/>
        </w:rPr>
        <w:t xml:space="preserve">Ausência </w:t>
      </w:r>
      <w:r w:rsidR="00D473CD">
        <w:rPr>
          <w:sz w:val="24"/>
          <w:szCs w:val="24"/>
        </w:rPr>
        <w:t xml:space="preserve">nos autos da contratação </w:t>
      </w:r>
      <w:r w:rsidRPr="002D6DE0">
        <w:rPr>
          <w:sz w:val="24"/>
          <w:szCs w:val="24"/>
        </w:rPr>
        <w:t xml:space="preserve">dos relatórios </w:t>
      </w:r>
      <w:proofErr w:type="spellStart"/>
      <w:r w:rsidRPr="006931C4">
        <w:rPr>
          <w:i/>
          <w:sz w:val="24"/>
          <w:szCs w:val="24"/>
        </w:rPr>
        <w:t>Ongoing</w:t>
      </w:r>
      <w:proofErr w:type="spellEnd"/>
      <w:r w:rsidRPr="002D6DE0">
        <w:rPr>
          <w:sz w:val="24"/>
          <w:szCs w:val="24"/>
        </w:rPr>
        <w:t xml:space="preserve"> que atestam a prestação do serviço.</w:t>
      </w:r>
    </w:p>
    <w:p w:rsidR="00D10AE8" w:rsidRPr="00897A72" w:rsidRDefault="00D10AE8" w:rsidP="00D10AE8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5</w:t>
      </w:r>
      <w:r w:rsidRPr="00BB19CC">
        <w:rPr>
          <w:b/>
          <w:sz w:val="24"/>
          <w:szCs w:val="24"/>
        </w:rPr>
        <w:t>.2</w:t>
      </w:r>
      <w:r>
        <w:rPr>
          <w:b/>
          <w:i/>
          <w:sz w:val="24"/>
          <w:szCs w:val="24"/>
        </w:rPr>
        <w:t xml:space="preserve"> Critério:</w:t>
      </w:r>
      <w:r w:rsidRPr="002D6DE0">
        <w:t xml:space="preserve"> </w:t>
      </w:r>
      <w:r w:rsidRPr="00897A72">
        <w:rPr>
          <w:sz w:val="24"/>
          <w:szCs w:val="24"/>
        </w:rPr>
        <w:t xml:space="preserve">a) Art. 67, Lei n. 8.666/1993; b) Art. 8°, §4°, Portaria do DG n. 192/2015 do      TRE-BA; c) Art. 31, IN n. 02/2008 da SLTI/MPOG; d) </w:t>
      </w:r>
      <w:r w:rsidR="005114A6">
        <w:rPr>
          <w:sz w:val="24"/>
          <w:szCs w:val="24"/>
        </w:rPr>
        <w:t>I</w:t>
      </w:r>
      <w:r w:rsidR="00D473CD">
        <w:rPr>
          <w:sz w:val="24"/>
          <w:szCs w:val="24"/>
        </w:rPr>
        <w:t>tem 2.</w:t>
      </w:r>
      <w:r w:rsidR="00897A72" w:rsidRPr="00897A72">
        <w:rPr>
          <w:sz w:val="24"/>
          <w:szCs w:val="24"/>
        </w:rPr>
        <w:t xml:space="preserve">5 da cláusula 2ª do </w:t>
      </w:r>
      <w:r w:rsidRPr="00897A72">
        <w:rPr>
          <w:sz w:val="24"/>
          <w:szCs w:val="24"/>
        </w:rPr>
        <w:t>Contrato</w:t>
      </w:r>
      <w:r w:rsidR="00897A72" w:rsidRPr="00897A72">
        <w:rPr>
          <w:sz w:val="24"/>
          <w:szCs w:val="24"/>
        </w:rPr>
        <w:t xml:space="preserve"> n. 161/2014 (aquisição do CDC)</w:t>
      </w:r>
      <w:r w:rsidRPr="00897A72">
        <w:rPr>
          <w:sz w:val="24"/>
          <w:szCs w:val="24"/>
        </w:rPr>
        <w:t>.</w:t>
      </w:r>
    </w:p>
    <w:p w:rsidR="00D10AE8" w:rsidRPr="002D6DE0" w:rsidRDefault="00D10AE8" w:rsidP="00D10AE8">
      <w:pPr>
        <w:jc w:val="both"/>
        <w:rPr>
          <w:sz w:val="24"/>
          <w:szCs w:val="24"/>
        </w:rPr>
      </w:pPr>
      <w:r w:rsidRPr="00BB19CC">
        <w:rPr>
          <w:b/>
          <w:sz w:val="24"/>
          <w:szCs w:val="24"/>
        </w:rPr>
        <w:t>2.</w:t>
      </w:r>
      <w:r w:rsidR="00FB5671">
        <w:rPr>
          <w:b/>
          <w:sz w:val="24"/>
          <w:szCs w:val="24"/>
        </w:rPr>
        <w:t>5</w:t>
      </w:r>
      <w:r w:rsidRPr="00BB19CC">
        <w:rPr>
          <w:b/>
          <w:sz w:val="24"/>
          <w:szCs w:val="24"/>
        </w:rPr>
        <w:t>.3</w:t>
      </w:r>
      <w:r>
        <w:rPr>
          <w:b/>
          <w:i/>
          <w:sz w:val="24"/>
          <w:szCs w:val="24"/>
        </w:rPr>
        <w:t xml:space="preserve"> Evidência(s):</w:t>
      </w:r>
      <w:r w:rsidRPr="002D6DE0">
        <w:t xml:space="preserve"> </w:t>
      </w:r>
      <w:r w:rsidRPr="00D10AE8">
        <w:rPr>
          <w:sz w:val="24"/>
          <w:szCs w:val="24"/>
        </w:rPr>
        <w:t>a</w:t>
      </w:r>
      <w:r w:rsidRPr="002D6DE0">
        <w:rPr>
          <w:sz w:val="24"/>
          <w:szCs w:val="24"/>
        </w:rPr>
        <w:t xml:space="preserve">) Relatórios </w:t>
      </w:r>
      <w:proofErr w:type="spellStart"/>
      <w:r w:rsidRPr="006931C4">
        <w:rPr>
          <w:i/>
          <w:sz w:val="24"/>
          <w:szCs w:val="24"/>
        </w:rPr>
        <w:t>Ongoing</w:t>
      </w:r>
      <w:proofErr w:type="spellEnd"/>
      <w:r>
        <w:rPr>
          <w:i/>
          <w:sz w:val="24"/>
          <w:szCs w:val="24"/>
        </w:rPr>
        <w:t>,</w:t>
      </w:r>
      <w:r w:rsidRPr="002D6DE0">
        <w:rPr>
          <w:sz w:val="24"/>
          <w:szCs w:val="24"/>
        </w:rPr>
        <w:t xml:space="preserve"> Docs. PAD n</w:t>
      </w:r>
      <w:r>
        <w:rPr>
          <w:sz w:val="24"/>
          <w:szCs w:val="24"/>
        </w:rPr>
        <w:t>.</w:t>
      </w:r>
      <w:r w:rsidRPr="002D6DE0">
        <w:rPr>
          <w:sz w:val="24"/>
          <w:szCs w:val="24"/>
        </w:rPr>
        <w:t xml:space="preserve"> 115.521</w:t>
      </w:r>
      <w:r>
        <w:rPr>
          <w:sz w:val="24"/>
          <w:szCs w:val="24"/>
        </w:rPr>
        <w:t>,</w:t>
      </w:r>
      <w:r w:rsidRPr="002D6DE0">
        <w:rPr>
          <w:sz w:val="24"/>
          <w:szCs w:val="24"/>
        </w:rPr>
        <w:t xml:space="preserve"> 115.530</w:t>
      </w:r>
      <w:r>
        <w:rPr>
          <w:sz w:val="24"/>
          <w:szCs w:val="24"/>
        </w:rPr>
        <w:t>,</w:t>
      </w:r>
      <w:r w:rsidRPr="002D6DE0">
        <w:rPr>
          <w:sz w:val="24"/>
          <w:szCs w:val="24"/>
        </w:rPr>
        <w:t xml:space="preserve"> 92.571</w:t>
      </w:r>
      <w:r>
        <w:rPr>
          <w:sz w:val="24"/>
          <w:szCs w:val="24"/>
        </w:rPr>
        <w:t>,</w:t>
      </w:r>
      <w:r w:rsidRPr="002D6DE0">
        <w:rPr>
          <w:sz w:val="24"/>
          <w:szCs w:val="24"/>
        </w:rPr>
        <w:t xml:space="preserve"> 115.533</w:t>
      </w:r>
      <w:r>
        <w:rPr>
          <w:sz w:val="24"/>
          <w:szCs w:val="24"/>
        </w:rPr>
        <w:t>,</w:t>
      </w:r>
      <w:r w:rsidRPr="002D6DE0">
        <w:rPr>
          <w:sz w:val="24"/>
          <w:szCs w:val="24"/>
        </w:rPr>
        <w:t xml:space="preserve"> 92.584</w:t>
      </w:r>
      <w:r>
        <w:rPr>
          <w:sz w:val="24"/>
          <w:szCs w:val="24"/>
        </w:rPr>
        <w:t>,</w:t>
      </w:r>
      <w:r w:rsidRPr="002D6DE0">
        <w:rPr>
          <w:sz w:val="24"/>
          <w:szCs w:val="24"/>
        </w:rPr>
        <w:t xml:space="preserve"> 92.586</w:t>
      </w:r>
      <w:r>
        <w:rPr>
          <w:sz w:val="24"/>
          <w:szCs w:val="24"/>
        </w:rPr>
        <w:t>,</w:t>
      </w:r>
      <w:r w:rsidRPr="002D6DE0">
        <w:rPr>
          <w:sz w:val="24"/>
          <w:szCs w:val="24"/>
        </w:rPr>
        <w:t xml:space="preserve"> 115.537 e 92.594/2016</w:t>
      </w:r>
      <w:r>
        <w:rPr>
          <w:sz w:val="24"/>
          <w:szCs w:val="24"/>
        </w:rPr>
        <w:t>; b</w:t>
      </w:r>
      <w:r w:rsidRPr="002D6DE0">
        <w:rPr>
          <w:sz w:val="24"/>
          <w:szCs w:val="24"/>
        </w:rPr>
        <w:t>) Documentos juntados extemporaneamente no PAD n</w:t>
      </w:r>
      <w:r>
        <w:rPr>
          <w:sz w:val="24"/>
          <w:szCs w:val="24"/>
        </w:rPr>
        <w:t>.</w:t>
      </w:r>
      <w:r w:rsidRPr="002D6DE0">
        <w:rPr>
          <w:sz w:val="24"/>
          <w:szCs w:val="24"/>
        </w:rPr>
        <w:t xml:space="preserve"> 286/2015 durante a realização dos trabalhos da inspeção: </w:t>
      </w:r>
      <w:r>
        <w:rPr>
          <w:sz w:val="24"/>
          <w:szCs w:val="24"/>
        </w:rPr>
        <w:t xml:space="preserve">Docs. PAD n. </w:t>
      </w:r>
      <w:r w:rsidRPr="002D6DE0">
        <w:rPr>
          <w:sz w:val="24"/>
          <w:szCs w:val="24"/>
        </w:rPr>
        <w:t>92.561, 92.571, 92.575, 92.578, 92.584, 92.586, 92.590, 92.594, 92.597, 135.370 e 135.37</w:t>
      </w:r>
      <w:r>
        <w:rPr>
          <w:sz w:val="24"/>
          <w:szCs w:val="24"/>
        </w:rPr>
        <w:t>2</w:t>
      </w:r>
      <w:r w:rsidRPr="002D6DE0">
        <w:rPr>
          <w:sz w:val="24"/>
          <w:szCs w:val="24"/>
        </w:rPr>
        <w:t>/2016;</w:t>
      </w:r>
      <w:r>
        <w:rPr>
          <w:sz w:val="24"/>
          <w:szCs w:val="24"/>
        </w:rPr>
        <w:t xml:space="preserve"> </w:t>
      </w:r>
      <w:r w:rsidR="00D473CD">
        <w:rPr>
          <w:sz w:val="24"/>
          <w:szCs w:val="24"/>
        </w:rPr>
        <w:t>c</w:t>
      </w:r>
      <w:r w:rsidRPr="002D6DE0">
        <w:rPr>
          <w:sz w:val="24"/>
          <w:szCs w:val="24"/>
        </w:rPr>
        <w:t>) Ausência de documentos relativos à execução do contrato, ainda não juntados no PAD n</w:t>
      </w:r>
      <w:r>
        <w:rPr>
          <w:sz w:val="24"/>
          <w:szCs w:val="24"/>
        </w:rPr>
        <w:t>.</w:t>
      </w:r>
      <w:r w:rsidRPr="002D6DE0">
        <w:rPr>
          <w:sz w:val="24"/>
          <w:szCs w:val="24"/>
        </w:rPr>
        <w:t xml:space="preserve"> 286/2015: </w:t>
      </w:r>
      <w:r>
        <w:rPr>
          <w:sz w:val="24"/>
          <w:szCs w:val="24"/>
        </w:rPr>
        <w:t xml:space="preserve">Docs. PAD n. </w:t>
      </w:r>
      <w:r w:rsidRPr="002D6DE0">
        <w:rPr>
          <w:sz w:val="24"/>
          <w:szCs w:val="24"/>
        </w:rPr>
        <w:t>115.521, 115.530, 115.533 e 115.537/2016.</w:t>
      </w:r>
    </w:p>
    <w:p w:rsidR="00D10AE8" w:rsidRPr="00201F0C" w:rsidRDefault="00D10AE8" w:rsidP="00D10AE8">
      <w:pPr>
        <w:jc w:val="both"/>
        <w:rPr>
          <w:sz w:val="24"/>
          <w:szCs w:val="24"/>
        </w:rPr>
      </w:pPr>
      <w:r w:rsidRPr="00201F0C">
        <w:rPr>
          <w:b/>
          <w:sz w:val="24"/>
          <w:szCs w:val="24"/>
        </w:rPr>
        <w:t>2.</w:t>
      </w:r>
      <w:r w:rsidR="005314F0" w:rsidRPr="00201F0C">
        <w:rPr>
          <w:b/>
          <w:sz w:val="24"/>
          <w:szCs w:val="24"/>
        </w:rPr>
        <w:t>5</w:t>
      </w:r>
      <w:r w:rsidRPr="00201F0C">
        <w:rPr>
          <w:b/>
          <w:sz w:val="24"/>
          <w:szCs w:val="24"/>
        </w:rPr>
        <w:t>.4</w:t>
      </w:r>
      <w:r w:rsidRPr="00201F0C">
        <w:rPr>
          <w:b/>
          <w:i/>
          <w:sz w:val="24"/>
          <w:szCs w:val="24"/>
        </w:rPr>
        <w:t xml:space="preserve"> Causa</w:t>
      </w:r>
      <w:r w:rsidR="00201F0C">
        <w:rPr>
          <w:b/>
          <w:i/>
          <w:sz w:val="24"/>
          <w:szCs w:val="24"/>
        </w:rPr>
        <w:t>(s)</w:t>
      </w:r>
      <w:r w:rsidRPr="00201F0C">
        <w:rPr>
          <w:b/>
          <w:i/>
          <w:sz w:val="24"/>
          <w:szCs w:val="24"/>
        </w:rPr>
        <w:t>:</w:t>
      </w:r>
      <w:r w:rsidRPr="00201F0C">
        <w:rPr>
          <w:sz w:val="24"/>
          <w:szCs w:val="24"/>
        </w:rPr>
        <w:t xml:space="preserve"> </w:t>
      </w:r>
      <w:r w:rsidR="00201F0C">
        <w:rPr>
          <w:sz w:val="24"/>
          <w:szCs w:val="24"/>
        </w:rPr>
        <w:t xml:space="preserve">a) </w:t>
      </w:r>
      <w:r w:rsidR="000F71D6">
        <w:rPr>
          <w:sz w:val="24"/>
          <w:szCs w:val="24"/>
        </w:rPr>
        <w:t>A</w:t>
      </w:r>
      <w:r w:rsidRPr="00201F0C">
        <w:rPr>
          <w:sz w:val="24"/>
          <w:szCs w:val="24"/>
        </w:rPr>
        <w:t>usência de padronização ou sistematização de procedimentos;</w:t>
      </w:r>
      <w:r w:rsidR="00201F0C">
        <w:rPr>
          <w:sz w:val="24"/>
          <w:szCs w:val="24"/>
        </w:rPr>
        <w:t xml:space="preserve"> b)</w:t>
      </w:r>
      <w:r w:rsidRPr="00201F0C">
        <w:rPr>
          <w:sz w:val="24"/>
          <w:szCs w:val="24"/>
        </w:rPr>
        <w:t xml:space="preserve"> </w:t>
      </w:r>
      <w:r w:rsidR="000F71D6">
        <w:rPr>
          <w:sz w:val="24"/>
          <w:szCs w:val="24"/>
        </w:rPr>
        <w:t>I</w:t>
      </w:r>
      <w:r w:rsidRPr="00201F0C">
        <w:rPr>
          <w:sz w:val="24"/>
          <w:szCs w:val="24"/>
        </w:rPr>
        <w:t>nsuficiência de capacitação dos responsáveis pela fiscalização contratual.</w:t>
      </w:r>
    </w:p>
    <w:p w:rsidR="00D10AE8" w:rsidRPr="002D6DE0" w:rsidRDefault="005314F0" w:rsidP="00D10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2.5</w:t>
      </w:r>
      <w:r w:rsidR="00D10AE8" w:rsidRPr="00BB19CC">
        <w:rPr>
          <w:b/>
          <w:sz w:val="24"/>
          <w:szCs w:val="24"/>
        </w:rPr>
        <w:t>.5</w:t>
      </w:r>
      <w:r w:rsidR="00D10AE8">
        <w:rPr>
          <w:b/>
          <w:i/>
          <w:sz w:val="24"/>
          <w:szCs w:val="24"/>
        </w:rPr>
        <w:t xml:space="preserve"> Efeito(s):</w:t>
      </w:r>
      <w:r w:rsidR="00D10AE8" w:rsidRPr="002D6DE0">
        <w:t xml:space="preserve"> </w:t>
      </w:r>
      <w:r w:rsidR="00D10AE8" w:rsidRPr="002D6DE0">
        <w:rPr>
          <w:sz w:val="24"/>
          <w:szCs w:val="24"/>
        </w:rPr>
        <w:t xml:space="preserve">a) Risco de questionamento da legitimidade dos atos praticados; b) </w:t>
      </w:r>
      <w:r w:rsidR="000F71D6">
        <w:rPr>
          <w:sz w:val="24"/>
          <w:szCs w:val="24"/>
        </w:rPr>
        <w:t>F</w:t>
      </w:r>
      <w:r>
        <w:rPr>
          <w:sz w:val="24"/>
          <w:szCs w:val="24"/>
        </w:rPr>
        <w:t xml:space="preserve">alhas na execução do contrato devido </w:t>
      </w:r>
      <w:r w:rsidR="000921ED">
        <w:rPr>
          <w:sz w:val="24"/>
          <w:szCs w:val="24"/>
        </w:rPr>
        <w:t>à</w:t>
      </w:r>
      <w:r>
        <w:rPr>
          <w:sz w:val="24"/>
          <w:szCs w:val="24"/>
        </w:rPr>
        <w:t xml:space="preserve"> ausência </w:t>
      </w:r>
      <w:r w:rsidR="00800CEF">
        <w:rPr>
          <w:sz w:val="24"/>
          <w:szCs w:val="24"/>
        </w:rPr>
        <w:t>de juntada das ocorrências do contrato.</w:t>
      </w:r>
    </w:p>
    <w:p w:rsidR="00D10AE8" w:rsidRPr="00F534C6" w:rsidRDefault="00D10AE8" w:rsidP="002A2AC1">
      <w:pPr>
        <w:tabs>
          <w:tab w:val="left" w:pos="851"/>
        </w:tabs>
        <w:jc w:val="both"/>
        <w:rPr>
          <w:sz w:val="24"/>
          <w:szCs w:val="24"/>
        </w:rPr>
      </w:pPr>
    </w:p>
    <w:p w:rsidR="00EE1BA3" w:rsidRDefault="00793BFC" w:rsidP="002A2AC1">
      <w:pPr>
        <w:pStyle w:val="ecxmsonormal"/>
        <w:spacing w:after="120"/>
        <w:jc w:val="both"/>
        <w:rPr>
          <w:b/>
        </w:rPr>
      </w:pPr>
      <w:r>
        <w:rPr>
          <w:b/>
        </w:rPr>
        <w:lastRenderedPageBreak/>
        <w:t>2.</w:t>
      </w:r>
      <w:r w:rsidR="005314F0">
        <w:rPr>
          <w:b/>
        </w:rPr>
        <w:t>6</w:t>
      </w:r>
      <w:r w:rsidRPr="00D26E19">
        <w:rPr>
          <w:b/>
        </w:rPr>
        <w:t>.</w:t>
      </w:r>
      <w:r w:rsidR="002D6DE0" w:rsidRPr="002D6DE0">
        <w:t xml:space="preserve"> </w:t>
      </w:r>
      <w:r w:rsidR="001E67DE">
        <w:rPr>
          <w:b/>
        </w:rPr>
        <w:t>Inviabilidade de aferição d</w:t>
      </w:r>
      <w:r w:rsidR="0074503D">
        <w:rPr>
          <w:b/>
        </w:rPr>
        <w:t>e testes e medições dos sistemas</w:t>
      </w:r>
      <w:r w:rsidR="001E67DE">
        <w:rPr>
          <w:b/>
        </w:rPr>
        <w:t xml:space="preserve"> previstos no </w:t>
      </w:r>
      <w:r w:rsidR="00EE1BA3">
        <w:rPr>
          <w:b/>
        </w:rPr>
        <w:t xml:space="preserve">serviço de </w:t>
      </w:r>
      <w:r w:rsidR="002D6DE0" w:rsidRPr="00553E68">
        <w:rPr>
          <w:b/>
        </w:rPr>
        <w:t xml:space="preserve">manutenção </w:t>
      </w:r>
      <w:r w:rsidR="001E67DE">
        <w:rPr>
          <w:b/>
        </w:rPr>
        <w:t xml:space="preserve">contratado em razão da falta de energização </w:t>
      </w:r>
      <w:proofErr w:type="gramStart"/>
      <w:r w:rsidR="001E67DE">
        <w:rPr>
          <w:b/>
        </w:rPr>
        <w:t>do data</w:t>
      </w:r>
      <w:proofErr w:type="gramEnd"/>
      <w:r w:rsidR="001E67DE">
        <w:rPr>
          <w:b/>
        </w:rPr>
        <w:t xml:space="preserve"> center</w:t>
      </w:r>
      <w:r w:rsidR="00800CEF">
        <w:rPr>
          <w:b/>
        </w:rPr>
        <w:t>.</w:t>
      </w:r>
      <w:r w:rsidR="00EE1BA3">
        <w:rPr>
          <w:b/>
        </w:rPr>
        <w:t xml:space="preserve"> </w:t>
      </w:r>
    </w:p>
    <w:p w:rsidR="00D10A49" w:rsidRPr="00D10A49" w:rsidRDefault="00D10A49" w:rsidP="002A2AC1">
      <w:pPr>
        <w:pStyle w:val="ecxmsonormal"/>
        <w:spacing w:after="120"/>
        <w:jc w:val="both"/>
      </w:pPr>
      <w:r w:rsidRPr="008D00A6">
        <w:rPr>
          <w:b/>
        </w:rPr>
        <w:t>2.</w:t>
      </w:r>
      <w:r w:rsidR="002F2874">
        <w:rPr>
          <w:b/>
        </w:rPr>
        <w:t>6</w:t>
      </w:r>
      <w:r w:rsidRPr="008D00A6">
        <w:rPr>
          <w:b/>
        </w:rPr>
        <w:t>.1</w:t>
      </w:r>
      <w:r>
        <w:rPr>
          <w:b/>
          <w:i/>
        </w:rPr>
        <w:t xml:space="preserve"> </w:t>
      </w:r>
      <w:r w:rsidR="00793BFC">
        <w:rPr>
          <w:b/>
          <w:i/>
        </w:rPr>
        <w:t>Situação Encontrada:</w:t>
      </w:r>
      <w:r w:rsidRPr="00D10A49">
        <w:t xml:space="preserve"> </w:t>
      </w:r>
      <w:r w:rsidR="00EE1BA3">
        <w:t xml:space="preserve">O objeto de adesão da ata de registro de preços inclui a contratação de serviços de manutenção </w:t>
      </w:r>
      <w:r w:rsidR="00EE1BA3" w:rsidRPr="00D10A49">
        <w:t xml:space="preserve">preventiva </w:t>
      </w:r>
      <w:r w:rsidR="001E67DE">
        <w:t xml:space="preserve">e corretiva </w:t>
      </w:r>
      <w:r w:rsidR="00EE1BA3">
        <w:t>de 36 meses, contudo a r</w:t>
      </w:r>
      <w:r w:rsidRPr="00D10A49">
        <w:t>ealização d</w:t>
      </w:r>
      <w:r w:rsidR="00EE1BA3">
        <w:t>as</w:t>
      </w:r>
      <w:r w:rsidRPr="00D10A49">
        <w:t xml:space="preserve"> visitas técnicas </w:t>
      </w:r>
      <w:r w:rsidR="00800CEF">
        <w:t xml:space="preserve">que estão sendo realizadas não </w:t>
      </w:r>
      <w:r w:rsidRPr="00D10A49">
        <w:t>possibili</w:t>
      </w:r>
      <w:r w:rsidR="00800CEF">
        <w:t>ta</w:t>
      </w:r>
      <w:r w:rsidRPr="00D10A49">
        <w:t xml:space="preserve"> </w:t>
      </w:r>
      <w:r w:rsidR="00800CEF">
        <w:t>a</w:t>
      </w:r>
      <w:r w:rsidRPr="00D10A49">
        <w:t xml:space="preserve"> </w:t>
      </w:r>
      <w:r w:rsidR="0074503D">
        <w:t xml:space="preserve">realização de testes e medições dos sistemas </w:t>
      </w:r>
      <w:r w:rsidRPr="00D10A49">
        <w:t xml:space="preserve">descritos no cronograma da empresa contratada, em virtude da </w:t>
      </w:r>
      <w:proofErr w:type="spellStart"/>
      <w:r w:rsidRPr="00D10A49">
        <w:t>desenergização</w:t>
      </w:r>
      <w:proofErr w:type="spellEnd"/>
      <w:r w:rsidRPr="00D10A49">
        <w:t xml:space="preserve"> e falta de interligação lógica do CDC</w:t>
      </w:r>
      <w:r w:rsidR="00800CEF">
        <w:t xml:space="preserve">, ou seja, não há como verificar </w:t>
      </w:r>
      <w:r w:rsidR="00916231">
        <w:t>o correto funcionamento dos sistemas e subsistemas do CDC</w:t>
      </w:r>
      <w:r w:rsidRPr="00D10A49">
        <w:t>.</w:t>
      </w:r>
    </w:p>
    <w:p w:rsidR="00D10A49" w:rsidRPr="00D10A49" w:rsidRDefault="00D10A49" w:rsidP="002A2AC1">
      <w:pPr>
        <w:pStyle w:val="ecxmsonormal"/>
        <w:spacing w:after="120"/>
        <w:jc w:val="both"/>
      </w:pPr>
      <w:r w:rsidRPr="008D00A6">
        <w:rPr>
          <w:b/>
        </w:rPr>
        <w:t>2.</w:t>
      </w:r>
      <w:r w:rsidR="002F2874">
        <w:rPr>
          <w:b/>
        </w:rPr>
        <w:t>6</w:t>
      </w:r>
      <w:r w:rsidRPr="008D00A6">
        <w:rPr>
          <w:b/>
        </w:rPr>
        <w:t>.2</w:t>
      </w:r>
      <w:r>
        <w:rPr>
          <w:b/>
          <w:i/>
        </w:rPr>
        <w:t xml:space="preserve"> </w:t>
      </w:r>
      <w:r w:rsidR="00793BFC">
        <w:rPr>
          <w:b/>
          <w:i/>
        </w:rPr>
        <w:t>Critério:</w:t>
      </w:r>
      <w:r w:rsidRPr="00D10A49">
        <w:t xml:space="preserve"> a) Contrato n</w:t>
      </w:r>
      <w:r w:rsidR="00E138E2">
        <w:t>.</w:t>
      </w:r>
      <w:r w:rsidRPr="00D10A49">
        <w:t xml:space="preserve"> 161/2014 (aquisição do CDC).</w:t>
      </w:r>
    </w:p>
    <w:p w:rsidR="00897A72" w:rsidRPr="00897A72" w:rsidRDefault="00D10A49" w:rsidP="002A2AC1">
      <w:pPr>
        <w:pStyle w:val="ecxmsonormal"/>
        <w:spacing w:after="120"/>
        <w:jc w:val="both"/>
      </w:pPr>
      <w:r w:rsidRPr="008D00A6">
        <w:rPr>
          <w:b/>
        </w:rPr>
        <w:t>2.</w:t>
      </w:r>
      <w:r w:rsidR="002F2874">
        <w:rPr>
          <w:b/>
        </w:rPr>
        <w:t>6</w:t>
      </w:r>
      <w:r w:rsidRPr="008D00A6">
        <w:rPr>
          <w:b/>
        </w:rPr>
        <w:t>.3</w:t>
      </w:r>
      <w:r>
        <w:rPr>
          <w:b/>
          <w:i/>
        </w:rPr>
        <w:t xml:space="preserve"> </w:t>
      </w:r>
      <w:r w:rsidR="00793BFC">
        <w:rPr>
          <w:b/>
          <w:i/>
        </w:rPr>
        <w:t>Evidência(s):</w:t>
      </w:r>
      <w:r w:rsidRPr="00D10A49">
        <w:t xml:space="preserve"> a)</w:t>
      </w:r>
      <w:r w:rsidR="001A5277">
        <w:t xml:space="preserve"> </w:t>
      </w:r>
      <w:r w:rsidR="001A5277" w:rsidRPr="00EE1BA3">
        <w:t xml:space="preserve">Relatórios </w:t>
      </w:r>
      <w:proofErr w:type="spellStart"/>
      <w:r w:rsidR="008B3160" w:rsidRPr="00EE1BA3">
        <w:rPr>
          <w:i/>
        </w:rPr>
        <w:t>O</w:t>
      </w:r>
      <w:r w:rsidR="001A5277" w:rsidRPr="00EE1BA3">
        <w:rPr>
          <w:i/>
        </w:rPr>
        <w:t>ngoing</w:t>
      </w:r>
      <w:proofErr w:type="spellEnd"/>
      <w:r w:rsidR="001A5277" w:rsidRPr="00EE1BA3">
        <w:t xml:space="preserve"> mensais, Docs. </w:t>
      </w:r>
      <w:r w:rsidR="001A5277" w:rsidRPr="00EE1BA3">
        <w:rPr>
          <w:lang w:val="en-US"/>
        </w:rPr>
        <w:t>PAD n. 115.521 (JUL/2015), 115.530 (AGO/2015), 92.571 (SET/2015), 92.575 (OUT/2015), 92.578 (NOV/2015), 115.533 (DEZ/2015), 92.584 (JAN/2016), 92.586 (FEV/2016), 115.537 (MAR/2016), 92.594 (ABR/2016), 92.597 (MAIO/2016), 114.220 (JUN/2016) e 134.463/2016 (JUL/2016)</w:t>
      </w:r>
      <w:r w:rsidRPr="001A5277">
        <w:rPr>
          <w:lang w:val="en-US"/>
        </w:rPr>
        <w:t xml:space="preserve">; b) Doc. </w:t>
      </w:r>
      <w:r w:rsidRPr="00D10A49">
        <w:t>PAD n</w:t>
      </w:r>
      <w:r w:rsidR="000B632D">
        <w:t>.</w:t>
      </w:r>
      <w:r w:rsidRPr="00D10A49">
        <w:t xml:space="preserve"> 123.147/2016 relativo à resposta da ACECO TI ao Ofício n</w:t>
      </w:r>
      <w:r w:rsidR="000B632D">
        <w:t>.</w:t>
      </w:r>
      <w:r w:rsidRPr="00D10A49">
        <w:t xml:space="preserve"> 01/SEAGES/COGES/SCI/2016, ite</w:t>
      </w:r>
      <w:r w:rsidR="00E2421A">
        <w:t>ns</w:t>
      </w:r>
      <w:r w:rsidR="00E2421A" w:rsidRPr="002A2CAD">
        <w:rPr>
          <w:color w:val="548DD4" w:themeColor="text2" w:themeTint="99"/>
        </w:rPr>
        <w:t xml:space="preserve"> </w:t>
      </w:r>
      <w:proofErr w:type="gramStart"/>
      <w:r w:rsidR="00E2421A" w:rsidRPr="00621681">
        <w:t>4</w:t>
      </w:r>
      <w:proofErr w:type="gramEnd"/>
      <w:r w:rsidR="00E2421A" w:rsidRPr="00621681">
        <w:t xml:space="preserve"> e</w:t>
      </w:r>
      <w:r w:rsidRPr="00621681">
        <w:t xml:space="preserve"> </w:t>
      </w:r>
      <w:r w:rsidR="00AA7810" w:rsidRPr="00621681">
        <w:t>5; c) Doc. PAD n. 153.345/2016 relativo ao Extrato de Entrevista realizada com o gestor do contrato (Quesito 16)</w:t>
      </w:r>
      <w:r w:rsidR="001C6A85" w:rsidRPr="00621681">
        <w:t>; d) Doc. PAD n. 130.960/2016 relativo ao Extrato de Entrevista realizada com fiscal do contrato (Quesito 14</w:t>
      </w:r>
      <w:r w:rsidR="001C6A85" w:rsidRPr="00897A72">
        <w:t>)</w:t>
      </w:r>
      <w:r w:rsidR="00AA7810" w:rsidRPr="00897A72">
        <w:t>.</w:t>
      </w:r>
    </w:p>
    <w:p w:rsidR="00793BFC" w:rsidRPr="0093282A" w:rsidRDefault="00D10A49" w:rsidP="002A2AC1">
      <w:pPr>
        <w:pStyle w:val="ecxmsonormal"/>
        <w:spacing w:after="120"/>
        <w:jc w:val="both"/>
      </w:pPr>
      <w:r w:rsidRPr="008D00A6">
        <w:rPr>
          <w:b/>
        </w:rPr>
        <w:t>2.</w:t>
      </w:r>
      <w:r w:rsidR="00DB1427">
        <w:rPr>
          <w:b/>
        </w:rPr>
        <w:t>6</w:t>
      </w:r>
      <w:r w:rsidRPr="008D00A6">
        <w:rPr>
          <w:b/>
        </w:rPr>
        <w:t>.4</w:t>
      </w:r>
      <w:r>
        <w:rPr>
          <w:b/>
          <w:i/>
        </w:rPr>
        <w:t xml:space="preserve"> </w:t>
      </w:r>
      <w:r w:rsidR="00793BFC">
        <w:rPr>
          <w:b/>
          <w:i/>
        </w:rPr>
        <w:t>Causa</w:t>
      </w:r>
      <w:r w:rsidR="00AE6B9D">
        <w:rPr>
          <w:b/>
          <w:i/>
        </w:rPr>
        <w:t>(s)</w:t>
      </w:r>
      <w:r w:rsidR="00793BFC">
        <w:rPr>
          <w:b/>
          <w:i/>
        </w:rPr>
        <w:t>:</w:t>
      </w:r>
      <w:r w:rsidRPr="00D10A49">
        <w:t xml:space="preserve"> a) Ausência de gerador cuja aquisição está prevista na contratação do serviço da interligaç</w:t>
      </w:r>
      <w:r w:rsidR="00BF2418">
        <w:t>ão</w:t>
      </w:r>
      <w:r w:rsidRPr="00D10A49">
        <w:t xml:space="preserve"> elétrica e lógica (PAD n</w:t>
      </w:r>
      <w:r w:rsidR="000B632D">
        <w:t>.</w:t>
      </w:r>
      <w:r w:rsidRPr="00D10A49">
        <w:t xml:space="preserve"> 12.476/2015)</w:t>
      </w:r>
      <w:r w:rsidR="00542784">
        <w:t xml:space="preserve">; </w:t>
      </w:r>
      <w:r w:rsidR="00AD4AE2">
        <w:t>b</w:t>
      </w:r>
      <w:r w:rsidR="00542784" w:rsidRPr="0093282A">
        <w:t xml:space="preserve">) </w:t>
      </w:r>
      <w:r w:rsidR="00916231" w:rsidRPr="0093282A">
        <w:t>Dependência da</w:t>
      </w:r>
      <w:r w:rsidR="00875FA5" w:rsidRPr="0093282A">
        <w:t xml:space="preserve"> contratada </w:t>
      </w:r>
      <w:r w:rsidR="00912570" w:rsidRPr="0093282A">
        <w:t>tendo em vista a necessidade de</w:t>
      </w:r>
      <w:r w:rsidR="00875FA5" w:rsidRPr="0093282A">
        <w:t xml:space="preserve"> </w:t>
      </w:r>
      <w:r w:rsidR="00912570" w:rsidRPr="0093282A">
        <w:t>c</w:t>
      </w:r>
      <w:r w:rsidR="00EC22CA" w:rsidRPr="0093282A">
        <w:t xml:space="preserve">ontinuidade da prestação dos serviços de manutenção preventiva </w:t>
      </w:r>
      <w:r w:rsidR="001E67DE" w:rsidRPr="0093282A">
        <w:t xml:space="preserve">e corretiva </w:t>
      </w:r>
      <w:r w:rsidR="00912570" w:rsidRPr="0093282A">
        <w:t xml:space="preserve">em razão </w:t>
      </w:r>
      <w:r w:rsidR="00EC22CA" w:rsidRPr="0093282A">
        <w:t>d</w:t>
      </w:r>
      <w:r w:rsidR="00912570" w:rsidRPr="0093282A">
        <w:t>o</w:t>
      </w:r>
      <w:r w:rsidR="00EC22CA" w:rsidRPr="0093282A">
        <w:t xml:space="preserve"> ambiente crítico </w:t>
      </w:r>
      <w:r w:rsidR="00912570" w:rsidRPr="0093282A">
        <w:t>da solução</w:t>
      </w:r>
      <w:r w:rsidR="00EC22CA" w:rsidRPr="0093282A">
        <w:t xml:space="preserve">, </w:t>
      </w:r>
      <w:r w:rsidR="000F6B6F" w:rsidRPr="0093282A">
        <w:t xml:space="preserve">bem como </w:t>
      </w:r>
      <w:r w:rsidR="00EC22CA" w:rsidRPr="0093282A">
        <w:t>para preservação da garantia e do preço contratados.</w:t>
      </w:r>
    </w:p>
    <w:p w:rsidR="00793BFC" w:rsidRPr="00D10A49" w:rsidRDefault="00D10A49" w:rsidP="002A2AC1">
      <w:pPr>
        <w:pStyle w:val="ecxmsonormal"/>
        <w:spacing w:after="120"/>
        <w:jc w:val="both"/>
      </w:pPr>
      <w:r w:rsidRPr="008D00A6">
        <w:rPr>
          <w:b/>
        </w:rPr>
        <w:t>2.</w:t>
      </w:r>
      <w:r w:rsidR="00DB1427">
        <w:rPr>
          <w:b/>
        </w:rPr>
        <w:t>6</w:t>
      </w:r>
      <w:r w:rsidRPr="008D00A6">
        <w:rPr>
          <w:b/>
        </w:rPr>
        <w:t>.5</w:t>
      </w:r>
      <w:r>
        <w:rPr>
          <w:b/>
          <w:i/>
        </w:rPr>
        <w:t xml:space="preserve"> </w:t>
      </w:r>
      <w:r w:rsidR="00793BFC">
        <w:rPr>
          <w:b/>
          <w:i/>
        </w:rPr>
        <w:t>Efeito(s):</w:t>
      </w:r>
      <w:r w:rsidRPr="00D10A49">
        <w:t xml:space="preserve"> a)</w:t>
      </w:r>
      <w:r w:rsidR="00FE6A25">
        <w:t xml:space="preserve"> </w:t>
      </w:r>
      <w:r w:rsidR="00DB1427">
        <w:t>Necessidade de executar o contrato em condição diversa da que consta do contrato; b)</w:t>
      </w:r>
      <w:r w:rsidR="00CF0A36">
        <w:t xml:space="preserve"> </w:t>
      </w:r>
      <w:r w:rsidRPr="00D10A49">
        <w:t>Transcurso do prazo de garantia co</w:t>
      </w:r>
      <w:r w:rsidR="00DB1427">
        <w:t>ntratada (36 meses)</w:t>
      </w:r>
      <w:r w:rsidR="00FE6A25">
        <w:t xml:space="preserve">; </w:t>
      </w:r>
      <w:r w:rsidR="002B693A">
        <w:t>c</w:t>
      </w:r>
      <w:r w:rsidR="00912570">
        <w:t xml:space="preserve">) </w:t>
      </w:r>
      <w:r w:rsidR="000F3A25">
        <w:t>Precariedade quanto ao</w:t>
      </w:r>
      <w:r w:rsidR="00A55DE1">
        <w:t xml:space="preserve"> aproveitamento</w:t>
      </w:r>
      <w:r w:rsidR="009874CA">
        <w:t xml:space="preserve"> de recursos públicos; d) P</w:t>
      </w:r>
      <w:r w:rsidR="00912570">
        <w:t>roblemas na implantação da solução.</w:t>
      </w:r>
    </w:p>
    <w:p w:rsidR="00D10A49" w:rsidRPr="00F534C6" w:rsidRDefault="00D10A49" w:rsidP="002A2AC1">
      <w:pPr>
        <w:tabs>
          <w:tab w:val="left" w:pos="851"/>
        </w:tabs>
        <w:jc w:val="both"/>
        <w:rPr>
          <w:sz w:val="24"/>
          <w:szCs w:val="24"/>
        </w:rPr>
      </w:pPr>
    </w:p>
    <w:p w:rsidR="00553E68" w:rsidRPr="00553E68" w:rsidRDefault="00793BFC" w:rsidP="002A2AC1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2.</w:t>
      </w:r>
      <w:r w:rsidR="00DB1427">
        <w:rPr>
          <w:b/>
          <w:sz w:val="24"/>
          <w:szCs w:val="24"/>
        </w:rPr>
        <w:t>7</w:t>
      </w:r>
      <w:r w:rsidR="00553E68">
        <w:rPr>
          <w:b/>
          <w:sz w:val="24"/>
          <w:szCs w:val="24"/>
        </w:rPr>
        <w:t xml:space="preserve"> </w:t>
      </w:r>
      <w:r w:rsidR="00553E68" w:rsidRPr="00553E68">
        <w:rPr>
          <w:b/>
          <w:sz w:val="24"/>
          <w:szCs w:val="24"/>
        </w:rPr>
        <w:t>E</w:t>
      </w:r>
      <w:r w:rsidR="002B413D">
        <w:rPr>
          <w:b/>
          <w:sz w:val="24"/>
          <w:szCs w:val="24"/>
        </w:rPr>
        <w:t>quívoco</w:t>
      </w:r>
      <w:proofErr w:type="gramEnd"/>
      <w:r w:rsidR="002B413D">
        <w:rPr>
          <w:b/>
          <w:sz w:val="24"/>
          <w:szCs w:val="24"/>
        </w:rPr>
        <w:t xml:space="preserve"> na</w:t>
      </w:r>
      <w:r w:rsidR="00BA1F24">
        <w:rPr>
          <w:b/>
          <w:sz w:val="24"/>
          <w:szCs w:val="24"/>
        </w:rPr>
        <w:t xml:space="preserve"> aferição do termo inicial para cálculo do </w:t>
      </w:r>
      <w:r w:rsidR="00553E68" w:rsidRPr="00553E68">
        <w:rPr>
          <w:b/>
          <w:sz w:val="24"/>
          <w:szCs w:val="24"/>
        </w:rPr>
        <w:t xml:space="preserve">reajuste contratual </w:t>
      </w:r>
      <w:r w:rsidR="00BA1F24">
        <w:rPr>
          <w:b/>
          <w:sz w:val="24"/>
          <w:szCs w:val="24"/>
        </w:rPr>
        <w:t>relativo ao</w:t>
      </w:r>
      <w:r w:rsidR="00553E68" w:rsidRPr="00553E68">
        <w:rPr>
          <w:b/>
          <w:sz w:val="24"/>
          <w:szCs w:val="24"/>
        </w:rPr>
        <w:t xml:space="preserve"> serviço de manutenção</w:t>
      </w:r>
      <w:r w:rsidR="002B413D">
        <w:rPr>
          <w:b/>
          <w:sz w:val="24"/>
          <w:szCs w:val="24"/>
        </w:rPr>
        <w:t>.</w:t>
      </w:r>
    </w:p>
    <w:p w:rsidR="00553E68" w:rsidRPr="00553E68" w:rsidRDefault="00D10A49" w:rsidP="002A2AC1">
      <w:pPr>
        <w:pStyle w:val="ecxmsonormal"/>
        <w:spacing w:after="120"/>
        <w:jc w:val="both"/>
      </w:pPr>
      <w:r w:rsidRPr="00D10A49">
        <w:rPr>
          <w:b/>
        </w:rPr>
        <w:t>2.</w:t>
      </w:r>
      <w:r w:rsidR="00B57ABA">
        <w:rPr>
          <w:b/>
        </w:rPr>
        <w:t>7</w:t>
      </w:r>
      <w:r w:rsidRPr="00D10A49">
        <w:rPr>
          <w:b/>
        </w:rPr>
        <w:t>.1</w:t>
      </w:r>
      <w:r>
        <w:rPr>
          <w:b/>
          <w:i/>
        </w:rPr>
        <w:t xml:space="preserve"> </w:t>
      </w:r>
      <w:r w:rsidR="00793BFC">
        <w:rPr>
          <w:b/>
          <w:i/>
        </w:rPr>
        <w:t>Situação Encontrada:</w:t>
      </w:r>
      <w:r w:rsidR="00553E68" w:rsidRPr="00553E68">
        <w:t xml:space="preserve"> </w:t>
      </w:r>
      <w:r w:rsidR="00771F5A">
        <w:t>Q</w:t>
      </w:r>
      <w:r w:rsidR="00B57ABA">
        <w:t>uando se realizou o cálculo da</w:t>
      </w:r>
      <w:r w:rsidR="00B57ABA" w:rsidRPr="00553E68">
        <w:t xml:space="preserve"> diferença entre o valor reajustado e o valor empenhado </w:t>
      </w:r>
      <w:r w:rsidR="00B57ABA">
        <w:t>para o</w:t>
      </w:r>
      <w:r w:rsidR="00B57ABA" w:rsidRPr="00553E68">
        <w:t xml:space="preserve"> serviço de manutenção preventiva e corretiva</w:t>
      </w:r>
      <w:r w:rsidR="00B57ABA">
        <w:t xml:space="preserve"> </w:t>
      </w:r>
      <w:r w:rsidR="00BA1F24">
        <w:t>foi considerado c</w:t>
      </w:r>
      <w:r w:rsidR="00BA1F24" w:rsidRPr="00553E68">
        <w:t xml:space="preserve">omo termo inicial a data de 12/1/2015 (data de assinatura do contrato), </w:t>
      </w:r>
      <w:r w:rsidR="00B57ABA">
        <w:t xml:space="preserve">em vez do </w:t>
      </w:r>
      <w:r w:rsidR="00BA1F24">
        <w:t>dia</w:t>
      </w:r>
      <w:r w:rsidR="00BA1F24" w:rsidRPr="00553E68">
        <w:t xml:space="preserve"> 26/6/2015 (data de início do</w:t>
      </w:r>
      <w:r w:rsidR="00BA1F24">
        <w:t xml:space="preserve"> prazo de garantia de 36 meses)</w:t>
      </w:r>
      <w:r w:rsidR="00D575CC">
        <w:t>. Consequentemente, foi realizado empenho de recurso orçamentário com valor superior ao devido.</w:t>
      </w:r>
    </w:p>
    <w:p w:rsidR="00793BFC" w:rsidRPr="00553E68" w:rsidRDefault="00D10A49" w:rsidP="002A2AC1">
      <w:pPr>
        <w:jc w:val="both"/>
        <w:rPr>
          <w:sz w:val="24"/>
          <w:szCs w:val="24"/>
        </w:rPr>
      </w:pPr>
      <w:r w:rsidRPr="00D10A49">
        <w:rPr>
          <w:b/>
          <w:sz w:val="24"/>
          <w:szCs w:val="24"/>
        </w:rPr>
        <w:t>2.</w:t>
      </w:r>
      <w:r w:rsidR="00B57ABA">
        <w:rPr>
          <w:b/>
          <w:sz w:val="24"/>
          <w:szCs w:val="24"/>
        </w:rPr>
        <w:t>7</w:t>
      </w:r>
      <w:r w:rsidRPr="00D10A49">
        <w:rPr>
          <w:b/>
          <w:sz w:val="24"/>
          <w:szCs w:val="24"/>
        </w:rPr>
        <w:t>.2</w:t>
      </w:r>
      <w:r>
        <w:rPr>
          <w:b/>
          <w:i/>
          <w:sz w:val="24"/>
          <w:szCs w:val="24"/>
        </w:rPr>
        <w:t xml:space="preserve"> </w:t>
      </w:r>
      <w:r w:rsidR="00793BFC">
        <w:rPr>
          <w:b/>
          <w:i/>
          <w:sz w:val="24"/>
          <w:szCs w:val="24"/>
        </w:rPr>
        <w:t>Critério:</w:t>
      </w:r>
      <w:r w:rsidR="00553E68" w:rsidRPr="00553E68">
        <w:t xml:space="preserve"> </w:t>
      </w:r>
      <w:r w:rsidR="00553E68" w:rsidRPr="00553E68">
        <w:rPr>
          <w:sz w:val="24"/>
          <w:szCs w:val="24"/>
        </w:rPr>
        <w:t>a) Contrato n</w:t>
      </w:r>
      <w:r w:rsidR="000B632D">
        <w:rPr>
          <w:sz w:val="24"/>
          <w:szCs w:val="24"/>
        </w:rPr>
        <w:t>.</w:t>
      </w:r>
      <w:r w:rsidR="00553E68" w:rsidRPr="00553E68">
        <w:rPr>
          <w:sz w:val="24"/>
          <w:szCs w:val="24"/>
        </w:rPr>
        <w:t xml:space="preserve"> 161/2014 (aquisição do CDC); b) </w:t>
      </w:r>
      <w:r w:rsidR="00266B96">
        <w:rPr>
          <w:sz w:val="24"/>
          <w:szCs w:val="24"/>
        </w:rPr>
        <w:t xml:space="preserve">Item a.8 do </w:t>
      </w:r>
      <w:r w:rsidR="00553E68" w:rsidRPr="00553E68">
        <w:rPr>
          <w:sz w:val="24"/>
          <w:szCs w:val="24"/>
        </w:rPr>
        <w:t>Termo de Garantia e Entrega d</w:t>
      </w:r>
      <w:r w:rsidR="005A3E8A">
        <w:rPr>
          <w:sz w:val="24"/>
          <w:szCs w:val="24"/>
        </w:rPr>
        <w:t>e</w:t>
      </w:r>
      <w:r w:rsidR="00553E68" w:rsidRPr="00553E68">
        <w:rPr>
          <w:sz w:val="24"/>
          <w:szCs w:val="24"/>
        </w:rPr>
        <w:t xml:space="preserve"> Projeto (Doc. PAD n</w:t>
      </w:r>
      <w:r w:rsidR="00E7005C">
        <w:rPr>
          <w:sz w:val="24"/>
          <w:szCs w:val="24"/>
        </w:rPr>
        <w:t>.</w:t>
      </w:r>
      <w:r w:rsidR="00553E68" w:rsidRPr="00553E68">
        <w:rPr>
          <w:sz w:val="24"/>
          <w:szCs w:val="24"/>
        </w:rPr>
        <w:t xml:space="preserve"> 92.993/2015).</w:t>
      </w:r>
    </w:p>
    <w:p w:rsidR="00793BFC" w:rsidRPr="00553E68" w:rsidRDefault="00D10A49" w:rsidP="002A2AC1">
      <w:pPr>
        <w:jc w:val="both"/>
        <w:rPr>
          <w:sz w:val="24"/>
          <w:szCs w:val="24"/>
        </w:rPr>
      </w:pPr>
      <w:r w:rsidRPr="00D10A49">
        <w:rPr>
          <w:b/>
          <w:sz w:val="24"/>
          <w:szCs w:val="24"/>
        </w:rPr>
        <w:t>2.</w:t>
      </w:r>
      <w:r w:rsidR="00B57ABA">
        <w:rPr>
          <w:b/>
          <w:sz w:val="24"/>
          <w:szCs w:val="24"/>
        </w:rPr>
        <w:t>7</w:t>
      </w:r>
      <w:r w:rsidRPr="00D10A49">
        <w:rPr>
          <w:b/>
          <w:sz w:val="24"/>
          <w:szCs w:val="24"/>
        </w:rPr>
        <w:t>.3</w:t>
      </w:r>
      <w:r>
        <w:rPr>
          <w:b/>
          <w:i/>
          <w:sz w:val="24"/>
          <w:szCs w:val="24"/>
        </w:rPr>
        <w:t xml:space="preserve"> </w:t>
      </w:r>
      <w:r w:rsidR="00793BFC">
        <w:rPr>
          <w:b/>
          <w:i/>
          <w:sz w:val="24"/>
          <w:szCs w:val="24"/>
        </w:rPr>
        <w:t>Evidência(s):</w:t>
      </w:r>
      <w:r w:rsidR="00553E68" w:rsidRPr="00553E68">
        <w:t xml:space="preserve"> </w:t>
      </w:r>
      <w:r w:rsidR="00553E68" w:rsidRPr="00553E68">
        <w:rPr>
          <w:sz w:val="24"/>
          <w:szCs w:val="24"/>
        </w:rPr>
        <w:t>a) Despacho da SECONT (Doc. PAD n</w:t>
      </w:r>
      <w:r w:rsidR="000B632D">
        <w:rPr>
          <w:sz w:val="24"/>
          <w:szCs w:val="24"/>
        </w:rPr>
        <w:t>.</w:t>
      </w:r>
      <w:r w:rsidR="00553E68" w:rsidRPr="00553E68">
        <w:rPr>
          <w:sz w:val="24"/>
          <w:szCs w:val="24"/>
        </w:rPr>
        <w:t xml:space="preserve"> 135.763/2015); b) Despacho da SEPROG (Doc. PAD n</w:t>
      </w:r>
      <w:r w:rsidR="000B632D">
        <w:rPr>
          <w:sz w:val="24"/>
          <w:szCs w:val="24"/>
        </w:rPr>
        <w:t>.</w:t>
      </w:r>
      <w:r w:rsidR="00553E68" w:rsidRPr="00553E68">
        <w:rPr>
          <w:sz w:val="24"/>
          <w:szCs w:val="24"/>
        </w:rPr>
        <w:t xml:space="preserve"> 136.885/2015)</w:t>
      </w:r>
      <w:r w:rsidR="007341BD">
        <w:rPr>
          <w:sz w:val="24"/>
          <w:szCs w:val="24"/>
        </w:rPr>
        <w:t>; c) NE 3411 (Doc. PAD n. 146</w:t>
      </w:r>
      <w:r w:rsidR="00266B96">
        <w:rPr>
          <w:sz w:val="24"/>
          <w:szCs w:val="24"/>
        </w:rPr>
        <w:t>.</w:t>
      </w:r>
      <w:r w:rsidR="007341BD">
        <w:rPr>
          <w:sz w:val="24"/>
          <w:szCs w:val="24"/>
        </w:rPr>
        <w:t>079/2015).</w:t>
      </w:r>
    </w:p>
    <w:p w:rsidR="00D10A49" w:rsidRPr="00D10A49" w:rsidRDefault="00D10A49" w:rsidP="002A2AC1">
      <w:pPr>
        <w:jc w:val="both"/>
        <w:rPr>
          <w:sz w:val="24"/>
          <w:szCs w:val="24"/>
        </w:rPr>
      </w:pPr>
      <w:r w:rsidRPr="00D10A49">
        <w:rPr>
          <w:b/>
          <w:sz w:val="24"/>
          <w:szCs w:val="24"/>
        </w:rPr>
        <w:t>2.</w:t>
      </w:r>
      <w:r w:rsidR="00B57ABA">
        <w:rPr>
          <w:b/>
          <w:sz w:val="24"/>
          <w:szCs w:val="24"/>
        </w:rPr>
        <w:t>7</w:t>
      </w:r>
      <w:r w:rsidRPr="00D10A49">
        <w:rPr>
          <w:b/>
          <w:sz w:val="24"/>
          <w:szCs w:val="24"/>
        </w:rPr>
        <w:t>.4</w:t>
      </w:r>
      <w:r>
        <w:rPr>
          <w:b/>
          <w:i/>
          <w:sz w:val="24"/>
          <w:szCs w:val="24"/>
        </w:rPr>
        <w:t xml:space="preserve"> </w:t>
      </w:r>
      <w:r w:rsidR="00793BFC">
        <w:rPr>
          <w:b/>
          <w:i/>
          <w:sz w:val="24"/>
          <w:szCs w:val="24"/>
        </w:rPr>
        <w:t>Causa</w:t>
      </w:r>
      <w:r w:rsidR="00266B96">
        <w:rPr>
          <w:b/>
          <w:i/>
          <w:sz w:val="24"/>
          <w:szCs w:val="24"/>
        </w:rPr>
        <w:t>(s)</w:t>
      </w:r>
      <w:r w:rsidR="00793BFC" w:rsidRPr="00D10A49">
        <w:rPr>
          <w:sz w:val="24"/>
          <w:szCs w:val="24"/>
        </w:rPr>
        <w:t>:</w:t>
      </w:r>
      <w:r w:rsidRPr="00D10A49">
        <w:rPr>
          <w:sz w:val="24"/>
          <w:szCs w:val="24"/>
        </w:rPr>
        <w:t xml:space="preserve"> a) </w:t>
      </w:r>
      <w:r w:rsidR="00D575CC">
        <w:rPr>
          <w:sz w:val="24"/>
          <w:szCs w:val="24"/>
        </w:rPr>
        <w:t>Deficiência nos</w:t>
      </w:r>
      <w:r w:rsidRPr="00D10A49">
        <w:rPr>
          <w:sz w:val="24"/>
          <w:szCs w:val="24"/>
        </w:rPr>
        <w:t xml:space="preserve"> controles internos </w:t>
      </w:r>
      <w:r w:rsidR="00D575CC">
        <w:rPr>
          <w:sz w:val="24"/>
          <w:szCs w:val="24"/>
        </w:rPr>
        <w:t>relacionados à conferência e revisão de</w:t>
      </w:r>
      <w:r w:rsidRPr="00D10A49">
        <w:rPr>
          <w:sz w:val="24"/>
          <w:szCs w:val="24"/>
        </w:rPr>
        <w:t xml:space="preserve"> cálculo </w:t>
      </w:r>
      <w:r w:rsidR="00D575CC">
        <w:rPr>
          <w:sz w:val="24"/>
          <w:szCs w:val="24"/>
        </w:rPr>
        <w:t>dos reajustes contratuais.</w:t>
      </w:r>
    </w:p>
    <w:p w:rsidR="00D10A49" w:rsidRPr="00D10A49" w:rsidRDefault="00D10A49" w:rsidP="002A2AC1">
      <w:pPr>
        <w:jc w:val="both"/>
        <w:rPr>
          <w:sz w:val="24"/>
          <w:szCs w:val="24"/>
        </w:rPr>
      </w:pPr>
      <w:r w:rsidRPr="00D10A49">
        <w:rPr>
          <w:b/>
          <w:sz w:val="24"/>
          <w:szCs w:val="24"/>
        </w:rPr>
        <w:lastRenderedPageBreak/>
        <w:t>2.</w:t>
      </w:r>
      <w:r w:rsidR="00B57ABA">
        <w:rPr>
          <w:b/>
          <w:sz w:val="24"/>
          <w:szCs w:val="24"/>
        </w:rPr>
        <w:t>7</w:t>
      </w:r>
      <w:r w:rsidRPr="00D10A49">
        <w:rPr>
          <w:b/>
          <w:sz w:val="24"/>
          <w:szCs w:val="24"/>
        </w:rPr>
        <w:t>.5</w:t>
      </w:r>
      <w:r>
        <w:rPr>
          <w:b/>
          <w:i/>
          <w:sz w:val="24"/>
          <w:szCs w:val="24"/>
        </w:rPr>
        <w:t xml:space="preserve"> </w:t>
      </w:r>
      <w:r w:rsidR="00793BFC">
        <w:rPr>
          <w:b/>
          <w:i/>
          <w:sz w:val="24"/>
          <w:szCs w:val="24"/>
        </w:rPr>
        <w:t>Efeito(s):</w:t>
      </w:r>
      <w:r w:rsidRPr="00D10A49">
        <w:t xml:space="preserve"> </w:t>
      </w:r>
      <w:r w:rsidRPr="00D10A49">
        <w:rPr>
          <w:sz w:val="24"/>
          <w:szCs w:val="24"/>
        </w:rPr>
        <w:t>a) Potencial pagame</w:t>
      </w:r>
      <w:r w:rsidR="00BA1F24">
        <w:rPr>
          <w:sz w:val="24"/>
          <w:szCs w:val="24"/>
        </w:rPr>
        <w:t>nto indevido pela Administração; b)</w:t>
      </w:r>
      <w:r w:rsidR="00266B96">
        <w:rPr>
          <w:sz w:val="24"/>
          <w:szCs w:val="24"/>
        </w:rPr>
        <w:t xml:space="preserve"> </w:t>
      </w:r>
      <w:r w:rsidR="00B44D1E">
        <w:rPr>
          <w:sz w:val="24"/>
          <w:szCs w:val="24"/>
        </w:rPr>
        <w:t>C</w:t>
      </w:r>
      <w:r w:rsidR="00BA1F24">
        <w:rPr>
          <w:sz w:val="24"/>
          <w:szCs w:val="24"/>
        </w:rPr>
        <w:t>omprometimento de recurso orçamentário empenhado indevidamente.</w:t>
      </w:r>
    </w:p>
    <w:p w:rsidR="00793BFC" w:rsidRPr="00F534C6" w:rsidRDefault="00793BFC" w:rsidP="002A2AC1">
      <w:pPr>
        <w:tabs>
          <w:tab w:val="left" w:pos="851"/>
        </w:tabs>
        <w:jc w:val="both"/>
        <w:rPr>
          <w:sz w:val="24"/>
          <w:szCs w:val="24"/>
        </w:rPr>
      </w:pPr>
    </w:p>
    <w:p w:rsidR="00793BFC" w:rsidRDefault="00793BFC" w:rsidP="00B57ABA">
      <w:pPr>
        <w:pStyle w:val="ecxmsonormal"/>
        <w:spacing w:after="120"/>
        <w:jc w:val="both"/>
        <w:rPr>
          <w:b/>
        </w:rPr>
      </w:pPr>
      <w:proofErr w:type="gramStart"/>
      <w:r w:rsidRPr="00DF16BA">
        <w:rPr>
          <w:b/>
        </w:rPr>
        <w:t>2.</w:t>
      </w:r>
      <w:r w:rsidR="00B57ABA" w:rsidRPr="00DF16BA">
        <w:rPr>
          <w:b/>
        </w:rPr>
        <w:t>8</w:t>
      </w:r>
      <w:r w:rsidR="00553E68" w:rsidRPr="00DF16BA">
        <w:t xml:space="preserve"> </w:t>
      </w:r>
      <w:r w:rsidR="00073EC0" w:rsidRPr="00553E68">
        <w:rPr>
          <w:b/>
        </w:rPr>
        <w:t>Descumprimento</w:t>
      </w:r>
      <w:proofErr w:type="gramEnd"/>
      <w:r w:rsidR="00073EC0" w:rsidRPr="00553E68">
        <w:rPr>
          <w:b/>
        </w:rPr>
        <w:t xml:space="preserve"> </w:t>
      </w:r>
      <w:r w:rsidR="000C38E2">
        <w:rPr>
          <w:b/>
        </w:rPr>
        <w:t xml:space="preserve">de </w:t>
      </w:r>
      <w:r w:rsidR="006E0298">
        <w:rPr>
          <w:b/>
        </w:rPr>
        <w:t xml:space="preserve">condição </w:t>
      </w:r>
      <w:r w:rsidR="007D2A7C">
        <w:rPr>
          <w:b/>
        </w:rPr>
        <w:t>estabelecida</w:t>
      </w:r>
      <w:r w:rsidR="00E93C3A">
        <w:rPr>
          <w:b/>
        </w:rPr>
        <w:t xml:space="preserve"> em </w:t>
      </w:r>
      <w:r w:rsidR="00E9238B">
        <w:rPr>
          <w:b/>
        </w:rPr>
        <w:t>cláusula contratual.</w:t>
      </w:r>
    </w:p>
    <w:p w:rsidR="00073EC0" w:rsidRPr="001B11FA" w:rsidRDefault="00AB70A0" w:rsidP="002A2AC1">
      <w:pPr>
        <w:pStyle w:val="ecxmsonormal"/>
        <w:spacing w:after="120"/>
        <w:jc w:val="both"/>
      </w:pPr>
      <w:r w:rsidRPr="00AB70A0">
        <w:rPr>
          <w:b/>
        </w:rPr>
        <w:t>2.</w:t>
      </w:r>
      <w:r w:rsidR="00464EF2">
        <w:rPr>
          <w:b/>
        </w:rPr>
        <w:t>8</w:t>
      </w:r>
      <w:r w:rsidRPr="00AB70A0">
        <w:rPr>
          <w:b/>
        </w:rPr>
        <w:t>.1</w:t>
      </w:r>
      <w:r>
        <w:rPr>
          <w:b/>
          <w:i/>
        </w:rPr>
        <w:t xml:space="preserve"> </w:t>
      </w:r>
      <w:r w:rsidR="00793BFC">
        <w:rPr>
          <w:b/>
          <w:i/>
        </w:rPr>
        <w:t>Situação Encontrada:</w:t>
      </w:r>
      <w:r w:rsidR="00073EC0" w:rsidRPr="00073EC0">
        <w:t xml:space="preserve"> </w:t>
      </w:r>
      <w:r w:rsidR="00E93C3A">
        <w:t>A</w:t>
      </w:r>
      <w:r w:rsidR="00E93C3A" w:rsidRPr="00D10A49">
        <w:t>s notas fiscais n</w:t>
      </w:r>
      <w:r w:rsidR="00E93C3A">
        <w:t>.</w:t>
      </w:r>
      <w:r w:rsidR="00E93C3A" w:rsidRPr="00D10A49">
        <w:t xml:space="preserve"> </w:t>
      </w:r>
      <w:proofErr w:type="gramStart"/>
      <w:r w:rsidR="00E93C3A" w:rsidRPr="00D10A49">
        <w:t>5185, 6153 e 6753</w:t>
      </w:r>
      <w:proofErr w:type="gramEnd"/>
      <w:r w:rsidR="00E93C3A" w:rsidRPr="00D10A49">
        <w:t xml:space="preserve"> </w:t>
      </w:r>
      <w:r w:rsidR="00E93C3A">
        <w:t>foram</w:t>
      </w:r>
      <w:r w:rsidR="00042D8B">
        <w:t xml:space="preserve"> p</w:t>
      </w:r>
      <w:r w:rsidR="00073EC0" w:rsidRPr="00D10A49">
        <w:t>aga</w:t>
      </w:r>
      <w:r w:rsidR="00E93C3A">
        <w:t>s mediante</w:t>
      </w:r>
      <w:r w:rsidR="00073EC0" w:rsidRPr="00D10A49">
        <w:t xml:space="preserve"> atest</w:t>
      </w:r>
      <w:r w:rsidR="00E93C3A">
        <w:t>o</w:t>
      </w:r>
      <w:r w:rsidR="00073EC0" w:rsidRPr="00D10A49">
        <w:t xml:space="preserve"> </w:t>
      </w:r>
      <w:r w:rsidR="00E93C3A">
        <w:t>de</w:t>
      </w:r>
      <w:r w:rsidR="00073EC0" w:rsidRPr="00D10A49">
        <w:t xml:space="preserve"> servidor não designado para atuar como fiscal do contrato</w:t>
      </w:r>
      <w:r w:rsidR="001B11FA">
        <w:t xml:space="preserve">, em </w:t>
      </w:r>
      <w:r w:rsidR="001B11FA" w:rsidRPr="00D10A49">
        <w:t>desconformidade</w:t>
      </w:r>
      <w:r w:rsidR="001B11FA">
        <w:t xml:space="preserve"> com a</w:t>
      </w:r>
      <w:r w:rsidR="001B11FA" w:rsidRPr="00553E68">
        <w:rPr>
          <w:b/>
        </w:rPr>
        <w:t xml:space="preserve"> </w:t>
      </w:r>
      <w:r w:rsidR="001B11FA" w:rsidRPr="001B11FA">
        <w:t xml:space="preserve">regra de pagamento </w:t>
      </w:r>
      <w:r w:rsidR="006E0298">
        <w:t>estabelecida no item 2.5 da cláusula segunda d</w:t>
      </w:r>
      <w:r w:rsidR="001B11FA" w:rsidRPr="001B11FA">
        <w:t>o contrato</w:t>
      </w:r>
      <w:r w:rsidR="00042D8B">
        <w:t xml:space="preserve">, </w:t>
      </w:r>
      <w:r w:rsidR="006E0298">
        <w:t xml:space="preserve">apesar das orientações </w:t>
      </w:r>
      <w:r w:rsidR="00354AED">
        <w:t>registradas</w:t>
      </w:r>
      <w:r w:rsidR="006E0298">
        <w:t xml:space="preserve"> pela </w:t>
      </w:r>
      <w:r w:rsidR="00476EE3" w:rsidRPr="00476EE3">
        <w:t xml:space="preserve">Coordenadoria de Gestão de Aquisições, Licitações e Contratos </w:t>
      </w:r>
      <w:r w:rsidR="00476EE3">
        <w:t>(</w:t>
      </w:r>
      <w:r w:rsidR="006E0298">
        <w:t>COGELIC</w:t>
      </w:r>
      <w:r w:rsidR="00476EE3">
        <w:t>)</w:t>
      </w:r>
      <w:r w:rsidR="006E0298">
        <w:t xml:space="preserve"> aos fiscais </w:t>
      </w:r>
      <w:r w:rsidR="007D2A7C">
        <w:t xml:space="preserve">do contrato </w:t>
      </w:r>
      <w:r w:rsidR="006E0298">
        <w:t xml:space="preserve">constante </w:t>
      </w:r>
      <w:r w:rsidR="00354AED">
        <w:t>à</w:t>
      </w:r>
      <w:r w:rsidR="006E0298">
        <w:t xml:space="preserve"> fl. 301 do Doc</w:t>
      </w:r>
      <w:r w:rsidR="00B132EB">
        <w:t>.</w:t>
      </w:r>
      <w:r w:rsidR="006E0298">
        <w:t xml:space="preserve"> PAD n. 2</w:t>
      </w:r>
      <w:r w:rsidR="00A84155">
        <w:t>.</w:t>
      </w:r>
      <w:r w:rsidR="006E0298">
        <w:t>0</w:t>
      </w:r>
      <w:r w:rsidR="00A84155">
        <w:t>33</w:t>
      </w:r>
      <w:r w:rsidR="006E0298">
        <w:t>/2015.</w:t>
      </w:r>
    </w:p>
    <w:p w:rsidR="00B132EB" w:rsidRPr="00C70E78" w:rsidRDefault="00AB70A0" w:rsidP="00B132EB">
      <w:pPr>
        <w:pStyle w:val="ecxmsonormal"/>
        <w:spacing w:after="120"/>
        <w:jc w:val="both"/>
        <w:rPr>
          <w:sz w:val="20"/>
          <w:szCs w:val="20"/>
        </w:rPr>
      </w:pPr>
      <w:r w:rsidRPr="00AB70A0">
        <w:rPr>
          <w:b/>
        </w:rPr>
        <w:t>2.</w:t>
      </w:r>
      <w:r w:rsidR="00464EF2">
        <w:rPr>
          <w:b/>
        </w:rPr>
        <w:t>8</w:t>
      </w:r>
      <w:r w:rsidRPr="00AB70A0">
        <w:rPr>
          <w:b/>
        </w:rPr>
        <w:t>.2</w:t>
      </w:r>
      <w:r>
        <w:rPr>
          <w:b/>
          <w:i/>
        </w:rPr>
        <w:t xml:space="preserve"> </w:t>
      </w:r>
      <w:r w:rsidR="00793BFC">
        <w:rPr>
          <w:b/>
          <w:i/>
        </w:rPr>
        <w:t>Critério:</w:t>
      </w:r>
      <w:r w:rsidR="00073EC0" w:rsidRPr="00073EC0">
        <w:t xml:space="preserve"> </w:t>
      </w:r>
      <w:r w:rsidR="00073EC0" w:rsidRPr="00E138E2">
        <w:t xml:space="preserve">a) </w:t>
      </w:r>
      <w:r w:rsidR="00796933">
        <w:t>I</w:t>
      </w:r>
      <w:r w:rsidR="007D2A7C">
        <w:t xml:space="preserve">tem 2.5 da Cláusula Segunda do </w:t>
      </w:r>
      <w:r w:rsidR="00073EC0" w:rsidRPr="00E138E2">
        <w:t>Contrato n</w:t>
      </w:r>
      <w:r w:rsidR="00E138E2" w:rsidRPr="00E138E2">
        <w:t>.</w:t>
      </w:r>
      <w:r w:rsidR="007D2A7C">
        <w:t xml:space="preserve"> 161/2014 (aquisição do CDC); </w:t>
      </w:r>
      <w:r w:rsidR="00EB0352">
        <w:t xml:space="preserve"> </w:t>
      </w:r>
      <w:r w:rsidR="00E173AA">
        <w:t xml:space="preserve"> </w:t>
      </w:r>
      <w:r w:rsidR="00EB0352">
        <w:t xml:space="preserve">    b) </w:t>
      </w:r>
      <w:r w:rsidR="00B132EB">
        <w:t>Despacho contido no Doc. PAD n.</w:t>
      </w:r>
      <w:r w:rsidR="00EB0352">
        <w:t xml:space="preserve"> </w:t>
      </w:r>
      <w:r w:rsidR="00B132EB">
        <w:t>2</w:t>
      </w:r>
      <w:r w:rsidR="00EB0352">
        <w:t>.</w:t>
      </w:r>
      <w:r w:rsidR="00B132EB">
        <w:t>030/2015 designando os fiscais do contrato.</w:t>
      </w:r>
    </w:p>
    <w:p w:rsidR="00553E68" w:rsidRPr="00AB70A0" w:rsidRDefault="00AB70A0" w:rsidP="002A2AC1">
      <w:pPr>
        <w:jc w:val="both"/>
        <w:rPr>
          <w:sz w:val="24"/>
          <w:szCs w:val="24"/>
        </w:rPr>
      </w:pPr>
      <w:r w:rsidRPr="00AB70A0">
        <w:rPr>
          <w:b/>
          <w:sz w:val="24"/>
          <w:szCs w:val="24"/>
        </w:rPr>
        <w:t>2.</w:t>
      </w:r>
      <w:r w:rsidR="00464EF2">
        <w:rPr>
          <w:b/>
          <w:sz w:val="24"/>
          <w:szCs w:val="24"/>
        </w:rPr>
        <w:t>8</w:t>
      </w:r>
      <w:r w:rsidRPr="00AB70A0">
        <w:rPr>
          <w:b/>
          <w:sz w:val="24"/>
          <w:szCs w:val="24"/>
        </w:rPr>
        <w:t>.3</w:t>
      </w:r>
      <w:r>
        <w:rPr>
          <w:b/>
          <w:i/>
          <w:sz w:val="24"/>
          <w:szCs w:val="24"/>
        </w:rPr>
        <w:t xml:space="preserve"> </w:t>
      </w:r>
      <w:r w:rsidR="00793BFC">
        <w:rPr>
          <w:b/>
          <w:i/>
          <w:sz w:val="24"/>
          <w:szCs w:val="24"/>
        </w:rPr>
        <w:t>Evidência(s):</w:t>
      </w:r>
      <w:r w:rsidR="00553E68" w:rsidRPr="00553E68">
        <w:t xml:space="preserve"> </w:t>
      </w:r>
      <w:r w:rsidR="00553E68" w:rsidRPr="00D10A49">
        <w:rPr>
          <w:sz w:val="24"/>
          <w:szCs w:val="24"/>
        </w:rPr>
        <w:t xml:space="preserve">a) </w:t>
      </w:r>
      <w:r w:rsidR="007D2A7C">
        <w:rPr>
          <w:sz w:val="24"/>
          <w:szCs w:val="24"/>
        </w:rPr>
        <w:t>Atestado de Contratação de Serviço</w:t>
      </w:r>
      <w:r w:rsidR="00553E68" w:rsidRPr="00D10A49">
        <w:rPr>
          <w:sz w:val="24"/>
          <w:szCs w:val="24"/>
        </w:rPr>
        <w:t xml:space="preserve"> (Doc. PAD n</w:t>
      </w:r>
      <w:r w:rsidR="00131066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2.482/2016), referente ao pagamento do Documento Fiscal n</w:t>
      </w:r>
      <w:r w:rsidR="008C0FF4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5185 (Doc. PAD n</w:t>
      </w:r>
      <w:r w:rsidR="00E7005C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2.479/2016); b) </w:t>
      </w:r>
      <w:r w:rsidR="007D2A7C">
        <w:rPr>
          <w:sz w:val="24"/>
          <w:szCs w:val="24"/>
        </w:rPr>
        <w:t>Atestado de Contratação de Serviço</w:t>
      </w:r>
      <w:r w:rsidR="007D2A7C" w:rsidRPr="00D10A49">
        <w:rPr>
          <w:sz w:val="24"/>
          <w:szCs w:val="24"/>
        </w:rPr>
        <w:t xml:space="preserve"> </w:t>
      </w:r>
      <w:r w:rsidR="00553E68" w:rsidRPr="00D10A49">
        <w:rPr>
          <w:sz w:val="24"/>
          <w:szCs w:val="24"/>
        </w:rPr>
        <w:t>(Doc. PAD n</w:t>
      </w:r>
      <w:r w:rsidR="00131066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49.587/2016), referente ao pagamento do Documento Fiscal n</w:t>
      </w:r>
      <w:r w:rsidR="008C0FF4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6153 (Doc. PAD n</w:t>
      </w:r>
      <w:r w:rsidR="00131066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49.572/2016); c) </w:t>
      </w:r>
      <w:r w:rsidR="007D2A7C">
        <w:rPr>
          <w:sz w:val="24"/>
          <w:szCs w:val="24"/>
        </w:rPr>
        <w:t>Atestado de Contratação de Serviço</w:t>
      </w:r>
      <w:r w:rsidR="007D2A7C" w:rsidRPr="00D10A49">
        <w:rPr>
          <w:sz w:val="24"/>
          <w:szCs w:val="24"/>
        </w:rPr>
        <w:t xml:space="preserve"> </w:t>
      </w:r>
      <w:r w:rsidR="00553E68" w:rsidRPr="00D10A49">
        <w:rPr>
          <w:sz w:val="24"/>
          <w:szCs w:val="24"/>
        </w:rPr>
        <w:t>(Doc. PAD n</w:t>
      </w:r>
      <w:r w:rsidR="00131066">
        <w:rPr>
          <w:sz w:val="24"/>
          <w:szCs w:val="24"/>
        </w:rPr>
        <w:t>.</w:t>
      </w:r>
      <w:r w:rsidR="00553E68" w:rsidRPr="00D10A49">
        <w:rPr>
          <w:sz w:val="24"/>
          <w:szCs w:val="24"/>
        </w:rPr>
        <w:t xml:space="preserve"> 95.415/2016), referente ao pagamento do </w:t>
      </w:r>
      <w:r w:rsidR="00553E68" w:rsidRPr="00AB70A0">
        <w:rPr>
          <w:sz w:val="24"/>
          <w:szCs w:val="24"/>
        </w:rPr>
        <w:t>Documento Fiscal n</w:t>
      </w:r>
      <w:r w:rsidR="00BD53ED">
        <w:rPr>
          <w:sz w:val="24"/>
          <w:szCs w:val="24"/>
        </w:rPr>
        <w:t>.</w:t>
      </w:r>
      <w:r w:rsidR="00553E68" w:rsidRPr="00AB70A0">
        <w:rPr>
          <w:sz w:val="24"/>
          <w:szCs w:val="24"/>
        </w:rPr>
        <w:t xml:space="preserve"> 6753 (Doc. PAD n</w:t>
      </w:r>
      <w:r w:rsidR="00131066">
        <w:rPr>
          <w:sz w:val="24"/>
          <w:szCs w:val="24"/>
        </w:rPr>
        <w:t>.</w:t>
      </w:r>
      <w:r w:rsidR="00E173AA">
        <w:rPr>
          <w:sz w:val="24"/>
          <w:szCs w:val="24"/>
        </w:rPr>
        <w:t xml:space="preserve"> 95.396/2016).</w:t>
      </w:r>
    </w:p>
    <w:p w:rsidR="00553E68" w:rsidRPr="00D10A49" w:rsidRDefault="00AB70A0" w:rsidP="002A2AC1">
      <w:pPr>
        <w:pStyle w:val="ecxmsonormal"/>
        <w:spacing w:after="120"/>
        <w:jc w:val="both"/>
      </w:pPr>
      <w:r w:rsidRPr="00AB70A0">
        <w:rPr>
          <w:b/>
        </w:rPr>
        <w:t>2.</w:t>
      </w:r>
      <w:r w:rsidR="00464EF2">
        <w:rPr>
          <w:b/>
        </w:rPr>
        <w:t>8</w:t>
      </w:r>
      <w:r w:rsidRPr="00AB70A0">
        <w:rPr>
          <w:b/>
        </w:rPr>
        <w:t>.4</w:t>
      </w:r>
      <w:r>
        <w:rPr>
          <w:b/>
          <w:i/>
        </w:rPr>
        <w:t xml:space="preserve"> </w:t>
      </w:r>
      <w:r w:rsidR="00793BFC">
        <w:rPr>
          <w:b/>
          <w:i/>
        </w:rPr>
        <w:t>Causa</w:t>
      </w:r>
      <w:r w:rsidR="00C0695E">
        <w:rPr>
          <w:b/>
          <w:i/>
        </w:rPr>
        <w:t>(s)</w:t>
      </w:r>
      <w:r w:rsidR="00793BFC">
        <w:rPr>
          <w:b/>
          <w:i/>
        </w:rPr>
        <w:t>:</w:t>
      </w:r>
      <w:r w:rsidR="00553E68" w:rsidRPr="00553E68">
        <w:t xml:space="preserve"> </w:t>
      </w:r>
      <w:r w:rsidR="00553E68" w:rsidRPr="00D10A49">
        <w:t>a) Inexistência de verificação da competência para atesto da nota fiscal para pagamento.</w:t>
      </w:r>
    </w:p>
    <w:p w:rsidR="00553E68" w:rsidRPr="00D10A49" w:rsidRDefault="00AB70A0" w:rsidP="002A2AC1">
      <w:pPr>
        <w:pStyle w:val="ecxmsonormal"/>
        <w:spacing w:after="120"/>
        <w:jc w:val="both"/>
      </w:pPr>
      <w:r w:rsidRPr="00AB70A0">
        <w:rPr>
          <w:b/>
        </w:rPr>
        <w:t>2.</w:t>
      </w:r>
      <w:r w:rsidR="00464EF2">
        <w:rPr>
          <w:b/>
        </w:rPr>
        <w:t>8</w:t>
      </w:r>
      <w:r w:rsidRPr="00AB70A0">
        <w:rPr>
          <w:b/>
        </w:rPr>
        <w:t>.5</w:t>
      </w:r>
      <w:r>
        <w:rPr>
          <w:b/>
          <w:i/>
        </w:rPr>
        <w:t xml:space="preserve"> </w:t>
      </w:r>
      <w:r w:rsidR="00793BFC">
        <w:rPr>
          <w:b/>
          <w:i/>
        </w:rPr>
        <w:t>Efeito(s):</w:t>
      </w:r>
      <w:r w:rsidR="00553E68" w:rsidRPr="00553E68">
        <w:t xml:space="preserve"> </w:t>
      </w:r>
      <w:r w:rsidR="00553E68" w:rsidRPr="00D10A49">
        <w:t xml:space="preserve">a) Potencial pagamento </w:t>
      </w:r>
      <w:r w:rsidR="001B11FA">
        <w:t>indevido</w:t>
      </w:r>
      <w:r w:rsidR="00E7241F">
        <w:t>.</w:t>
      </w:r>
    </w:p>
    <w:p w:rsidR="00A537D2" w:rsidRPr="00354AED" w:rsidRDefault="00A537D2" w:rsidP="00FD55D3">
      <w:pPr>
        <w:pStyle w:val="ecxmsonormal"/>
        <w:rPr>
          <w:b/>
        </w:rPr>
      </w:pPr>
    </w:p>
    <w:p w:rsidR="00972EB9" w:rsidRPr="00032B9C" w:rsidRDefault="00F61F7B" w:rsidP="002A2AC1">
      <w:pPr>
        <w:jc w:val="both"/>
        <w:rPr>
          <w:b/>
          <w:sz w:val="24"/>
          <w:szCs w:val="24"/>
        </w:rPr>
      </w:pPr>
      <w:r w:rsidRPr="00032B9C">
        <w:rPr>
          <w:b/>
          <w:sz w:val="24"/>
          <w:szCs w:val="24"/>
        </w:rPr>
        <w:t>3</w:t>
      </w:r>
      <w:r w:rsidR="00A73DEF">
        <w:rPr>
          <w:b/>
          <w:sz w:val="24"/>
          <w:szCs w:val="24"/>
        </w:rPr>
        <w:t>.</w:t>
      </w:r>
      <w:r w:rsidR="009C1E05" w:rsidRPr="00032B9C">
        <w:rPr>
          <w:b/>
          <w:sz w:val="24"/>
          <w:szCs w:val="24"/>
        </w:rPr>
        <w:t xml:space="preserve"> </w:t>
      </w:r>
      <w:r w:rsidR="003A1453" w:rsidRPr="00032B9C">
        <w:rPr>
          <w:b/>
          <w:sz w:val="24"/>
          <w:szCs w:val="24"/>
        </w:rPr>
        <w:t>CONCLUSÃO</w:t>
      </w:r>
    </w:p>
    <w:p w:rsidR="00793BFC" w:rsidRPr="00032B9C" w:rsidRDefault="00793BFC" w:rsidP="002A2A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32B9C">
        <w:rPr>
          <w:rFonts w:eastAsiaTheme="minorHAnsi"/>
          <w:sz w:val="24"/>
          <w:szCs w:val="24"/>
          <w:lang w:eastAsia="en-US"/>
        </w:rPr>
        <w:t xml:space="preserve">3.1 A contratação de soluções de tecnologia da informação e comunicação tem se revelado atividade complexa e de extrema relevância, não apenas em decorrência do extenso marco regulatório existente sobre a matéria </w:t>
      </w:r>
      <w:r w:rsidR="00C0695E" w:rsidRPr="00106862">
        <w:rPr>
          <w:rFonts w:cs="Arial"/>
          <w:sz w:val="24"/>
          <w:szCs w:val="24"/>
        </w:rPr>
        <w:t>–</w:t>
      </w:r>
      <w:r w:rsidRPr="00032B9C">
        <w:rPr>
          <w:rFonts w:eastAsiaTheme="minorHAnsi"/>
          <w:sz w:val="24"/>
          <w:szCs w:val="24"/>
          <w:lang w:eastAsia="en-US"/>
        </w:rPr>
        <w:t xml:space="preserve"> Lei n</w:t>
      </w:r>
      <w:r w:rsidR="0084270C" w:rsidRPr="00032B9C">
        <w:rPr>
          <w:rFonts w:eastAsiaTheme="minorHAnsi"/>
          <w:sz w:val="24"/>
          <w:szCs w:val="24"/>
          <w:lang w:eastAsia="en-US"/>
        </w:rPr>
        <w:t>.</w:t>
      </w:r>
      <w:r w:rsidRPr="00032B9C">
        <w:rPr>
          <w:rFonts w:eastAsiaTheme="minorHAnsi"/>
          <w:sz w:val="24"/>
          <w:szCs w:val="24"/>
          <w:lang w:eastAsia="en-US"/>
        </w:rPr>
        <w:t xml:space="preserve"> 8.666/1993, Resolução CNJ n</w:t>
      </w:r>
      <w:r w:rsidR="0084270C" w:rsidRPr="00032B9C">
        <w:rPr>
          <w:rFonts w:eastAsiaTheme="minorHAnsi"/>
          <w:sz w:val="24"/>
          <w:szCs w:val="24"/>
          <w:lang w:eastAsia="en-US"/>
        </w:rPr>
        <w:t>.</w:t>
      </w:r>
      <w:r w:rsidRPr="00032B9C">
        <w:rPr>
          <w:rFonts w:eastAsiaTheme="minorHAnsi"/>
          <w:sz w:val="24"/>
          <w:szCs w:val="24"/>
          <w:lang w:eastAsia="en-US"/>
        </w:rPr>
        <w:t xml:space="preserve"> 182/2013, acórdãos do TCU etc. </w:t>
      </w:r>
      <w:r w:rsidR="00D1382A" w:rsidRPr="00106862">
        <w:rPr>
          <w:rFonts w:cs="Arial"/>
          <w:sz w:val="24"/>
          <w:szCs w:val="24"/>
        </w:rPr>
        <w:t>–</w:t>
      </w:r>
      <w:r w:rsidR="00EB744E">
        <w:rPr>
          <w:rFonts w:eastAsiaTheme="minorHAnsi"/>
          <w:sz w:val="24"/>
          <w:szCs w:val="24"/>
          <w:lang w:eastAsia="en-US"/>
        </w:rPr>
        <w:t xml:space="preserve"> </w:t>
      </w:r>
      <w:r w:rsidRPr="00032B9C">
        <w:rPr>
          <w:rFonts w:eastAsiaTheme="minorHAnsi"/>
          <w:sz w:val="24"/>
          <w:szCs w:val="24"/>
          <w:lang w:eastAsia="en-US"/>
        </w:rPr>
        <w:t>mas, sobretudo, pelos elevados custos envolvidos nessas aquisições, pela dinâmica da evolução dos equipamentos e das tecnologias empr</w:t>
      </w:r>
      <w:r w:rsidR="00C0695E">
        <w:rPr>
          <w:rFonts w:eastAsiaTheme="minorHAnsi"/>
          <w:sz w:val="24"/>
          <w:szCs w:val="24"/>
          <w:lang w:eastAsia="en-US"/>
        </w:rPr>
        <w:t xml:space="preserve">egadas, pela necessidade de mão de </w:t>
      </w:r>
      <w:r w:rsidRPr="00032B9C">
        <w:rPr>
          <w:rFonts w:eastAsiaTheme="minorHAnsi"/>
          <w:sz w:val="24"/>
          <w:szCs w:val="24"/>
          <w:lang w:eastAsia="en-US"/>
        </w:rPr>
        <w:t xml:space="preserve">obra qualificada para a criação, </w:t>
      </w:r>
      <w:proofErr w:type="gramStart"/>
      <w:r w:rsidRPr="00032B9C">
        <w:rPr>
          <w:rFonts w:eastAsiaTheme="minorHAnsi"/>
          <w:sz w:val="24"/>
          <w:szCs w:val="24"/>
          <w:lang w:eastAsia="en-US"/>
        </w:rPr>
        <w:t>implementação</w:t>
      </w:r>
      <w:proofErr w:type="gramEnd"/>
      <w:r w:rsidRPr="00032B9C">
        <w:rPr>
          <w:rFonts w:eastAsiaTheme="minorHAnsi"/>
          <w:sz w:val="24"/>
          <w:szCs w:val="24"/>
          <w:lang w:eastAsia="en-US"/>
        </w:rPr>
        <w:t xml:space="preserve">, manutenção e operação de </w:t>
      </w:r>
      <w:r w:rsidRPr="00590C3C">
        <w:rPr>
          <w:rFonts w:eastAsiaTheme="minorHAnsi"/>
          <w:i/>
          <w:sz w:val="24"/>
          <w:szCs w:val="24"/>
          <w:lang w:eastAsia="en-US"/>
        </w:rPr>
        <w:t>hardwares</w:t>
      </w:r>
      <w:r w:rsidRPr="00032B9C">
        <w:rPr>
          <w:rFonts w:eastAsiaTheme="minorHAnsi"/>
          <w:sz w:val="24"/>
          <w:szCs w:val="24"/>
          <w:lang w:eastAsia="en-US"/>
        </w:rPr>
        <w:t xml:space="preserve"> e/ou </w:t>
      </w:r>
      <w:r w:rsidRPr="00590C3C">
        <w:rPr>
          <w:rFonts w:eastAsiaTheme="minorHAnsi"/>
          <w:i/>
          <w:sz w:val="24"/>
          <w:szCs w:val="24"/>
          <w:lang w:eastAsia="en-US"/>
        </w:rPr>
        <w:t>softwares</w:t>
      </w:r>
      <w:r w:rsidRPr="00032B9C">
        <w:rPr>
          <w:rFonts w:eastAsiaTheme="minorHAnsi"/>
          <w:sz w:val="24"/>
          <w:szCs w:val="24"/>
          <w:lang w:eastAsia="en-US"/>
        </w:rPr>
        <w:t xml:space="preserve"> e, por fim, pela dependência crítica e vital dos órgãos públicos a esta realidade, situações estas que reivindicam elevados controles de governança, qualidade e segurança nas contratações dessa natureza.</w:t>
      </w:r>
    </w:p>
    <w:p w:rsidR="00793BFC" w:rsidRPr="002D6DE0" w:rsidRDefault="002D6DE0" w:rsidP="002A2A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</w:t>
      </w:r>
      <w:r w:rsidR="009E1E7A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O desembolso através dos cofres públicos para fazer </w:t>
      </w:r>
      <w:proofErr w:type="gramStart"/>
      <w:r w:rsidR="00793BFC" w:rsidRPr="002D6DE0">
        <w:rPr>
          <w:rFonts w:eastAsiaTheme="minorHAnsi"/>
          <w:sz w:val="24"/>
          <w:szCs w:val="24"/>
          <w:lang w:eastAsia="en-US"/>
        </w:rPr>
        <w:t>face a</w:t>
      </w:r>
      <w:proofErr w:type="gramEnd"/>
      <w:r w:rsidR="00793BFC" w:rsidRPr="002D6DE0">
        <w:rPr>
          <w:rFonts w:eastAsiaTheme="minorHAnsi"/>
          <w:sz w:val="24"/>
          <w:szCs w:val="24"/>
          <w:lang w:eastAsia="en-US"/>
        </w:rPr>
        <w:t xml:space="preserve"> aquisições dessa natureza tem sido foco de avaliação no tocante à conformidade com os normativos vigentes e à razoabilidade do volume de recursos dispendidos frente à qualidade e resultados esperados.</w:t>
      </w:r>
    </w:p>
    <w:p w:rsidR="00793BFC" w:rsidRDefault="002D6DE0" w:rsidP="002A2A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</w:t>
      </w:r>
      <w:r w:rsidR="009E1E7A">
        <w:rPr>
          <w:rFonts w:eastAsiaTheme="minorHAnsi"/>
          <w:sz w:val="24"/>
          <w:szCs w:val="24"/>
          <w:lang w:eastAsia="en-US"/>
        </w:rPr>
        <w:t>3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793BFC" w:rsidRPr="002D6DE0">
        <w:rPr>
          <w:rFonts w:eastAsiaTheme="minorHAnsi"/>
          <w:sz w:val="24"/>
          <w:szCs w:val="24"/>
          <w:lang w:eastAsia="en-US"/>
        </w:rPr>
        <w:t>Tal panorama reclama da Administração Pública atuação pautada nos princípios da legalidade, razoabilidade, impessoalidade, moralidade, publicidade e eficiência, resguardada, ainda, por</w:t>
      </w:r>
      <w:r w:rsidR="00793BFC" w:rsidRPr="00BA29E1">
        <w:rPr>
          <w:rFonts w:eastAsiaTheme="minorHAnsi"/>
          <w:color w:val="0070C0"/>
          <w:sz w:val="24"/>
          <w:szCs w:val="24"/>
          <w:lang w:eastAsia="en-US"/>
        </w:rPr>
        <w:t xml:space="preserve"> </w:t>
      </w:r>
      <w:r w:rsidR="00793BFC" w:rsidRPr="002D6DE0">
        <w:rPr>
          <w:rFonts w:eastAsiaTheme="minorHAnsi"/>
          <w:sz w:val="24"/>
          <w:szCs w:val="24"/>
          <w:lang w:eastAsia="en-US"/>
        </w:rPr>
        <w:t>mecanismos de controles internos e externos efetivamente garantidores da concretização dos objetivos organizacionais e, consequentemente, do interesse social.</w:t>
      </w:r>
    </w:p>
    <w:p w:rsidR="00876E23" w:rsidRPr="002D6DE0" w:rsidRDefault="00876E23" w:rsidP="002A2A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C21D8F" w:rsidRDefault="002D6DE0" w:rsidP="002A2A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D6DE0">
        <w:rPr>
          <w:rFonts w:eastAsiaTheme="minorHAnsi"/>
          <w:sz w:val="24"/>
          <w:szCs w:val="24"/>
          <w:lang w:eastAsia="en-US"/>
        </w:rPr>
        <w:lastRenderedPageBreak/>
        <w:t>3.</w:t>
      </w:r>
      <w:r w:rsidR="009E1E7A">
        <w:rPr>
          <w:rFonts w:eastAsiaTheme="minorHAnsi"/>
          <w:sz w:val="24"/>
          <w:szCs w:val="24"/>
          <w:lang w:eastAsia="en-US"/>
        </w:rPr>
        <w:t>4</w:t>
      </w:r>
      <w:r w:rsidRPr="002D6DE0">
        <w:rPr>
          <w:rFonts w:eastAsiaTheme="minorHAnsi"/>
          <w:sz w:val="24"/>
          <w:szCs w:val="24"/>
          <w:lang w:eastAsia="en-US"/>
        </w:rPr>
        <w:t xml:space="preserve"> 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Nesse sentido, analisadas as fontes de informações coletadas ao longo do presente procedimento de inspeção </w:t>
      </w:r>
      <w:r w:rsidR="00590C3C" w:rsidRPr="00032B9C">
        <w:rPr>
          <w:rFonts w:eastAsiaTheme="minorHAnsi"/>
          <w:sz w:val="24"/>
          <w:szCs w:val="24"/>
          <w:lang w:eastAsia="en-US"/>
        </w:rPr>
        <w:t xml:space="preserve">restaram respondidas as questões propostas </w:t>
      </w:r>
      <w:r w:rsidR="00590C3C">
        <w:rPr>
          <w:rFonts w:eastAsiaTheme="minorHAnsi"/>
          <w:sz w:val="24"/>
          <w:szCs w:val="24"/>
          <w:lang w:eastAsia="en-US"/>
        </w:rPr>
        <w:t>para execução da</w:t>
      </w:r>
      <w:r w:rsidR="00590C3C" w:rsidRPr="00032B9C">
        <w:rPr>
          <w:rFonts w:eastAsiaTheme="minorHAnsi"/>
          <w:sz w:val="24"/>
          <w:szCs w:val="24"/>
          <w:lang w:eastAsia="en-US"/>
        </w:rPr>
        <w:t xml:space="preserve"> </w:t>
      </w:r>
      <w:r w:rsidR="00590C3C">
        <w:rPr>
          <w:rFonts w:eastAsiaTheme="minorHAnsi"/>
          <w:sz w:val="24"/>
          <w:szCs w:val="24"/>
          <w:lang w:eastAsia="en-US"/>
        </w:rPr>
        <w:t>inspeção</w:t>
      </w:r>
      <w:r w:rsidR="00590C3C" w:rsidRPr="002D6DE0">
        <w:rPr>
          <w:rFonts w:eastAsiaTheme="minorHAnsi"/>
          <w:sz w:val="24"/>
          <w:szCs w:val="24"/>
          <w:lang w:eastAsia="en-US"/>
        </w:rPr>
        <w:t xml:space="preserve"> </w:t>
      </w:r>
      <w:r w:rsidR="00590C3C">
        <w:rPr>
          <w:rFonts w:eastAsiaTheme="minorHAnsi"/>
          <w:sz w:val="24"/>
          <w:szCs w:val="24"/>
          <w:lang w:eastAsia="en-US"/>
        </w:rPr>
        <w:t xml:space="preserve">e 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concluiu-se </w:t>
      </w:r>
      <w:r w:rsidR="00A533C7" w:rsidRPr="005C740B">
        <w:rPr>
          <w:rFonts w:eastAsiaTheme="minorHAnsi"/>
          <w:sz w:val="24"/>
          <w:szCs w:val="24"/>
          <w:lang w:eastAsia="en-US"/>
        </w:rPr>
        <w:t xml:space="preserve">que </w:t>
      </w:r>
      <w:r w:rsidR="000077DE" w:rsidRPr="005C740B">
        <w:rPr>
          <w:rFonts w:eastAsiaTheme="minorHAnsi"/>
          <w:sz w:val="24"/>
          <w:szCs w:val="24"/>
          <w:lang w:eastAsia="en-US"/>
        </w:rPr>
        <w:t>a</w:t>
      </w:r>
      <w:r w:rsidR="000077DE" w:rsidRPr="000077DE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="00A533C7">
        <w:rPr>
          <w:rFonts w:eastAsiaTheme="minorHAnsi"/>
          <w:sz w:val="24"/>
          <w:szCs w:val="24"/>
          <w:lang w:eastAsia="en-US"/>
        </w:rPr>
        <w:t xml:space="preserve">contratação </w:t>
      </w:r>
      <w:r w:rsidR="000F4E35">
        <w:rPr>
          <w:rFonts w:cs="Arial"/>
          <w:sz w:val="24"/>
          <w:szCs w:val="24"/>
        </w:rPr>
        <w:t>da solução de Tecnologia da Informação</w:t>
      </w:r>
      <w:r w:rsidR="000F4E35">
        <w:rPr>
          <w:rFonts w:eastAsiaTheme="minorHAnsi"/>
          <w:sz w:val="24"/>
          <w:szCs w:val="24"/>
          <w:lang w:eastAsia="en-US"/>
        </w:rPr>
        <w:t xml:space="preserve"> está alinhada </w:t>
      </w:r>
      <w:r w:rsidR="00577C29">
        <w:rPr>
          <w:rFonts w:eastAsiaTheme="minorHAnsi"/>
          <w:sz w:val="24"/>
          <w:szCs w:val="24"/>
          <w:lang w:eastAsia="en-US"/>
        </w:rPr>
        <w:t xml:space="preserve">às diretrizes estratégias </w:t>
      </w:r>
      <w:r w:rsidR="00577C29" w:rsidRPr="000077DE">
        <w:rPr>
          <w:rFonts w:eastAsiaTheme="minorHAnsi"/>
          <w:sz w:val="24"/>
          <w:szCs w:val="24"/>
          <w:lang w:eastAsia="en-US"/>
        </w:rPr>
        <w:t xml:space="preserve">da organização </w:t>
      </w:r>
      <w:r w:rsidR="00897A72" w:rsidRPr="00106862">
        <w:rPr>
          <w:rFonts w:cs="Arial"/>
          <w:sz w:val="24"/>
          <w:szCs w:val="24"/>
        </w:rPr>
        <w:t>–</w:t>
      </w:r>
      <w:r w:rsidR="00EB744E" w:rsidRPr="000077DE">
        <w:rPr>
          <w:rFonts w:eastAsiaTheme="minorHAnsi"/>
          <w:sz w:val="24"/>
          <w:szCs w:val="24"/>
          <w:lang w:eastAsia="en-US"/>
        </w:rPr>
        <w:t xml:space="preserve"> </w:t>
      </w:r>
      <w:r w:rsidR="00577C29" w:rsidRPr="000077DE">
        <w:rPr>
          <w:rFonts w:eastAsiaTheme="minorHAnsi"/>
          <w:sz w:val="24"/>
          <w:szCs w:val="24"/>
          <w:lang w:eastAsia="en-US"/>
        </w:rPr>
        <w:t>P</w:t>
      </w:r>
      <w:r w:rsidR="00A533C7" w:rsidRPr="000077DE">
        <w:rPr>
          <w:rFonts w:eastAsiaTheme="minorHAnsi"/>
          <w:sz w:val="24"/>
          <w:szCs w:val="24"/>
          <w:lang w:eastAsia="en-US"/>
        </w:rPr>
        <w:t>lanej</w:t>
      </w:r>
      <w:r w:rsidR="000F4E35" w:rsidRPr="000077DE">
        <w:rPr>
          <w:rFonts w:eastAsiaTheme="minorHAnsi"/>
          <w:sz w:val="24"/>
          <w:szCs w:val="24"/>
          <w:lang w:eastAsia="en-US"/>
        </w:rPr>
        <w:t>a</w:t>
      </w:r>
      <w:r w:rsidR="00A533C7" w:rsidRPr="000077DE">
        <w:rPr>
          <w:rFonts w:eastAsiaTheme="minorHAnsi"/>
          <w:sz w:val="24"/>
          <w:szCs w:val="24"/>
          <w:lang w:eastAsia="en-US"/>
        </w:rPr>
        <w:t>m</w:t>
      </w:r>
      <w:r w:rsidR="000F4E35" w:rsidRPr="000077DE">
        <w:rPr>
          <w:rFonts w:eastAsiaTheme="minorHAnsi"/>
          <w:sz w:val="24"/>
          <w:szCs w:val="24"/>
          <w:lang w:eastAsia="en-US"/>
        </w:rPr>
        <w:t>e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nto </w:t>
      </w:r>
      <w:r w:rsidR="000F4E35" w:rsidRPr="000077DE">
        <w:rPr>
          <w:rFonts w:eastAsiaTheme="minorHAnsi"/>
          <w:sz w:val="24"/>
          <w:szCs w:val="24"/>
          <w:lang w:eastAsia="en-US"/>
        </w:rPr>
        <w:t>E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stratégico </w:t>
      </w:r>
      <w:r w:rsidR="000F4E35" w:rsidRPr="000077DE">
        <w:rPr>
          <w:rFonts w:eastAsiaTheme="minorHAnsi"/>
          <w:sz w:val="24"/>
          <w:szCs w:val="24"/>
          <w:lang w:eastAsia="en-US"/>
        </w:rPr>
        <w:t>I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nstitucional </w:t>
      </w:r>
      <w:r w:rsidR="000F4E35" w:rsidRPr="000077DE">
        <w:rPr>
          <w:rFonts w:eastAsiaTheme="minorHAnsi"/>
          <w:sz w:val="24"/>
          <w:szCs w:val="24"/>
          <w:lang w:eastAsia="en-US"/>
        </w:rPr>
        <w:t>(PEI)</w:t>
      </w:r>
      <w:r w:rsidR="00577C29" w:rsidRPr="000077DE">
        <w:rPr>
          <w:rFonts w:eastAsiaTheme="minorHAnsi"/>
          <w:sz w:val="24"/>
          <w:szCs w:val="24"/>
          <w:lang w:eastAsia="en-US"/>
        </w:rPr>
        <w:t xml:space="preserve">, 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Plano </w:t>
      </w:r>
      <w:r w:rsidR="000F4E35" w:rsidRPr="000077DE">
        <w:rPr>
          <w:rFonts w:eastAsiaTheme="minorHAnsi"/>
          <w:sz w:val="24"/>
          <w:szCs w:val="24"/>
          <w:lang w:eastAsia="en-US"/>
        </w:rPr>
        <w:t xml:space="preserve">Anual 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de </w:t>
      </w:r>
      <w:r w:rsidR="000F4E35" w:rsidRPr="000077DE">
        <w:rPr>
          <w:rFonts w:eastAsiaTheme="minorHAnsi"/>
          <w:sz w:val="24"/>
          <w:szCs w:val="24"/>
          <w:lang w:eastAsia="en-US"/>
        </w:rPr>
        <w:t>C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ontratações </w:t>
      </w:r>
      <w:r w:rsidR="000F4E35" w:rsidRPr="000077DE">
        <w:rPr>
          <w:rFonts w:eastAsiaTheme="minorHAnsi"/>
          <w:sz w:val="24"/>
          <w:szCs w:val="24"/>
          <w:lang w:eastAsia="en-US"/>
        </w:rPr>
        <w:t>(PLANCONT)</w:t>
      </w:r>
      <w:r w:rsidR="005D24B3">
        <w:rPr>
          <w:rFonts w:eastAsiaTheme="minorHAnsi"/>
          <w:sz w:val="24"/>
          <w:szCs w:val="24"/>
          <w:lang w:eastAsia="en-US"/>
        </w:rPr>
        <w:t xml:space="preserve"> e</w:t>
      </w:r>
      <w:r w:rsidR="00577C29" w:rsidRPr="000077DE">
        <w:rPr>
          <w:rFonts w:eastAsiaTheme="minorHAnsi"/>
          <w:sz w:val="24"/>
          <w:szCs w:val="24"/>
          <w:lang w:eastAsia="en-US"/>
        </w:rPr>
        <w:t xml:space="preserve"> Plano de Contratação </w:t>
      </w:r>
      <w:r w:rsidR="00A533C7" w:rsidRPr="000077DE">
        <w:rPr>
          <w:rFonts w:eastAsiaTheme="minorHAnsi"/>
          <w:sz w:val="24"/>
          <w:szCs w:val="24"/>
          <w:lang w:eastAsia="en-US"/>
        </w:rPr>
        <w:t xml:space="preserve">de </w:t>
      </w:r>
      <w:r w:rsidR="00B52C63" w:rsidRPr="00B52C63">
        <w:rPr>
          <w:rFonts w:eastAsiaTheme="minorHAnsi"/>
          <w:sz w:val="24"/>
          <w:szCs w:val="24"/>
          <w:lang w:eastAsia="en-US"/>
        </w:rPr>
        <w:t>STIC (</w:t>
      </w:r>
      <w:r w:rsidR="00B52C63" w:rsidRPr="00B52C63">
        <w:rPr>
          <w:rFonts w:eastAsia="MS Mincho"/>
          <w:bCs/>
          <w:sz w:val="26"/>
          <w:szCs w:val="26"/>
        </w:rPr>
        <w:t>PCSTIC)</w:t>
      </w:r>
      <w:r w:rsidR="000F4E35" w:rsidRPr="000077DE">
        <w:rPr>
          <w:rFonts w:cs="Arial"/>
          <w:sz w:val="24"/>
          <w:szCs w:val="24"/>
        </w:rPr>
        <w:t>.</w:t>
      </w:r>
      <w:r w:rsidR="000F4E35" w:rsidRPr="000F4E35">
        <w:rPr>
          <w:rFonts w:cs="Arial"/>
          <w:sz w:val="24"/>
          <w:szCs w:val="24"/>
        </w:rPr>
        <w:t xml:space="preserve"> Verificou-se </w:t>
      </w:r>
      <w:r w:rsidR="006F01BB">
        <w:rPr>
          <w:rFonts w:cs="Arial"/>
          <w:sz w:val="24"/>
          <w:szCs w:val="24"/>
        </w:rPr>
        <w:t xml:space="preserve">que a contratação foi deficiente quanto ao </w:t>
      </w:r>
      <w:r w:rsidR="006F01BB" w:rsidRPr="005C740B">
        <w:rPr>
          <w:rFonts w:cs="Arial"/>
          <w:sz w:val="24"/>
          <w:szCs w:val="24"/>
        </w:rPr>
        <w:t>planejamento</w:t>
      </w:r>
      <w:r w:rsidR="000077DE" w:rsidRPr="005C740B">
        <w:rPr>
          <w:rFonts w:cs="Arial"/>
          <w:sz w:val="24"/>
          <w:szCs w:val="24"/>
        </w:rPr>
        <w:t>,</w:t>
      </w:r>
      <w:r w:rsidR="006F01BB" w:rsidRPr="005C740B">
        <w:rPr>
          <w:rFonts w:cs="Arial"/>
          <w:sz w:val="24"/>
          <w:szCs w:val="24"/>
        </w:rPr>
        <w:t xml:space="preserve"> tendo</w:t>
      </w:r>
      <w:r w:rsidR="006F01BB">
        <w:rPr>
          <w:rFonts w:cs="Arial"/>
          <w:sz w:val="24"/>
          <w:szCs w:val="24"/>
        </w:rPr>
        <w:t xml:space="preserve"> em vista a ine</w:t>
      </w:r>
      <w:r w:rsidR="00793BFC" w:rsidRPr="000F4E35">
        <w:rPr>
          <w:rFonts w:eastAsiaTheme="minorHAnsi"/>
          <w:sz w:val="24"/>
          <w:szCs w:val="24"/>
          <w:lang w:eastAsia="en-US"/>
        </w:rPr>
        <w:t>xistência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 </w:t>
      </w:r>
      <w:r w:rsidR="006F01BB">
        <w:rPr>
          <w:rFonts w:eastAsiaTheme="minorHAnsi"/>
          <w:sz w:val="24"/>
          <w:szCs w:val="24"/>
          <w:lang w:eastAsia="en-US"/>
        </w:rPr>
        <w:t xml:space="preserve">dos estudos técnicos </w:t>
      </w:r>
      <w:r w:rsidR="006F01BB" w:rsidRPr="005C740B">
        <w:rPr>
          <w:rFonts w:eastAsiaTheme="minorHAnsi"/>
          <w:sz w:val="24"/>
          <w:szCs w:val="24"/>
          <w:lang w:eastAsia="en-US"/>
        </w:rPr>
        <w:t>preliminares destinados</w:t>
      </w:r>
      <w:r w:rsidR="006F01BB" w:rsidRPr="00590C3C">
        <w:rPr>
          <w:rFonts w:eastAsiaTheme="minorHAnsi"/>
          <w:sz w:val="24"/>
          <w:szCs w:val="24"/>
          <w:lang w:eastAsia="en-US"/>
        </w:rPr>
        <w:t xml:space="preserve"> a avaliar viabilidade, sustentação, estratégia e riscos da aquisição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, que desaguou em aquisição açodada de solução de TIC através de adesão à </w:t>
      </w:r>
      <w:r w:rsidR="006F01BB">
        <w:rPr>
          <w:rFonts w:eastAsiaTheme="minorHAnsi"/>
          <w:sz w:val="24"/>
          <w:szCs w:val="24"/>
          <w:lang w:eastAsia="en-US"/>
        </w:rPr>
        <w:t>ata de registro de preços (ARP)</w:t>
      </w:r>
      <w:r w:rsidR="00EB744E">
        <w:rPr>
          <w:rFonts w:eastAsiaTheme="minorHAnsi"/>
          <w:sz w:val="24"/>
          <w:szCs w:val="24"/>
          <w:lang w:eastAsia="en-US"/>
        </w:rPr>
        <w:t>, que não atend</w:t>
      </w:r>
      <w:r w:rsidR="00FD7633">
        <w:rPr>
          <w:rFonts w:eastAsiaTheme="minorHAnsi"/>
          <w:sz w:val="24"/>
          <w:szCs w:val="24"/>
          <w:lang w:eastAsia="en-US"/>
        </w:rPr>
        <w:t>ia</w:t>
      </w:r>
      <w:r w:rsidR="00EB744E">
        <w:rPr>
          <w:rFonts w:eastAsiaTheme="minorHAnsi"/>
          <w:sz w:val="24"/>
          <w:szCs w:val="24"/>
          <w:lang w:eastAsia="en-US"/>
        </w:rPr>
        <w:t xml:space="preserve"> a demanda do Órgão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. </w:t>
      </w:r>
      <w:r w:rsidR="00590C3C">
        <w:rPr>
          <w:rFonts w:eastAsiaTheme="minorHAnsi"/>
          <w:sz w:val="24"/>
          <w:szCs w:val="24"/>
          <w:lang w:eastAsia="en-US"/>
        </w:rPr>
        <w:t>N</w:t>
      </w:r>
      <w:r w:rsidR="00590C3C" w:rsidRPr="002D6DE0">
        <w:rPr>
          <w:rFonts w:eastAsiaTheme="minorHAnsi"/>
          <w:sz w:val="24"/>
          <w:szCs w:val="24"/>
          <w:lang w:eastAsia="en-US"/>
        </w:rPr>
        <w:t>a fase da execução do contrato</w:t>
      </w:r>
      <w:r w:rsidR="00793BFC" w:rsidRPr="002D6DE0">
        <w:rPr>
          <w:rFonts w:eastAsiaTheme="minorHAnsi"/>
          <w:sz w:val="24"/>
          <w:szCs w:val="24"/>
          <w:lang w:eastAsia="en-US"/>
        </w:rPr>
        <w:t>, foram constatadas falhas de natureza procedimental</w:t>
      </w:r>
      <w:r w:rsidR="00EB744E">
        <w:rPr>
          <w:rFonts w:eastAsiaTheme="minorHAnsi"/>
          <w:sz w:val="24"/>
          <w:szCs w:val="24"/>
          <w:lang w:eastAsia="en-US"/>
        </w:rPr>
        <w:t>,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 gerencia</w:t>
      </w:r>
      <w:r w:rsidR="00A533C7">
        <w:rPr>
          <w:rFonts w:eastAsiaTheme="minorHAnsi"/>
          <w:sz w:val="24"/>
          <w:szCs w:val="24"/>
          <w:lang w:eastAsia="en-US"/>
        </w:rPr>
        <w:t>l</w:t>
      </w:r>
      <w:r w:rsidR="00EB744E">
        <w:rPr>
          <w:rFonts w:eastAsiaTheme="minorHAnsi"/>
          <w:sz w:val="24"/>
          <w:szCs w:val="24"/>
          <w:lang w:eastAsia="en-US"/>
        </w:rPr>
        <w:t xml:space="preserve"> e</w:t>
      </w:r>
      <w:r w:rsidR="00A533C7">
        <w:rPr>
          <w:rFonts w:eastAsiaTheme="minorHAnsi"/>
          <w:sz w:val="24"/>
          <w:szCs w:val="24"/>
          <w:lang w:eastAsia="en-US"/>
        </w:rPr>
        <w:t xml:space="preserve">, fiscalizatória, tais como </w:t>
      </w:r>
      <w:proofErr w:type="gramStart"/>
      <w:r w:rsidR="00A533C7">
        <w:rPr>
          <w:rFonts w:eastAsiaTheme="minorHAnsi"/>
          <w:sz w:val="24"/>
          <w:szCs w:val="24"/>
          <w:lang w:eastAsia="en-US"/>
        </w:rPr>
        <w:t>de</w:t>
      </w:r>
      <w:r w:rsidR="000F4E35">
        <w:rPr>
          <w:rFonts w:eastAsiaTheme="minorHAnsi"/>
          <w:sz w:val="24"/>
          <w:szCs w:val="24"/>
          <w:lang w:eastAsia="en-US"/>
        </w:rPr>
        <w:t>s</w:t>
      </w:r>
      <w:r w:rsidR="00A533C7">
        <w:rPr>
          <w:rFonts w:eastAsiaTheme="minorHAnsi"/>
          <w:sz w:val="24"/>
          <w:szCs w:val="24"/>
          <w:lang w:eastAsia="en-US"/>
        </w:rPr>
        <w:t>cumprimento de regra prevista</w:t>
      </w:r>
      <w:proofErr w:type="gramEnd"/>
      <w:r w:rsidR="00A533C7">
        <w:rPr>
          <w:rFonts w:eastAsiaTheme="minorHAnsi"/>
          <w:sz w:val="24"/>
          <w:szCs w:val="24"/>
          <w:lang w:eastAsia="en-US"/>
        </w:rPr>
        <w:t xml:space="preserve"> para pagamento no contrato</w:t>
      </w:r>
      <w:r w:rsidR="00F929D0">
        <w:rPr>
          <w:rFonts w:eastAsiaTheme="minorHAnsi"/>
          <w:sz w:val="24"/>
          <w:szCs w:val="24"/>
          <w:lang w:eastAsia="en-US"/>
        </w:rPr>
        <w:t xml:space="preserve">, </w:t>
      </w:r>
      <w:r w:rsidR="00C21D8F">
        <w:rPr>
          <w:rFonts w:eastAsiaTheme="minorHAnsi"/>
          <w:sz w:val="24"/>
          <w:szCs w:val="24"/>
          <w:lang w:eastAsia="en-US"/>
        </w:rPr>
        <w:t xml:space="preserve">prática de </w:t>
      </w:r>
      <w:r w:rsidR="00F929D0" w:rsidRPr="00F929D0">
        <w:rPr>
          <w:rFonts w:eastAsiaTheme="minorHAnsi"/>
          <w:sz w:val="24"/>
          <w:szCs w:val="24"/>
          <w:lang w:eastAsia="en-US"/>
        </w:rPr>
        <w:t xml:space="preserve">atos pertinentes à fiscalização da contratação por servidores </w:t>
      </w:r>
      <w:r w:rsidR="00C21D8F">
        <w:rPr>
          <w:rFonts w:eastAsiaTheme="minorHAnsi"/>
          <w:sz w:val="24"/>
          <w:szCs w:val="24"/>
          <w:lang w:eastAsia="en-US"/>
        </w:rPr>
        <w:t xml:space="preserve">que </w:t>
      </w:r>
      <w:r w:rsidR="00F929D0">
        <w:rPr>
          <w:rFonts w:eastAsiaTheme="minorHAnsi"/>
          <w:sz w:val="24"/>
          <w:szCs w:val="24"/>
          <w:lang w:eastAsia="en-US"/>
        </w:rPr>
        <w:t xml:space="preserve">não constam dos nomes </w:t>
      </w:r>
      <w:r w:rsidR="00F929D0" w:rsidRPr="00F929D0">
        <w:rPr>
          <w:rFonts w:eastAsiaTheme="minorHAnsi"/>
          <w:sz w:val="24"/>
          <w:szCs w:val="24"/>
          <w:lang w:eastAsia="en-US"/>
        </w:rPr>
        <w:t xml:space="preserve">designados formalmente e, </w:t>
      </w:r>
      <w:r w:rsidR="00C21D8F">
        <w:rPr>
          <w:rFonts w:eastAsiaTheme="minorHAnsi"/>
          <w:sz w:val="24"/>
          <w:szCs w:val="24"/>
          <w:lang w:eastAsia="en-US"/>
        </w:rPr>
        <w:t>a ausência da materialização d</w:t>
      </w:r>
      <w:r w:rsidR="00F929D0" w:rsidRPr="00F929D0">
        <w:rPr>
          <w:rFonts w:eastAsiaTheme="minorHAnsi"/>
          <w:sz w:val="24"/>
          <w:szCs w:val="24"/>
          <w:lang w:eastAsia="en-US"/>
        </w:rPr>
        <w:t xml:space="preserve">o objetivo da contratação </w:t>
      </w:r>
      <w:r w:rsidR="00C21D8F">
        <w:rPr>
          <w:rFonts w:eastAsiaTheme="minorHAnsi"/>
          <w:sz w:val="24"/>
          <w:szCs w:val="24"/>
          <w:lang w:eastAsia="en-US"/>
        </w:rPr>
        <w:t>por inoperância do data center.</w:t>
      </w:r>
    </w:p>
    <w:p w:rsidR="00DC06C0" w:rsidRPr="002D6DE0" w:rsidRDefault="00EB744E" w:rsidP="00DC06C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3.5 </w:t>
      </w:r>
      <w:r w:rsidR="00DC06C0">
        <w:rPr>
          <w:rFonts w:eastAsiaTheme="minorHAnsi"/>
          <w:sz w:val="24"/>
          <w:szCs w:val="24"/>
          <w:lang w:eastAsia="en-US"/>
        </w:rPr>
        <w:t xml:space="preserve">Do exposto, constata-se </w:t>
      </w:r>
      <w:r w:rsidR="00DC06C0" w:rsidRPr="002D6DE0">
        <w:rPr>
          <w:rFonts w:eastAsiaTheme="minorHAnsi"/>
          <w:sz w:val="24"/>
          <w:szCs w:val="24"/>
          <w:lang w:eastAsia="en-US"/>
        </w:rPr>
        <w:t>que os meca</w:t>
      </w:r>
      <w:r w:rsidR="005C740B">
        <w:rPr>
          <w:rFonts w:eastAsiaTheme="minorHAnsi"/>
          <w:sz w:val="24"/>
          <w:szCs w:val="24"/>
          <w:lang w:eastAsia="en-US"/>
        </w:rPr>
        <w:t>n</w:t>
      </w:r>
      <w:r w:rsidR="00DC06C0" w:rsidRPr="002D6DE0">
        <w:rPr>
          <w:rFonts w:eastAsiaTheme="minorHAnsi"/>
          <w:sz w:val="24"/>
          <w:szCs w:val="24"/>
          <w:lang w:eastAsia="en-US"/>
        </w:rPr>
        <w:t xml:space="preserve">ismos de controle interno mantidos pela organização com vistas a mitigar riscos à concretização </w:t>
      </w:r>
      <w:r w:rsidR="00FD7633">
        <w:rPr>
          <w:rFonts w:eastAsiaTheme="minorHAnsi"/>
          <w:sz w:val="24"/>
          <w:szCs w:val="24"/>
          <w:lang w:eastAsia="en-US"/>
        </w:rPr>
        <w:t>dos objetivos</w:t>
      </w:r>
      <w:r w:rsidR="00DC06C0" w:rsidRPr="002D6DE0">
        <w:rPr>
          <w:rFonts w:eastAsiaTheme="minorHAnsi"/>
          <w:sz w:val="24"/>
          <w:szCs w:val="24"/>
          <w:lang w:eastAsia="en-US"/>
        </w:rPr>
        <w:t xml:space="preserve"> do órgão necessitam ser reavaliados</w:t>
      </w:r>
      <w:r w:rsidR="00A537D2">
        <w:rPr>
          <w:rFonts w:eastAsiaTheme="minorHAnsi"/>
          <w:sz w:val="24"/>
          <w:szCs w:val="24"/>
          <w:lang w:eastAsia="en-US"/>
        </w:rPr>
        <w:t>, aperfeiçoados</w:t>
      </w:r>
      <w:r w:rsidR="00DC06C0" w:rsidRPr="002D6DE0">
        <w:rPr>
          <w:rFonts w:eastAsiaTheme="minorHAnsi"/>
          <w:sz w:val="24"/>
          <w:szCs w:val="24"/>
          <w:lang w:eastAsia="en-US"/>
        </w:rPr>
        <w:t xml:space="preserve"> e</w:t>
      </w:r>
      <w:r w:rsidR="00DC06C0">
        <w:rPr>
          <w:rFonts w:eastAsiaTheme="minorHAnsi"/>
          <w:sz w:val="24"/>
          <w:szCs w:val="24"/>
          <w:lang w:eastAsia="en-US"/>
        </w:rPr>
        <w:t>/ou</w:t>
      </w:r>
      <w:r w:rsidR="00DC06C0" w:rsidRPr="002D6DE0">
        <w:rPr>
          <w:rFonts w:eastAsiaTheme="minorHAnsi"/>
          <w:sz w:val="24"/>
          <w:szCs w:val="24"/>
          <w:lang w:eastAsia="en-US"/>
        </w:rPr>
        <w:t xml:space="preserve"> efetivamente </w:t>
      </w:r>
      <w:proofErr w:type="gramStart"/>
      <w:r w:rsidR="00DC06C0" w:rsidRPr="002D6DE0">
        <w:rPr>
          <w:rFonts w:eastAsiaTheme="minorHAnsi"/>
          <w:sz w:val="24"/>
          <w:szCs w:val="24"/>
          <w:lang w:eastAsia="en-US"/>
        </w:rPr>
        <w:t>implementados</w:t>
      </w:r>
      <w:proofErr w:type="gramEnd"/>
      <w:r w:rsidR="00DC06C0" w:rsidRPr="002D6DE0">
        <w:rPr>
          <w:rFonts w:eastAsiaTheme="minorHAnsi"/>
          <w:sz w:val="24"/>
          <w:szCs w:val="24"/>
          <w:lang w:eastAsia="en-US"/>
        </w:rPr>
        <w:t>.</w:t>
      </w:r>
    </w:p>
    <w:p w:rsidR="00C21D8F" w:rsidRPr="00C21D8F" w:rsidRDefault="009B1310" w:rsidP="00C21D8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C21D8F" w:rsidRPr="00C21D8F">
        <w:rPr>
          <w:rFonts w:eastAsiaTheme="minorHAnsi"/>
          <w:sz w:val="24"/>
          <w:szCs w:val="24"/>
          <w:lang w:eastAsia="en-US"/>
        </w:rPr>
        <w:t>.</w:t>
      </w:r>
      <w:r w:rsidR="00EB744E">
        <w:rPr>
          <w:rFonts w:eastAsiaTheme="minorHAnsi"/>
          <w:sz w:val="24"/>
          <w:szCs w:val="24"/>
          <w:lang w:eastAsia="en-US"/>
        </w:rPr>
        <w:t>6</w:t>
      </w:r>
      <w:r w:rsidR="00C21D8F" w:rsidRPr="00C21D8F">
        <w:rPr>
          <w:rFonts w:eastAsiaTheme="minorHAnsi"/>
          <w:sz w:val="24"/>
          <w:szCs w:val="24"/>
          <w:lang w:eastAsia="en-US"/>
        </w:rPr>
        <w:t xml:space="preserve"> </w:t>
      </w:r>
      <w:r w:rsidR="00C21D8F">
        <w:rPr>
          <w:rFonts w:eastAsiaTheme="minorHAnsi"/>
          <w:sz w:val="24"/>
          <w:szCs w:val="24"/>
          <w:lang w:eastAsia="en-US"/>
        </w:rPr>
        <w:t>Registre-se que e</w:t>
      </w:r>
      <w:r w:rsidR="00C21D8F" w:rsidRPr="00C21D8F">
        <w:rPr>
          <w:rFonts w:eastAsiaTheme="minorHAnsi"/>
          <w:sz w:val="24"/>
          <w:szCs w:val="24"/>
          <w:lang w:eastAsia="en-US"/>
        </w:rPr>
        <w:t xml:space="preserve">m razão da criticidade e complexidade </w:t>
      </w:r>
      <w:r w:rsidR="00C21D8F">
        <w:rPr>
          <w:rFonts w:eastAsiaTheme="minorHAnsi"/>
          <w:sz w:val="24"/>
          <w:szCs w:val="24"/>
          <w:lang w:eastAsia="en-US"/>
        </w:rPr>
        <w:t xml:space="preserve">da solução contratada </w:t>
      </w:r>
      <w:r w:rsidR="00C21D8F" w:rsidRPr="00C21D8F">
        <w:rPr>
          <w:rFonts w:eastAsiaTheme="minorHAnsi"/>
          <w:sz w:val="24"/>
          <w:szCs w:val="24"/>
          <w:lang w:eastAsia="en-US"/>
        </w:rPr>
        <w:t>os serviços</w:t>
      </w:r>
      <w:r w:rsidR="00E43D5F">
        <w:rPr>
          <w:rFonts w:eastAsiaTheme="minorHAnsi"/>
          <w:sz w:val="24"/>
          <w:szCs w:val="24"/>
          <w:lang w:eastAsia="en-US"/>
        </w:rPr>
        <w:t xml:space="preserve"> de manutenção </w:t>
      </w:r>
      <w:r>
        <w:rPr>
          <w:rFonts w:eastAsiaTheme="minorHAnsi"/>
          <w:sz w:val="24"/>
          <w:szCs w:val="24"/>
          <w:lang w:eastAsia="en-US"/>
        </w:rPr>
        <w:t>contratados</w:t>
      </w:r>
      <w:r w:rsidR="00E43D5F">
        <w:rPr>
          <w:rFonts w:eastAsiaTheme="minorHAnsi"/>
          <w:sz w:val="24"/>
          <w:szCs w:val="24"/>
          <w:lang w:eastAsia="en-US"/>
        </w:rPr>
        <w:t xml:space="preserve"> tornaram</w:t>
      </w:r>
      <w:r w:rsidR="00C21D8F" w:rsidRPr="00C21D8F">
        <w:rPr>
          <w:rFonts w:eastAsiaTheme="minorHAnsi"/>
          <w:sz w:val="24"/>
          <w:szCs w:val="24"/>
          <w:lang w:eastAsia="en-US"/>
        </w:rPr>
        <w:t>-se necessári</w:t>
      </w:r>
      <w:r w:rsidR="00E43D5F">
        <w:rPr>
          <w:rFonts w:eastAsiaTheme="minorHAnsi"/>
          <w:sz w:val="24"/>
          <w:szCs w:val="24"/>
          <w:lang w:eastAsia="en-US"/>
        </w:rPr>
        <w:t>os</w:t>
      </w:r>
      <w:r w:rsidR="00C21D8F">
        <w:rPr>
          <w:rFonts w:eastAsiaTheme="minorHAnsi"/>
          <w:sz w:val="24"/>
          <w:szCs w:val="24"/>
          <w:lang w:eastAsia="en-US"/>
        </w:rPr>
        <w:t xml:space="preserve"> e </w:t>
      </w:r>
      <w:r w:rsidR="00E43D5F">
        <w:rPr>
          <w:rFonts w:eastAsiaTheme="minorHAnsi"/>
          <w:sz w:val="24"/>
          <w:szCs w:val="24"/>
          <w:lang w:eastAsia="en-US"/>
        </w:rPr>
        <w:t xml:space="preserve">oportunos </w:t>
      </w:r>
      <w:r w:rsidR="00C21D8F">
        <w:rPr>
          <w:rFonts w:eastAsiaTheme="minorHAnsi"/>
          <w:sz w:val="24"/>
          <w:szCs w:val="24"/>
          <w:lang w:eastAsia="en-US"/>
        </w:rPr>
        <w:t xml:space="preserve">para garantir </w:t>
      </w:r>
      <w:r>
        <w:rPr>
          <w:rFonts w:eastAsiaTheme="minorHAnsi"/>
          <w:sz w:val="24"/>
          <w:szCs w:val="24"/>
          <w:lang w:eastAsia="en-US"/>
        </w:rPr>
        <w:t xml:space="preserve">a disponibilidade da função específica dos equipamentos e instalações visando </w:t>
      </w:r>
      <w:proofErr w:type="gramStart"/>
      <w:r w:rsidR="00E43D5F">
        <w:rPr>
          <w:rFonts w:eastAsiaTheme="minorHAnsi"/>
          <w:sz w:val="24"/>
          <w:szCs w:val="24"/>
          <w:lang w:eastAsia="en-US"/>
        </w:rPr>
        <w:t>a</w:t>
      </w:r>
      <w:proofErr w:type="gramEnd"/>
      <w:r w:rsidR="00E43D5F">
        <w:rPr>
          <w:rFonts w:eastAsiaTheme="minorHAnsi"/>
          <w:sz w:val="24"/>
          <w:szCs w:val="24"/>
          <w:lang w:eastAsia="en-US"/>
        </w:rPr>
        <w:t xml:space="preserve"> continuidade da solução após sua implantação e consequente atendimento do real objetivo da contratação. Até porque a </w:t>
      </w:r>
      <w:r w:rsidR="00C21D8F" w:rsidRPr="00C21D8F">
        <w:rPr>
          <w:rFonts w:eastAsiaTheme="minorHAnsi"/>
          <w:sz w:val="24"/>
          <w:szCs w:val="24"/>
          <w:lang w:eastAsia="en-US"/>
        </w:rPr>
        <w:t xml:space="preserve">implantação </w:t>
      </w:r>
      <w:r w:rsidR="001E0935">
        <w:rPr>
          <w:rFonts w:eastAsiaTheme="minorHAnsi"/>
          <w:sz w:val="24"/>
          <w:szCs w:val="24"/>
          <w:lang w:eastAsia="en-US"/>
        </w:rPr>
        <w:t>da</w:t>
      </w:r>
      <w:r w:rsidR="00C21D8F" w:rsidRPr="00C21D8F">
        <w:rPr>
          <w:rFonts w:eastAsiaTheme="minorHAnsi"/>
          <w:sz w:val="24"/>
          <w:szCs w:val="24"/>
          <w:lang w:eastAsia="en-US"/>
        </w:rPr>
        <w:t xml:space="preserve"> solução </w:t>
      </w:r>
      <w:r w:rsidR="001E0935">
        <w:rPr>
          <w:rFonts w:eastAsiaTheme="minorHAnsi"/>
          <w:sz w:val="24"/>
          <w:szCs w:val="24"/>
          <w:lang w:eastAsia="en-US"/>
        </w:rPr>
        <w:t xml:space="preserve">irá </w:t>
      </w:r>
      <w:r w:rsidR="00C21D8F" w:rsidRPr="00C21D8F">
        <w:rPr>
          <w:rFonts w:eastAsiaTheme="minorHAnsi"/>
          <w:sz w:val="24"/>
          <w:szCs w:val="24"/>
          <w:lang w:eastAsia="en-US"/>
        </w:rPr>
        <w:t xml:space="preserve">propiciar um ambiente tecnológico seguro, para </w:t>
      </w:r>
      <w:r w:rsidR="001E0935">
        <w:rPr>
          <w:rFonts w:eastAsiaTheme="minorHAnsi"/>
          <w:sz w:val="24"/>
          <w:szCs w:val="24"/>
          <w:lang w:eastAsia="en-US"/>
        </w:rPr>
        <w:t>mitigar os riscos de</w:t>
      </w:r>
      <w:r w:rsidR="00C21D8F" w:rsidRPr="00C21D8F">
        <w:rPr>
          <w:rFonts w:eastAsiaTheme="minorHAnsi"/>
          <w:sz w:val="24"/>
          <w:szCs w:val="24"/>
          <w:lang w:eastAsia="en-US"/>
        </w:rPr>
        <w:t xml:space="preserve"> perda de dados importantes e/ou a paralisação de serviços computacionais</w:t>
      </w:r>
      <w:r w:rsidR="001E0935">
        <w:rPr>
          <w:rFonts w:eastAsiaTheme="minorHAnsi"/>
          <w:sz w:val="24"/>
          <w:szCs w:val="24"/>
          <w:lang w:eastAsia="en-US"/>
        </w:rPr>
        <w:t xml:space="preserve"> do Órgão</w:t>
      </w:r>
      <w:r w:rsidR="00C21D8F" w:rsidRPr="00C21D8F">
        <w:rPr>
          <w:rFonts w:eastAsiaTheme="minorHAnsi"/>
          <w:sz w:val="24"/>
          <w:szCs w:val="24"/>
          <w:lang w:eastAsia="en-US"/>
        </w:rPr>
        <w:t>.</w:t>
      </w:r>
    </w:p>
    <w:p w:rsidR="00EB744E" w:rsidRPr="0078590C" w:rsidRDefault="00EB744E" w:rsidP="00EB744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</w:t>
      </w:r>
      <w:r w:rsidR="00154DBA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sz w:val="24"/>
          <w:szCs w:val="24"/>
          <w:lang w:eastAsia="en-US"/>
        </w:rPr>
        <w:t>Ressalte-se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que</w:t>
      </w:r>
      <w:r w:rsidR="00154DBA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154DBA">
        <w:rPr>
          <w:rFonts w:eastAsiaTheme="minorHAnsi"/>
          <w:sz w:val="24"/>
          <w:szCs w:val="24"/>
          <w:lang w:eastAsia="en-US"/>
        </w:rPr>
        <w:t xml:space="preserve">da execução dos trabalhos de inspeção realizados, </w:t>
      </w:r>
      <w:r>
        <w:rPr>
          <w:rFonts w:eastAsiaTheme="minorHAnsi"/>
          <w:sz w:val="24"/>
          <w:szCs w:val="24"/>
          <w:lang w:eastAsia="en-US"/>
        </w:rPr>
        <w:t xml:space="preserve">evidenciou-se a ocorrência de acidentes relativos ao banco de dados deste Tribunal registrados pela COINFRA no </w:t>
      </w:r>
      <w:r w:rsidRPr="0078590C">
        <w:rPr>
          <w:bCs/>
          <w:sz w:val="24"/>
          <w:szCs w:val="24"/>
        </w:rPr>
        <w:t>Memorando n</w:t>
      </w:r>
      <w:r>
        <w:rPr>
          <w:bCs/>
          <w:sz w:val="24"/>
          <w:szCs w:val="24"/>
        </w:rPr>
        <w:t>.</w:t>
      </w:r>
      <w:r w:rsidRPr="0078590C">
        <w:rPr>
          <w:bCs/>
          <w:sz w:val="24"/>
          <w:szCs w:val="24"/>
        </w:rPr>
        <w:t xml:space="preserve"> 1</w:t>
      </w:r>
      <w:r>
        <w:rPr>
          <w:bCs/>
          <w:sz w:val="24"/>
          <w:szCs w:val="24"/>
        </w:rPr>
        <w:t>/</w:t>
      </w:r>
      <w:r w:rsidRPr="0078590C">
        <w:rPr>
          <w:bCs/>
          <w:sz w:val="24"/>
          <w:szCs w:val="24"/>
        </w:rPr>
        <w:t xml:space="preserve">COINFRA </w:t>
      </w:r>
      <w:r>
        <w:rPr>
          <w:bCs/>
          <w:sz w:val="24"/>
          <w:szCs w:val="24"/>
        </w:rPr>
        <w:t>(</w:t>
      </w:r>
      <w:r w:rsidRPr="0078590C">
        <w:rPr>
          <w:bCs/>
          <w:sz w:val="24"/>
          <w:szCs w:val="24"/>
        </w:rPr>
        <w:t>Doc. PAD n</w:t>
      </w:r>
      <w:r>
        <w:rPr>
          <w:bCs/>
          <w:sz w:val="24"/>
          <w:szCs w:val="24"/>
        </w:rPr>
        <w:t xml:space="preserve">. </w:t>
      </w:r>
      <w:r w:rsidRPr="0078590C">
        <w:rPr>
          <w:bCs/>
          <w:sz w:val="24"/>
          <w:szCs w:val="24"/>
        </w:rPr>
        <w:t>21.743/2016</w:t>
      </w:r>
      <w:r w:rsidR="00C0695E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e pelos fiscais do contrato nas entrevistas realizadas em razão de recorrentes falhas elétricas no Edifício-sede do Tribunal</w:t>
      </w:r>
      <w:r w:rsidR="00A537D2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537D2">
        <w:rPr>
          <w:rFonts w:eastAsiaTheme="minorHAnsi"/>
          <w:sz w:val="24"/>
          <w:szCs w:val="24"/>
          <w:lang w:eastAsia="en-US"/>
        </w:rPr>
        <w:t>que implic</w:t>
      </w:r>
      <w:r w:rsidR="00D1382A" w:rsidRPr="00A537D2">
        <w:rPr>
          <w:rFonts w:eastAsiaTheme="minorHAnsi"/>
          <w:sz w:val="24"/>
          <w:szCs w:val="24"/>
          <w:lang w:eastAsia="en-US"/>
        </w:rPr>
        <w:t>aram em</w:t>
      </w:r>
      <w:r w:rsidRPr="00A537D2">
        <w:rPr>
          <w:rFonts w:eastAsiaTheme="minorHAnsi"/>
          <w:sz w:val="24"/>
          <w:szCs w:val="24"/>
          <w:lang w:eastAsia="en-US"/>
        </w:rPr>
        <w:t xml:space="preserve"> danos aos equipamentos.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DC06C0" w:rsidRPr="00DC06C0" w:rsidRDefault="00154DBA" w:rsidP="00DC06C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3.8 Registre-se, ainda, </w:t>
      </w:r>
      <w:r w:rsidRPr="00AE5620">
        <w:rPr>
          <w:rFonts w:eastAsiaTheme="minorHAnsi"/>
          <w:sz w:val="24"/>
          <w:szCs w:val="24"/>
          <w:lang w:eastAsia="en-US"/>
        </w:rPr>
        <w:t>que</w:t>
      </w:r>
      <w:r w:rsidR="00DC06C0" w:rsidRPr="00AE5620">
        <w:rPr>
          <w:rFonts w:eastAsiaTheme="minorHAnsi"/>
          <w:sz w:val="24"/>
          <w:szCs w:val="24"/>
          <w:lang w:eastAsia="en-US"/>
        </w:rPr>
        <w:t xml:space="preserve"> </w:t>
      </w:r>
      <w:r w:rsidR="008A0B6A" w:rsidRPr="00AE5620">
        <w:rPr>
          <w:rFonts w:eastAsiaTheme="minorHAnsi"/>
          <w:sz w:val="24"/>
          <w:szCs w:val="24"/>
          <w:lang w:eastAsia="en-US"/>
        </w:rPr>
        <w:t xml:space="preserve">a </w:t>
      </w:r>
      <w:r w:rsidR="00DC06C0" w:rsidRPr="00AE5620">
        <w:rPr>
          <w:rFonts w:eastAsiaTheme="minorHAnsi"/>
          <w:sz w:val="24"/>
          <w:szCs w:val="24"/>
          <w:lang w:eastAsia="en-US"/>
        </w:rPr>
        <w:t>empresa</w:t>
      </w:r>
      <w:r w:rsidR="00DC06C0">
        <w:rPr>
          <w:rFonts w:eastAsiaTheme="minorHAnsi"/>
          <w:sz w:val="24"/>
          <w:szCs w:val="24"/>
          <w:lang w:eastAsia="en-US"/>
        </w:rPr>
        <w:t xml:space="preserve"> contratada </w:t>
      </w:r>
      <w:r w:rsidR="00DC06C0" w:rsidRPr="00DC06C0">
        <w:rPr>
          <w:rFonts w:eastAsiaTheme="minorHAnsi"/>
          <w:sz w:val="24"/>
          <w:szCs w:val="24"/>
          <w:lang w:eastAsia="en-US"/>
        </w:rPr>
        <w:t xml:space="preserve">ACECO TI </w:t>
      </w:r>
      <w:r w:rsidR="00DC06C0">
        <w:rPr>
          <w:rFonts w:eastAsiaTheme="minorHAnsi"/>
          <w:sz w:val="24"/>
          <w:szCs w:val="24"/>
          <w:lang w:eastAsia="en-US"/>
        </w:rPr>
        <w:t xml:space="preserve">promoveu </w:t>
      </w:r>
      <w:r w:rsidR="00DC06C0" w:rsidRPr="00DC06C0">
        <w:rPr>
          <w:rFonts w:eastAsiaTheme="minorHAnsi"/>
          <w:sz w:val="24"/>
          <w:szCs w:val="24"/>
          <w:lang w:eastAsia="en-US"/>
        </w:rPr>
        <w:t xml:space="preserve">a disponibilização de um gerador </w:t>
      </w:r>
      <w:r w:rsidR="00DC06C0">
        <w:rPr>
          <w:rFonts w:eastAsiaTheme="minorHAnsi"/>
          <w:sz w:val="24"/>
          <w:szCs w:val="24"/>
          <w:lang w:eastAsia="en-US"/>
        </w:rPr>
        <w:t>para</w:t>
      </w:r>
      <w:r w:rsidR="00DC06C0" w:rsidRPr="00DC06C0">
        <w:rPr>
          <w:rFonts w:eastAsiaTheme="minorHAnsi"/>
          <w:sz w:val="24"/>
          <w:szCs w:val="24"/>
          <w:lang w:eastAsia="en-US"/>
        </w:rPr>
        <w:t xml:space="preserve"> a realização de testes funcionais de todo o sistema CDC, até a sua definitiva instalação pelo Tribunal, </w:t>
      </w:r>
      <w:r w:rsidR="00DC06C0">
        <w:rPr>
          <w:rFonts w:eastAsiaTheme="minorHAnsi"/>
          <w:sz w:val="24"/>
          <w:szCs w:val="24"/>
          <w:lang w:eastAsia="en-US"/>
        </w:rPr>
        <w:t>visando</w:t>
      </w:r>
      <w:r w:rsidR="00DC06C0" w:rsidRPr="00DC06C0">
        <w:rPr>
          <w:rFonts w:eastAsiaTheme="minorHAnsi"/>
          <w:sz w:val="24"/>
          <w:szCs w:val="24"/>
          <w:lang w:eastAsia="en-US"/>
        </w:rPr>
        <w:t xml:space="preserve"> manter sua funcionalidade</w:t>
      </w:r>
      <w:r w:rsidR="00DC06C0">
        <w:rPr>
          <w:rFonts w:eastAsiaTheme="minorHAnsi"/>
          <w:sz w:val="24"/>
          <w:szCs w:val="24"/>
          <w:lang w:eastAsia="en-US"/>
        </w:rPr>
        <w:t>.</w:t>
      </w:r>
    </w:p>
    <w:p w:rsidR="00DC06C0" w:rsidRPr="00473798" w:rsidRDefault="00154DBA" w:rsidP="00DC06C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3.9 </w:t>
      </w:r>
      <w:r w:rsidR="00DC06C0">
        <w:rPr>
          <w:bCs/>
          <w:sz w:val="24"/>
          <w:szCs w:val="24"/>
        </w:rPr>
        <w:t>Assim</w:t>
      </w:r>
      <w:r w:rsidR="00DC06C0" w:rsidRPr="00473798">
        <w:rPr>
          <w:bCs/>
          <w:sz w:val="24"/>
          <w:szCs w:val="24"/>
        </w:rPr>
        <w:t>, em 29/9/2016, a partir da disponibilização de gerador, foi possível a realização de vistoria no c</w:t>
      </w:r>
      <w:r w:rsidR="00DC06C0">
        <w:rPr>
          <w:bCs/>
          <w:sz w:val="24"/>
          <w:szCs w:val="24"/>
        </w:rPr>
        <w:t xml:space="preserve">ontêiner data </w:t>
      </w:r>
      <w:proofErr w:type="gramStart"/>
      <w:r w:rsidR="00DC06C0">
        <w:rPr>
          <w:bCs/>
          <w:sz w:val="24"/>
          <w:szCs w:val="24"/>
        </w:rPr>
        <w:t>center</w:t>
      </w:r>
      <w:proofErr w:type="gramEnd"/>
      <w:r w:rsidR="00DC06C0">
        <w:rPr>
          <w:bCs/>
          <w:sz w:val="24"/>
          <w:szCs w:val="24"/>
        </w:rPr>
        <w:t xml:space="preserve"> energizado,</w:t>
      </w:r>
      <w:r w:rsidR="00DC06C0" w:rsidRPr="00473798">
        <w:rPr>
          <w:bCs/>
          <w:sz w:val="24"/>
          <w:szCs w:val="24"/>
        </w:rPr>
        <w:t xml:space="preserve"> </w:t>
      </w:r>
      <w:r w:rsidR="00DC06C0" w:rsidRPr="005C740B">
        <w:rPr>
          <w:bCs/>
          <w:sz w:val="24"/>
          <w:szCs w:val="24"/>
        </w:rPr>
        <w:t>permitindo</w:t>
      </w:r>
      <w:r w:rsidR="00604BAF" w:rsidRPr="005C740B">
        <w:rPr>
          <w:bCs/>
          <w:sz w:val="24"/>
          <w:szCs w:val="24"/>
        </w:rPr>
        <w:t xml:space="preserve"> </w:t>
      </w:r>
      <w:r w:rsidR="00DC06C0" w:rsidRPr="005C740B">
        <w:rPr>
          <w:bCs/>
          <w:sz w:val="24"/>
          <w:szCs w:val="24"/>
        </w:rPr>
        <w:t>a</w:t>
      </w:r>
      <w:r w:rsidR="00DC06C0" w:rsidRPr="00473798">
        <w:rPr>
          <w:bCs/>
          <w:sz w:val="24"/>
          <w:szCs w:val="24"/>
        </w:rPr>
        <w:t xml:space="preserve"> empresa </w:t>
      </w:r>
      <w:r w:rsidR="00C344DD">
        <w:rPr>
          <w:bCs/>
          <w:sz w:val="24"/>
          <w:szCs w:val="24"/>
        </w:rPr>
        <w:t>realizar</w:t>
      </w:r>
      <w:r w:rsidR="00604BAF">
        <w:rPr>
          <w:bCs/>
          <w:sz w:val="24"/>
          <w:szCs w:val="24"/>
        </w:rPr>
        <w:t xml:space="preserve"> </w:t>
      </w:r>
      <w:r w:rsidR="00DC06C0" w:rsidRPr="00473798">
        <w:rPr>
          <w:bCs/>
          <w:sz w:val="24"/>
          <w:szCs w:val="24"/>
        </w:rPr>
        <w:t>manutenção preventiva com o CDC em funcionamento.</w:t>
      </w:r>
    </w:p>
    <w:p w:rsidR="00EB744E" w:rsidRDefault="002D6DE0" w:rsidP="002A2AC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D6DE0">
        <w:rPr>
          <w:rFonts w:eastAsiaTheme="minorHAnsi"/>
          <w:sz w:val="24"/>
          <w:szCs w:val="24"/>
          <w:lang w:eastAsia="en-US"/>
        </w:rPr>
        <w:t>3.</w:t>
      </w:r>
      <w:r w:rsidR="00907B07">
        <w:rPr>
          <w:rFonts w:eastAsiaTheme="minorHAnsi"/>
          <w:sz w:val="24"/>
          <w:szCs w:val="24"/>
          <w:lang w:eastAsia="en-US"/>
        </w:rPr>
        <w:t>10</w:t>
      </w:r>
      <w:r w:rsidRPr="002D6DE0">
        <w:rPr>
          <w:rFonts w:eastAsiaTheme="minorHAnsi"/>
          <w:sz w:val="24"/>
          <w:szCs w:val="24"/>
          <w:lang w:eastAsia="en-US"/>
        </w:rPr>
        <w:t xml:space="preserve"> </w:t>
      </w:r>
      <w:r w:rsidR="00154DBA">
        <w:rPr>
          <w:rFonts w:eastAsiaTheme="minorHAnsi"/>
          <w:sz w:val="24"/>
          <w:szCs w:val="24"/>
          <w:lang w:eastAsia="en-US"/>
        </w:rPr>
        <w:t xml:space="preserve">Por fim, </w:t>
      </w:r>
      <w:r w:rsidR="00EB744E">
        <w:rPr>
          <w:rFonts w:eastAsiaTheme="minorHAnsi"/>
          <w:sz w:val="24"/>
          <w:szCs w:val="24"/>
          <w:lang w:eastAsia="en-US"/>
        </w:rPr>
        <w:t>as deficiências evidenciadas pelas falhas e impropriedades identificadas e relatadas neste processo</w:t>
      </w:r>
      <w:r w:rsidR="00DC06C0">
        <w:rPr>
          <w:rFonts w:eastAsiaTheme="minorHAnsi"/>
          <w:sz w:val="24"/>
          <w:szCs w:val="24"/>
          <w:lang w:eastAsia="en-US"/>
        </w:rPr>
        <w:t xml:space="preserve"> </w:t>
      </w:r>
      <w:r w:rsidR="00EB744E">
        <w:rPr>
          <w:rFonts w:eastAsiaTheme="minorHAnsi"/>
          <w:sz w:val="24"/>
          <w:szCs w:val="24"/>
          <w:lang w:eastAsia="en-US"/>
        </w:rPr>
        <w:t>podem induzir a melhoria</w:t>
      </w:r>
      <w:r w:rsidR="00B769DF">
        <w:rPr>
          <w:rFonts w:eastAsiaTheme="minorHAnsi"/>
          <w:sz w:val="24"/>
          <w:szCs w:val="24"/>
          <w:lang w:eastAsia="en-US"/>
        </w:rPr>
        <w:t xml:space="preserve"> dos controles internos afetos à</w:t>
      </w:r>
      <w:r w:rsidR="00EB744E">
        <w:rPr>
          <w:rFonts w:eastAsiaTheme="minorHAnsi"/>
          <w:sz w:val="24"/>
          <w:szCs w:val="24"/>
          <w:lang w:eastAsia="en-US"/>
        </w:rPr>
        <w:t xml:space="preserve"> gestão e fiscalização dos processos de aquisição</w:t>
      </w:r>
      <w:r w:rsidR="00793BFC" w:rsidRPr="002D6DE0">
        <w:rPr>
          <w:rFonts w:eastAsiaTheme="minorHAnsi"/>
          <w:sz w:val="24"/>
          <w:szCs w:val="24"/>
          <w:lang w:eastAsia="en-US"/>
        </w:rPr>
        <w:t xml:space="preserve"> </w:t>
      </w:r>
      <w:r w:rsidR="00EB744E">
        <w:rPr>
          <w:rFonts w:eastAsiaTheme="minorHAnsi"/>
          <w:sz w:val="24"/>
          <w:szCs w:val="24"/>
          <w:lang w:eastAsia="en-US"/>
        </w:rPr>
        <w:t>de</w:t>
      </w:r>
      <w:r w:rsidR="00EB744E" w:rsidRPr="002D6DE0">
        <w:rPr>
          <w:rFonts w:eastAsiaTheme="minorHAnsi"/>
          <w:sz w:val="24"/>
          <w:szCs w:val="24"/>
          <w:lang w:eastAsia="en-US"/>
        </w:rPr>
        <w:t xml:space="preserve"> soluções de Tecnologia da Informação e Comunicação imprescindíveis </w:t>
      </w:r>
      <w:r w:rsidR="00EB744E">
        <w:rPr>
          <w:rFonts w:eastAsiaTheme="minorHAnsi"/>
          <w:sz w:val="24"/>
          <w:szCs w:val="24"/>
          <w:lang w:eastAsia="en-US"/>
        </w:rPr>
        <w:t>ao desenvolvimento</w:t>
      </w:r>
      <w:r w:rsidR="00EB744E" w:rsidRPr="002D6DE0">
        <w:rPr>
          <w:rFonts w:eastAsiaTheme="minorHAnsi"/>
          <w:sz w:val="24"/>
          <w:szCs w:val="24"/>
          <w:lang w:eastAsia="en-US"/>
        </w:rPr>
        <w:t xml:space="preserve"> do órgão</w:t>
      </w:r>
      <w:r w:rsidR="00EB744E">
        <w:rPr>
          <w:rFonts w:eastAsiaTheme="minorHAnsi"/>
          <w:sz w:val="24"/>
          <w:szCs w:val="24"/>
          <w:lang w:eastAsia="en-US"/>
        </w:rPr>
        <w:t>.</w:t>
      </w:r>
    </w:p>
    <w:p w:rsidR="00DC06C0" w:rsidRDefault="00DC06C0" w:rsidP="002A2AC1">
      <w:pPr>
        <w:pStyle w:val="NormalWeb"/>
        <w:spacing w:before="120" w:beforeAutospacing="0" w:after="120" w:afterAutospacing="0"/>
        <w:jc w:val="both"/>
        <w:rPr>
          <w:b/>
        </w:rPr>
      </w:pPr>
    </w:p>
    <w:p w:rsidR="00876E23" w:rsidRDefault="00876E23" w:rsidP="002A2AC1">
      <w:pPr>
        <w:pStyle w:val="NormalWeb"/>
        <w:spacing w:before="120" w:beforeAutospacing="0" w:after="120" w:afterAutospacing="0"/>
        <w:jc w:val="both"/>
        <w:rPr>
          <w:b/>
        </w:rPr>
      </w:pPr>
    </w:p>
    <w:p w:rsidR="00876E23" w:rsidRDefault="00876E23" w:rsidP="002A2AC1">
      <w:pPr>
        <w:pStyle w:val="NormalWeb"/>
        <w:spacing w:before="120" w:beforeAutospacing="0" w:after="120" w:afterAutospacing="0"/>
        <w:jc w:val="both"/>
        <w:rPr>
          <w:b/>
        </w:rPr>
      </w:pPr>
    </w:p>
    <w:p w:rsidR="00876E23" w:rsidRDefault="00876E23" w:rsidP="002A2AC1">
      <w:pPr>
        <w:pStyle w:val="NormalWeb"/>
        <w:spacing w:before="120" w:beforeAutospacing="0" w:after="120" w:afterAutospacing="0"/>
        <w:jc w:val="both"/>
        <w:rPr>
          <w:b/>
        </w:rPr>
      </w:pPr>
    </w:p>
    <w:p w:rsidR="00033BA1" w:rsidRPr="004F5633" w:rsidRDefault="00793BFC" w:rsidP="00227A6C">
      <w:pPr>
        <w:pStyle w:val="NormalWeb"/>
        <w:spacing w:before="0" w:beforeAutospacing="0" w:after="240" w:afterAutospacing="0"/>
        <w:jc w:val="both"/>
        <w:rPr>
          <w:b/>
        </w:rPr>
      </w:pPr>
      <w:r>
        <w:rPr>
          <w:b/>
        </w:rPr>
        <w:lastRenderedPageBreak/>
        <w:t>4</w:t>
      </w:r>
      <w:r w:rsidR="00A73DEF">
        <w:rPr>
          <w:b/>
        </w:rPr>
        <w:t>.</w:t>
      </w:r>
      <w:r w:rsidR="00D436DA" w:rsidRPr="004F5633">
        <w:rPr>
          <w:b/>
        </w:rPr>
        <w:t xml:space="preserve"> </w:t>
      </w:r>
      <w:r w:rsidR="0034003C">
        <w:rPr>
          <w:b/>
        </w:rPr>
        <w:t>PROPOSTAS DE ENCAMINHAMENTO</w:t>
      </w:r>
    </w:p>
    <w:p w:rsidR="00E30C57" w:rsidRPr="00E30C57" w:rsidRDefault="006B0EF4" w:rsidP="002A2AC1">
      <w:pPr>
        <w:jc w:val="both"/>
        <w:rPr>
          <w:rFonts w:cs="Courier New"/>
          <w:sz w:val="24"/>
          <w:szCs w:val="24"/>
        </w:rPr>
      </w:pPr>
      <w:r w:rsidRPr="004F5633">
        <w:rPr>
          <w:rFonts w:cs="Courier New"/>
          <w:sz w:val="24"/>
          <w:szCs w:val="24"/>
        </w:rPr>
        <w:t xml:space="preserve">No tocante às vulnerabilidades evidenciadas no item </w:t>
      </w:r>
      <w:proofErr w:type="gramStart"/>
      <w:r w:rsidR="009E1E7A">
        <w:rPr>
          <w:rFonts w:cs="Courier New"/>
          <w:sz w:val="24"/>
          <w:szCs w:val="24"/>
        </w:rPr>
        <w:t>2</w:t>
      </w:r>
      <w:proofErr w:type="gramEnd"/>
      <w:r w:rsidRPr="004F5633">
        <w:rPr>
          <w:rFonts w:cs="Courier New"/>
          <w:sz w:val="24"/>
          <w:szCs w:val="24"/>
        </w:rPr>
        <w:t>, submete-se ao exame superior, visando posterior apreciação pela Presidência desta Casa, as</w:t>
      </w:r>
      <w:r w:rsidR="00390197" w:rsidRPr="004F5633">
        <w:rPr>
          <w:rFonts w:cs="Courier New"/>
          <w:sz w:val="24"/>
          <w:szCs w:val="24"/>
        </w:rPr>
        <w:t xml:space="preserve"> seguintes </w:t>
      </w:r>
      <w:r w:rsidR="009E1E7A">
        <w:rPr>
          <w:rFonts w:cs="Courier New"/>
          <w:sz w:val="24"/>
          <w:szCs w:val="24"/>
        </w:rPr>
        <w:t>propostas de encaminhamento</w:t>
      </w:r>
      <w:r w:rsidRPr="004F5633">
        <w:rPr>
          <w:rFonts w:cs="Courier New"/>
          <w:sz w:val="24"/>
          <w:szCs w:val="24"/>
        </w:rPr>
        <w:t>:</w:t>
      </w:r>
    </w:p>
    <w:p w:rsidR="007E6C70" w:rsidRDefault="00793BFC" w:rsidP="002A2AC1">
      <w:pPr>
        <w:pStyle w:val="ecxmsonormal"/>
        <w:spacing w:after="120"/>
        <w:jc w:val="both"/>
      </w:pPr>
      <w:r>
        <w:t>4.1</w:t>
      </w:r>
      <w:r w:rsidR="00D5398E">
        <w:t xml:space="preserve"> </w:t>
      </w:r>
      <w:r w:rsidR="007E6C70">
        <w:t xml:space="preserve">Recomendar à STI que, doravante, previamente à adesão </w:t>
      </w:r>
      <w:r w:rsidR="001A46A8">
        <w:t>de</w:t>
      </w:r>
      <w:r w:rsidR="007E6C70">
        <w:t xml:space="preserve"> ata de registro de preços apresente os estudos técnicos preliminares destinados </w:t>
      </w:r>
      <w:r w:rsidR="000A6946">
        <w:t>a</w:t>
      </w:r>
      <w:r w:rsidR="007E6C70">
        <w:t xml:space="preserve"> avaliar viabilidade, sustentação, estratégia e riscos da aquisição, notadamente no que tange à verificação de identidade entre </w:t>
      </w:r>
      <w:r w:rsidR="000A6946">
        <w:t>os requisitos atinentes à demanda deste Tribunal e os especificados na ata de registro de preços. (Ref. Subitem 2.1)</w:t>
      </w:r>
    </w:p>
    <w:p w:rsidR="00FD7633" w:rsidRPr="00FD7633" w:rsidRDefault="000A6946" w:rsidP="002A2AC1">
      <w:pPr>
        <w:pStyle w:val="ecxmsonormal"/>
        <w:spacing w:after="120"/>
        <w:jc w:val="both"/>
      </w:pPr>
      <w:r w:rsidRPr="00FD7633">
        <w:rPr>
          <w:rFonts w:eastAsiaTheme="minorHAnsi"/>
          <w:lang w:eastAsia="en-US"/>
        </w:rPr>
        <w:t xml:space="preserve">4.2 </w:t>
      </w:r>
      <w:r w:rsidR="00FD7633" w:rsidRPr="00FD7633">
        <w:rPr>
          <w:rFonts w:eastAsiaTheme="minorHAnsi"/>
          <w:lang w:eastAsia="en-US"/>
        </w:rPr>
        <w:t xml:space="preserve">Recomendar à STI que, visando assegurar a utilização eficiente dos recursos, priorize as </w:t>
      </w:r>
      <w:r w:rsidR="00FD7633" w:rsidRPr="00FD7633">
        <w:t>proposta de aquisições mais complexas antecipando para o primeiro semestre do ano, abstendo-se de realizá-las próximo ao final do exercício. (Ref. Subitem 2.1)</w:t>
      </w:r>
    </w:p>
    <w:p w:rsidR="00AB70A0" w:rsidRPr="00FD7633" w:rsidRDefault="00FD7633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t xml:space="preserve">4.3 </w:t>
      </w:r>
      <w:r w:rsidR="00AB70A0" w:rsidRPr="00FD7633">
        <w:rPr>
          <w:rFonts w:eastAsiaTheme="minorHAnsi"/>
          <w:lang w:eastAsia="en-US"/>
        </w:rPr>
        <w:t>Recomendar à STI que doravante</w:t>
      </w:r>
      <w:r w:rsidR="00821E52" w:rsidRPr="00FD7633">
        <w:rPr>
          <w:rFonts w:eastAsiaTheme="minorHAnsi"/>
          <w:lang w:eastAsia="en-US"/>
        </w:rPr>
        <w:t>, previamente às aquisições de</w:t>
      </w:r>
      <w:r w:rsidR="00AB70A0" w:rsidRPr="00FD7633">
        <w:rPr>
          <w:rFonts w:eastAsiaTheme="minorHAnsi"/>
          <w:lang w:eastAsia="en-US"/>
        </w:rPr>
        <w:t xml:space="preserve"> </w:t>
      </w:r>
      <w:r w:rsidR="00821E52" w:rsidRPr="00FD7633">
        <w:rPr>
          <w:rFonts w:eastAsiaTheme="minorHAnsi"/>
          <w:lang w:eastAsia="en-US"/>
        </w:rPr>
        <w:t>Solução de Tecnologia da Informação e Comunicação (STIC)</w:t>
      </w:r>
      <w:r w:rsidR="00B40BAC">
        <w:rPr>
          <w:rFonts w:eastAsiaTheme="minorHAnsi"/>
          <w:lang w:eastAsia="en-US"/>
        </w:rPr>
        <w:t>,</w:t>
      </w:r>
      <w:r w:rsidR="00821E52" w:rsidRPr="00FD7633">
        <w:rPr>
          <w:rFonts w:eastAsiaTheme="minorHAnsi"/>
          <w:lang w:eastAsia="en-US"/>
        </w:rPr>
        <w:t xml:space="preserve"> </w:t>
      </w:r>
      <w:r w:rsidR="00AB70A0" w:rsidRPr="00FD7633">
        <w:rPr>
          <w:rFonts w:eastAsiaTheme="minorHAnsi"/>
          <w:lang w:eastAsia="en-US"/>
        </w:rPr>
        <w:t>realize os estudos preliminares de forma a evidenciar a análise de viabilidade da contratação e demais análises previstas no §1º, do art. 12, da Res</w:t>
      </w:r>
      <w:r w:rsidR="000A6946" w:rsidRPr="00FD7633">
        <w:rPr>
          <w:rFonts w:eastAsiaTheme="minorHAnsi"/>
          <w:lang w:eastAsia="en-US"/>
        </w:rPr>
        <w:t>olução</w:t>
      </w:r>
      <w:r w:rsidR="00AB70A0" w:rsidRPr="00FD7633">
        <w:rPr>
          <w:rFonts w:eastAsiaTheme="minorHAnsi"/>
          <w:lang w:eastAsia="en-US"/>
        </w:rPr>
        <w:t xml:space="preserve"> CNJ n</w:t>
      </w:r>
      <w:r w:rsidR="00E7005C" w:rsidRPr="00FD7633">
        <w:rPr>
          <w:rFonts w:eastAsiaTheme="minorHAnsi"/>
          <w:lang w:eastAsia="en-US"/>
        </w:rPr>
        <w:t>.</w:t>
      </w:r>
      <w:r w:rsidR="00AB70A0" w:rsidRPr="00FD7633">
        <w:rPr>
          <w:rFonts w:eastAsiaTheme="minorHAnsi"/>
          <w:lang w:eastAsia="en-US"/>
        </w:rPr>
        <w:t xml:space="preserve"> 182/2013.</w:t>
      </w:r>
      <w:r w:rsidR="00604BAF" w:rsidRPr="00FD7633">
        <w:rPr>
          <w:rFonts w:eastAsiaTheme="minorHAnsi"/>
          <w:lang w:eastAsia="en-US"/>
        </w:rPr>
        <w:t xml:space="preserve"> </w:t>
      </w:r>
      <w:r w:rsidR="00604BAF" w:rsidRPr="00FD7633">
        <w:t>(Ref. Subitem 2.2)</w:t>
      </w:r>
    </w:p>
    <w:p w:rsidR="00604BAF" w:rsidRPr="00FD7633" w:rsidRDefault="009C0104" w:rsidP="000A6946">
      <w:pPr>
        <w:pStyle w:val="ecxmsonormal"/>
        <w:spacing w:after="120"/>
        <w:jc w:val="both"/>
      </w:pPr>
      <w:r w:rsidRPr="00FD7633">
        <w:t>4.</w:t>
      </w:r>
      <w:r w:rsidR="00FD7633" w:rsidRPr="00FD7633">
        <w:t>4</w:t>
      </w:r>
      <w:r w:rsidRPr="00FD7633">
        <w:t xml:space="preserve"> </w:t>
      </w:r>
      <w:r w:rsidRPr="00FD7633">
        <w:rPr>
          <w:rFonts w:eastAsiaTheme="minorHAnsi"/>
          <w:lang w:eastAsia="en-US"/>
        </w:rPr>
        <w:t xml:space="preserve">Recomendar à Alta Administração que determine </w:t>
      </w:r>
      <w:r w:rsidR="000A6946" w:rsidRPr="00FD7633">
        <w:rPr>
          <w:rFonts w:eastAsiaTheme="minorHAnsi"/>
          <w:lang w:eastAsia="en-US"/>
        </w:rPr>
        <w:t>que as aquisições de STIC siga</w:t>
      </w:r>
      <w:r w:rsidR="009A4224" w:rsidRPr="00FD7633">
        <w:rPr>
          <w:rFonts w:eastAsiaTheme="minorHAnsi"/>
          <w:lang w:eastAsia="en-US"/>
        </w:rPr>
        <w:t>m</w:t>
      </w:r>
      <w:r w:rsidR="000A6946" w:rsidRPr="00FD7633">
        <w:rPr>
          <w:rFonts w:eastAsiaTheme="minorHAnsi"/>
          <w:lang w:eastAsia="en-US"/>
        </w:rPr>
        <w:t xml:space="preserve"> rigorosamente os padrões estabelecidos na Resolução CNJ n. 182/2013, notadamente </w:t>
      </w:r>
      <w:r w:rsidR="009A4224" w:rsidRPr="00FD7633">
        <w:rPr>
          <w:rFonts w:eastAsiaTheme="minorHAnsi"/>
          <w:lang w:eastAsia="en-US"/>
        </w:rPr>
        <w:t xml:space="preserve">quanto à </w:t>
      </w:r>
      <w:r w:rsidR="001A46A8" w:rsidRPr="00FD7633">
        <w:rPr>
          <w:rFonts w:eastAsiaTheme="minorHAnsi"/>
          <w:lang w:eastAsia="en-US"/>
        </w:rPr>
        <w:t>apresenta</w:t>
      </w:r>
      <w:r w:rsidR="009A4224" w:rsidRPr="00FD7633">
        <w:rPr>
          <w:rFonts w:eastAsiaTheme="minorHAnsi"/>
          <w:lang w:eastAsia="en-US"/>
        </w:rPr>
        <w:t xml:space="preserve">ção, em autos apartados, dos estudos técnicos preliminares atinentes à contratação pretendida. </w:t>
      </w:r>
      <w:r w:rsidR="00604BAF" w:rsidRPr="00FD7633">
        <w:t>(Ref. Subitem 2.2)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6D7E0E" w:rsidRPr="00FD7633">
        <w:rPr>
          <w:rFonts w:eastAsiaTheme="minorHAnsi"/>
          <w:lang w:eastAsia="en-US"/>
        </w:rPr>
        <w:t>5</w:t>
      </w:r>
      <w:r w:rsidRPr="00FD7633">
        <w:rPr>
          <w:rFonts w:eastAsiaTheme="minorHAnsi"/>
          <w:lang w:eastAsia="en-US"/>
        </w:rPr>
        <w:t xml:space="preserve"> Recomendar </w:t>
      </w:r>
      <w:r w:rsidR="004A4A37" w:rsidRPr="00FD7633">
        <w:rPr>
          <w:rFonts w:eastAsiaTheme="minorHAnsi"/>
          <w:lang w:eastAsia="en-US"/>
        </w:rPr>
        <w:t xml:space="preserve">à Equipe de Planejamento das Contratações de STIC designada </w:t>
      </w:r>
      <w:r w:rsidRPr="00FD7633">
        <w:rPr>
          <w:rFonts w:eastAsiaTheme="minorHAnsi"/>
          <w:lang w:eastAsia="en-US"/>
        </w:rPr>
        <w:t xml:space="preserve">que nas contratações de </w:t>
      </w:r>
      <w:r w:rsidR="004A4A37" w:rsidRPr="00FD7633">
        <w:rPr>
          <w:rFonts w:eastAsiaTheme="minorHAnsi"/>
          <w:lang w:eastAsia="en-US"/>
        </w:rPr>
        <w:t>STIC</w:t>
      </w:r>
      <w:r w:rsidRPr="00FD7633">
        <w:rPr>
          <w:rFonts w:eastAsiaTheme="minorHAnsi"/>
          <w:lang w:eastAsia="en-US"/>
        </w:rPr>
        <w:t xml:space="preserve">, em que se constate a necessidade de adequação </w:t>
      </w:r>
      <w:r w:rsidR="00A11711" w:rsidRPr="00FD7633">
        <w:rPr>
          <w:rFonts w:eastAsiaTheme="minorHAnsi"/>
          <w:lang w:eastAsia="en-US"/>
        </w:rPr>
        <w:t>da Organização</w:t>
      </w:r>
      <w:r w:rsidRPr="00FD7633">
        <w:rPr>
          <w:rFonts w:eastAsiaTheme="minorHAnsi"/>
          <w:lang w:eastAsia="en-US"/>
        </w:rPr>
        <w:t xml:space="preserve"> para </w:t>
      </w:r>
      <w:r w:rsidR="00A11711" w:rsidRPr="00FD7633">
        <w:rPr>
          <w:rFonts w:eastAsiaTheme="minorHAnsi"/>
          <w:lang w:eastAsia="en-US"/>
        </w:rPr>
        <w:t>viabilizar a utilização da solução</w:t>
      </w:r>
      <w:r w:rsidRPr="00FD7633">
        <w:rPr>
          <w:rFonts w:eastAsiaTheme="minorHAnsi"/>
          <w:lang w:eastAsia="en-US"/>
        </w:rPr>
        <w:t xml:space="preserve">, que </w:t>
      </w:r>
      <w:r w:rsidR="00A11711" w:rsidRPr="00FD7633">
        <w:rPr>
          <w:rFonts w:eastAsiaTheme="minorHAnsi"/>
          <w:lang w:eastAsia="en-US"/>
        </w:rPr>
        <w:t>promova, ainda na fase de planejamento, avaliação da necessidade dos ajustes que precisam ser feitos no ambiente do órgão, envolvendo</w:t>
      </w:r>
      <w:r w:rsidR="004A4A37" w:rsidRPr="00FD7633">
        <w:rPr>
          <w:rFonts w:eastAsiaTheme="minorHAnsi"/>
          <w:lang w:eastAsia="en-US"/>
        </w:rPr>
        <w:t xml:space="preserve"> tod</w:t>
      </w:r>
      <w:r w:rsidR="00A11711" w:rsidRPr="00FD7633">
        <w:rPr>
          <w:rFonts w:eastAsiaTheme="minorHAnsi"/>
          <w:lang w:eastAsia="en-US"/>
        </w:rPr>
        <w:t>o</w:t>
      </w:r>
      <w:r w:rsidR="004A4A37" w:rsidRPr="00FD7633">
        <w:rPr>
          <w:rFonts w:eastAsiaTheme="minorHAnsi"/>
          <w:lang w:eastAsia="en-US"/>
        </w:rPr>
        <w:t xml:space="preserve">s </w:t>
      </w:r>
      <w:r w:rsidR="00A11711" w:rsidRPr="00FD7633">
        <w:rPr>
          <w:rFonts w:eastAsiaTheme="minorHAnsi"/>
          <w:lang w:eastAsia="en-US"/>
        </w:rPr>
        <w:t>o</w:t>
      </w:r>
      <w:r w:rsidRPr="00FD7633">
        <w:rPr>
          <w:rFonts w:eastAsiaTheme="minorHAnsi"/>
          <w:lang w:eastAsia="en-US"/>
        </w:rPr>
        <w:t xml:space="preserve">s </w:t>
      </w:r>
      <w:r w:rsidR="00A11711" w:rsidRPr="00FD7633">
        <w:rPr>
          <w:rFonts w:eastAsiaTheme="minorHAnsi"/>
          <w:lang w:eastAsia="en-US"/>
        </w:rPr>
        <w:t>responsáveis por esses ajustes nos diversos setores,</w:t>
      </w:r>
      <w:r w:rsidRPr="00FD7633">
        <w:rPr>
          <w:rFonts w:eastAsiaTheme="minorHAnsi"/>
          <w:lang w:eastAsia="en-US"/>
        </w:rPr>
        <w:t xml:space="preserve"> </w:t>
      </w:r>
      <w:r w:rsidR="004A4A37" w:rsidRPr="00FD7633">
        <w:rPr>
          <w:rFonts w:eastAsiaTheme="minorHAnsi"/>
          <w:lang w:eastAsia="en-US"/>
        </w:rPr>
        <w:t xml:space="preserve">a fim de garantir </w:t>
      </w:r>
      <w:r w:rsidR="00F003F2" w:rsidRPr="00FD7633">
        <w:rPr>
          <w:rFonts w:eastAsiaTheme="minorHAnsi"/>
          <w:lang w:eastAsia="en-US"/>
        </w:rPr>
        <w:t xml:space="preserve">que a escolha da </w:t>
      </w:r>
      <w:r w:rsidRPr="00FD7633">
        <w:rPr>
          <w:rFonts w:eastAsiaTheme="minorHAnsi"/>
          <w:lang w:eastAsia="en-US"/>
        </w:rPr>
        <w:t>solução</w:t>
      </w:r>
      <w:r w:rsidR="00FA724A" w:rsidRPr="00FD7633">
        <w:rPr>
          <w:rFonts w:eastAsiaTheme="minorHAnsi"/>
          <w:lang w:eastAsia="en-US"/>
        </w:rPr>
        <w:t xml:space="preserve"> </w:t>
      </w:r>
      <w:r w:rsidR="00907B07">
        <w:rPr>
          <w:rFonts w:eastAsiaTheme="minorHAnsi"/>
          <w:lang w:eastAsia="en-US"/>
        </w:rPr>
        <w:t>seja</w:t>
      </w:r>
      <w:r w:rsidR="00F003F2" w:rsidRPr="00FD7633">
        <w:rPr>
          <w:rFonts w:eastAsiaTheme="minorHAnsi"/>
          <w:lang w:eastAsia="en-US"/>
        </w:rPr>
        <w:t xml:space="preserve"> a</w:t>
      </w:r>
      <w:r w:rsidR="00FA724A" w:rsidRPr="00FD7633">
        <w:rPr>
          <w:rFonts w:eastAsiaTheme="minorHAnsi"/>
          <w:lang w:eastAsia="en-US"/>
        </w:rPr>
        <w:t xml:space="preserve"> mais adequada para </w:t>
      </w:r>
      <w:r w:rsidR="00F003F2" w:rsidRPr="00FD7633">
        <w:rPr>
          <w:rFonts w:eastAsiaTheme="minorHAnsi"/>
          <w:lang w:eastAsia="en-US"/>
        </w:rPr>
        <w:t>ser</w:t>
      </w:r>
      <w:r w:rsidR="00FA724A" w:rsidRPr="00FD7633">
        <w:rPr>
          <w:rFonts w:eastAsiaTheme="minorHAnsi"/>
          <w:lang w:eastAsia="en-US"/>
        </w:rPr>
        <w:t xml:space="preserve"> contrata</w:t>
      </w:r>
      <w:r w:rsidR="00F003F2" w:rsidRPr="00FD7633">
        <w:rPr>
          <w:rFonts w:eastAsiaTheme="minorHAnsi"/>
          <w:lang w:eastAsia="en-US"/>
        </w:rPr>
        <w:t>da</w:t>
      </w:r>
      <w:r w:rsidR="00FA724A" w:rsidRPr="00FD7633">
        <w:rPr>
          <w:rFonts w:eastAsiaTheme="minorHAnsi"/>
          <w:lang w:eastAsia="en-US"/>
        </w:rPr>
        <w:t>.</w:t>
      </w:r>
      <w:r w:rsidR="00604BAF" w:rsidRPr="00FD7633">
        <w:t xml:space="preserve"> (Ref. Subitem 2.</w:t>
      </w:r>
      <w:r w:rsidR="005F4768" w:rsidRPr="00FD7633">
        <w:t>2</w:t>
      </w:r>
      <w:r w:rsidR="00604BAF" w:rsidRPr="00FD7633">
        <w:t>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C534DB">
        <w:rPr>
          <w:rFonts w:eastAsiaTheme="minorHAnsi"/>
          <w:lang w:eastAsia="en-US"/>
        </w:rPr>
        <w:t>6</w:t>
      </w:r>
      <w:r w:rsidRPr="00FD7633">
        <w:rPr>
          <w:rFonts w:eastAsiaTheme="minorHAnsi"/>
          <w:lang w:eastAsia="en-US"/>
        </w:rPr>
        <w:t xml:space="preserve"> Recomendar à STI que indique servidores para exercer a substituição dos fiscais do Contrato n</w:t>
      </w:r>
      <w:r w:rsidR="0084270C" w:rsidRPr="00FD7633">
        <w:rPr>
          <w:rFonts w:eastAsiaTheme="minorHAnsi"/>
          <w:lang w:eastAsia="en-US"/>
        </w:rPr>
        <w:t>.</w:t>
      </w:r>
      <w:r w:rsidRPr="00FD7633">
        <w:rPr>
          <w:rFonts w:eastAsiaTheme="minorHAnsi"/>
          <w:lang w:eastAsia="en-US"/>
        </w:rPr>
        <w:t xml:space="preserve"> 161/2014,</w:t>
      </w:r>
      <w:r w:rsidR="00FA724A" w:rsidRPr="00FD7633">
        <w:rPr>
          <w:rFonts w:eastAsiaTheme="minorHAnsi"/>
          <w:lang w:eastAsia="en-US"/>
        </w:rPr>
        <w:t xml:space="preserve"> nos casos de ausência dos titulares</w:t>
      </w:r>
      <w:r w:rsidR="00B40BAC">
        <w:rPr>
          <w:rFonts w:eastAsiaTheme="minorHAnsi"/>
          <w:lang w:eastAsia="en-US"/>
        </w:rPr>
        <w:t>,</w:t>
      </w:r>
      <w:r w:rsidRPr="00FD7633">
        <w:rPr>
          <w:rFonts w:eastAsiaTheme="minorHAnsi"/>
          <w:lang w:eastAsia="en-US"/>
        </w:rPr>
        <w:t xml:space="preserve"> e à SGA que proceda a designação formal dos substitutos</w:t>
      </w:r>
      <w:r w:rsidR="00DA43F1" w:rsidRPr="00FD7633">
        <w:rPr>
          <w:rFonts w:eastAsiaTheme="minorHAnsi"/>
          <w:lang w:eastAsia="en-US"/>
        </w:rPr>
        <w:t xml:space="preserve"> indicados</w:t>
      </w:r>
      <w:r w:rsidRPr="00FD7633">
        <w:rPr>
          <w:rFonts w:eastAsiaTheme="minorHAnsi"/>
          <w:lang w:eastAsia="en-US"/>
        </w:rPr>
        <w:t>.</w:t>
      </w:r>
      <w:r w:rsidR="005F4768" w:rsidRPr="00FD7633">
        <w:rPr>
          <w:rFonts w:eastAsiaTheme="minorHAnsi"/>
          <w:lang w:eastAsia="en-US"/>
        </w:rPr>
        <w:t xml:space="preserve"> </w:t>
      </w:r>
      <w:r w:rsidR="005F4768" w:rsidRPr="00FD7633">
        <w:t>(Ref. Subitem 2.4)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C534DB">
        <w:rPr>
          <w:rFonts w:eastAsiaTheme="minorHAnsi"/>
          <w:lang w:eastAsia="en-US"/>
        </w:rPr>
        <w:t>7</w:t>
      </w:r>
      <w:r w:rsidRPr="00FD7633">
        <w:rPr>
          <w:rFonts w:eastAsiaTheme="minorHAnsi"/>
          <w:lang w:eastAsia="en-US"/>
        </w:rPr>
        <w:t xml:space="preserve"> Recomendar aos fiscais nomeados, bem como aos substitutos</w:t>
      </w:r>
      <w:r w:rsidR="005F352C" w:rsidRPr="00FD7633">
        <w:rPr>
          <w:rFonts w:eastAsiaTheme="minorHAnsi"/>
          <w:lang w:eastAsia="en-US"/>
        </w:rPr>
        <w:t>, por ventura</w:t>
      </w:r>
      <w:r w:rsidRPr="00FD7633">
        <w:rPr>
          <w:rFonts w:eastAsiaTheme="minorHAnsi"/>
          <w:lang w:eastAsia="en-US"/>
        </w:rPr>
        <w:t xml:space="preserve"> designados, a realização do treinamento específico disponível na intranet institucional, devendo juntar ao processo PAD n</w:t>
      </w:r>
      <w:r w:rsidR="0084270C" w:rsidRPr="00FD7633">
        <w:rPr>
          <w:rFonts w:eastAsiaTheme="minorHAnsi"/>
          <w:lang w:eastAsia="en-US"/>
        </w:rPr>
        <w:t>.</w:t>
      </w:r>
      <w:r w:rsidRPr="00FD7633">
        <w:rPr>
          <w:rFonts w:eastAsiaTheme="minorHAnsi"/>
          <w:lang w:eastAsia="en-US"/>
        </w:rPr>
        <w:t xml:space="preserve"> 286/2015 o certificado de realização.</w:t>
      </w:r>
      <w:r w:rsidR="004C5258" w:rsidRPr="00FD7633">
        <w:rPr>
          <w:rFonts w:eastAsiaTheme="minorHAnsi"/>
          <w:lang w:eastAsia="en-US"/>
        </w:rPr>
        <w:t xml:space="preserve"> </w:t>
      </w:r>
      <w:r w:rsidR="002A7083" w:rsidRPr="00FD7633">
        <w:t>(Ref. Subitens 2.4 e 2.5)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C534DB">
        <w:rPr>
          <w:rFonts w:eastAsiaTheme="minorHAnsi"/>
          <w:lang w:eastAsia="en-US"/>
        </w:rPr>
        <w:t>8</w:t>
      </w:r>
      <w:r w:rsidRPr="00FD7633">
        <w:rPr>
          <w:rFonts w:eastAsiaTheme="minorHAnsi"/>
          <w:lang w:eastAsia="en-US"/>
        </w:rPr>
        <w:t xml:space="preserve"> Recomendar que a fiscalização do contrato proc</w:t>
      </w:r>
      <w:r w:rsidR="00E7005C" w:rsidRPr="00FD7633">
        <w:rPr>
          <w:rFonts w:eastAsiaTheme="minorHAnsi"/>
          <w:lang w:eastAsia="en-US"/>
        </w:rPr>
        <w:t xml:space="preserve">eda </w:t>
      </w:r>
      <w:r w:rsidR="003E7AD8" w:rsidRPr="00FD7633">
        <w:rPr>
          <w:rFonts w:eastAsiaTheme="minorHAnsi"/>
          <w:lang w:eastAsia="en-US"/>
        </w:rPr>
        <w:t>à</w:t>
      </w:r>
      <w:r w:rsidR="00E7005C" w:rsidRPr="00FD7633">
        <w:rPr>
          <w:rFonts w:eastAsiaTheme="minorHAnsi"/>
          <w:lang w:eastAsia="en-US"/>
        </w:rPr>
        <w:t xml:space="preserve"> juntada ao processo PAD n.</w:t>
      </w:r>
      <w:r w:rsidRPr="00FD7633">
        <w:rPr>
          <w:rFonts w:eastAsiaTheme="minorHAnsi"/>
          <w:lang w:eastAsia="en-US"/>
        </w:rPr>
        <w:t xml:space="preserve"> 286/2015, em ordem cronológica, de todos os </w:t>
      </w:r>
      <w:r w:rsidR="00577C29" w:rsidRPr="00FD7633">
        <w:rPr>
          <w:rFonts w:eastAsiaTheme="minorHAnsi"/>
          <w:lang w:eastAsia="en-US"/>
        </w:rPr>
        <w:t xml:space="preserve">documentos </w:t>
      </w:r>
      <w:r w:rsidR="006F01BB" w:rsidRPr="00FD7633">
        <w:rPr>
          <w:rFonts w:eastAsiaTheme="minorHAnsi"/>
          <w:lang w:eastAsia="en-US"/>
        </w:rPr>
        <w:t xml:space="preserve">e </w:t>
      </w:r>
      <w:r w:rsidRPr="00FD7633">
        <w:rPr>
          <w:rFonts w:eastAsiaTheme="minorHAnsi"/>
          <w:lang w:eastAsia="en-US"/>
        </w:rPr>
        <w:t>registros pertinentes à fiscalização necessários ao bom acompanhamento do contrato.</w:t>
      </w:r>
      <w:r w:rsidR="004C5258" w:rsidRPr="00FD7633">
        <w:rPr>
          <w:rFonts w:eastAsiaTheme="minorHAnsi"/>
          <w:lang w:eastAsia="en-US"/>
        </w:rPr>
        <w:t xml:space="preserve"> </w:t>
      </w:r>
      <w:r w:rsidR="00370A6B" w:rsidRPr="00FD7633">
        <w:t>(Ref. Subitem 2.5)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C534DB">
        <w:rPr>
          <w:rFonts w:eastAsiaTheme="minorHAnsi"/>
          <w:lang w:eastAsia="en-US"/>
        </w:rPr>
        <w:t>9</w:t>
      </w:r>
      <w:r w:rsidRPr="00FD7633">
        <w:rPr>
          <w:rFonts w:eastAsiaTheme="minorHAnsi"/>
          <w:lang w:eastAsia="en-US"/>
        </w:rPr>
        <w:t xml:space="preserve"> Recomendar ao gestor do contrato que adote providências no sentido de organizar a rotina de acompanhamento do contrato utilizando o formulário constante do manual de gestão e fiscalização de contratos administrativos deste Tribunal.</w:t>
      </w:r>
      <w:r w:rsidR="004C5258" w:rsidRPr="00FD7633">
        <w:rPr>
          <w:rFonts w:eastAsiaTheme="minorHAnsi"/>
          <w:lang w:eastAsia="en-US"/>
        </w:rPr>
        <w:t xml:space="preserve"> </w:t>
      </w:r>
      <w:r w:rsidR="004008FF" w:rsidRPr="00FD7633">
        <w:t>(Ref. Subitem 2.5)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C534DB">
        <w:rPr>
          <w:rFonts w:eastAsiaTheme="minorHAnsi"/>
          <w:lang w:eastAsia="en-US"/>
        </w:rPr>
        <w:t>10</w:t>
      </w:r>
      <w:r w:rsidRPr="00FD7633">
        <w:rPr>
          <w:rFonts w:eastAsiaTheme="minorHAnsi"/>
          <w:lang w:eastAsia="en-US"/>
        </w:rPr>
        <w:t xml:space="preserve"> Recomendar à COGELIC que proceda aos ajustes no cálculo dos valores do reajuste do serviço de manutenção, considerando a data de 26/6/2015 (data de início do prazo de garantia de 36 meses).</w:t>
      </w:r>
      <w:r w:rsidR="004008FF" w:rsidRPr="00FD7633">
        <w:rPr>
          <w:rFonts w:eastAsiaTheme="minorHAnsi"/>
          <w:lang w:eastAsia="en-US"/>
        </w:rPr>
        <w:t xml:space="preserve"> </w:t>
      </w:r>
      <w:r w:rsidR="004008FF" w:rsidRPr="00FD7633">
        <w:t>(Ref. Subitem 2.7)</w:t>
      </w:r>
    </w:p>
    <w:p w:rsidR="009C0104" w:rsidRPr="00FD7633" w:rsidRDefault="009C0104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lastRenderedPageBreak/>
        <w:t>4.1</w:t>
      </w:r>
      <w:r w:rsidR="00C534DB">
        <w:rPr>
          <w:rFonts w:eastAsiaTheme="minorHAnsi"/>
          <w:lang w:eastAsia="en-US"/>
        </w:rPr>
        <w:t>1</w:t>
      </w:r>
      <w:r w:rsidRPr="00FD7633">
        <w:rPr>
          <w:rFonts w:eastAsiaTheme="minorHAnsi"/>
          <w:lang w:eastAsia="en-US"/>
        </w:rPr>
        <w:t xml:space="preserve"> Recomendar que o gestor e fiscais do contrato adotem procedimento destinado a conferir a documentação referente </w:t>
      </w:r>
      <w:r w:rsidR="00D70D26" w:rsidRPr="00FD7633">
        <w:rPr>
          <w:rFonts w:eastAsiaTheme="minorHAnsi"/>
          <w:lang w:eastAsia="en-US"/>
        </w:rPr>
        <w:t>ao</w:t>
      </w:r>
      <w:r w:rsidRPr="00FD7633">
        <w:rPr>
          <w:rFonts w:eastAsiaTheme="minorHAnsi"/>
          <w:lang w:eastAsia="en-US"/>
        </w:rPr>
        <w:t xml:space="preserve"> contrat</w:t>
      </w:r>
      <w:r w:rsidR="00DA43F1" w:rsidRPr="00FD7633">
        <w:rPr>
          <w:rFonts w:eastAsiaTheme="minorHAnsi"/>
          <w:lang w:eastAsia="en-US"/>
        </w:rPr>
        <w:t>o</w:t>
      </w:r>
      <w:r w:rsidRPr="00FD7633">
        <w:rPr>
          <w:rFonts w:eastAsiaTheme="minorHAnsi"/>
          <w:lang w:eastAsia="en-US"/>
        </w:rPr>
        <w:t xml:space="preserve">, </w:t>
      </w:r>
      <w:r w:rsidR="006D7E0E" w:rsidRPr="00FD7633">
        <w:rPr>
          <w:rFonts w:eastAsiaTheme="minorHAnsi"/>
          <w:lang w:eastAsia="en-US"/>
        </w:rPr>
        <w:t xml:space="preserve">registrando em processo apartado as ocorrências relativas à execução contratual </w:t>
      </w:r>
      <w:r w:rsidRPr="00FD7633">
        <w:rPr>
          <w:rFonts w:eastAsiaTheme="minorHAnsi"/>
          <w:lang w:eastAsia="en-US"/>
        </w:rPr>
        <w:t xml:space="preserve">a fim de </w:t>
      </w:r>
      <w:r w:rsidR="00DA43F1" w:rsidRPr="00FD7633">
        <w:rPr>
          <w:rFonts w:eastAsiaTheme="minorHAnsi"/>
          <w:lang w:eastAsia="en-US"/>
        </w:rPr>
        <w:t>evidenciar</w:t>
      </w:r>
      <w:r w:rsidRPr="00FD7633">
        <w:rPr>
          <w:rFonts w:eastAsiaTheme="minorHAnsi"/>
          <w:lang w:eastAsia="en-US"/>
        </w:rPr>
        <w:t xml:space="preserve"> </w:t>
      </w:r>
      <w:r w:rsidR="006D7E0E" w:rsidRPr="00FD7633">
        <w:rPr>
          <w:rFonts w:eastAsiaTheme="minorHAnsi"/>
          <w:lang w:eastAsia="en-US"/>
        </w:rPr>
        <w:t>a gestão eficaz do contrato</w:t>
      </w:r>
      <w:r w:rsidRPr="00FD7633">
        <w:rPr>
          <w:rFonts w:eastAsiaTheme="minorHAnsi"/>
          <w:lang w:eastAsia="en-US"/>
        </w:rPr>
        <w:t>.</w:t>
      </w:r>
      <w:r w:rsidR="008F1E8F" w:rsidRPr="00FD7633">
        <w:rPr>
          <w:rFonts w:eastAsiaTheme="minorHAnsi"/>
          <w:lang w:eastAsia="en-US"/>
        </w:rPr>
        <w:t xml:space="preserve"> </w:t>
      </w:r>
      <w:r w:rsidR="008F1E8F" w:rsidRPr="00FD7633">
        <w:t>(Ref. Subitem 2.5)</w:t>
      </w:r>
    </w:p>
    <w:p w:rsidR="009C0104" w:rsidRPr="00FD7633" w:rsidRDefault="00EF0347" w:rsidP="002A2AC1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4.1</w:t>
      </w:r>
      <w:r w:rsidR="00C534DB">
        <w:rPr>
          <w:rFonts w:eastAsiaTheme="minorHAnsi"/>
          <w:lang w:eastAsia="en-US"/>
        </w:rPr>
        <w:t>2</w:t>
      </w:r>
      <w:r w:rsidRPr="00FD7633">
        <w:rPr>
          <w:rFonts w:eastAsiaTheme="minorHAnsi"/>
          <w:lang w:eastAsia="en-US"/>
        </w:rPr>
        <w:t xml:space="preserve"> </w:t>
      </w:r>
      <w:r w:rsidR="009C0104" w:rsidRPr="00FD7633">
        <w:rPr>
          <w:rFonts w:eastAsiaTheme="minorHAnsi"/>
          <w:lang w:eastAsia="en-US"/>
        </w:rPr>
        <w:t>Recomendar à SOF que</w:t>
      </w:r>
      <w:r w:rsidR="007E6C70" w:rsidRPr="00FD7633">
        <w:rPr>
          <w:rFonts w:eastAsiaTheme="minorHAnsi"/>
          <w:lang w:eastAsia="en-US"/>
        </w:rPr>
        <w:t>, previamente a realização dos</w:t>
      </w:r>
      <w:r w:rsidR="009C0104" w:rsidRPr="00FD7633">
        <w:rPr>
          <w:rFonts w:eastAsiaTheme="minorHAnsi"/>
          <w:lang w:eastAsia="en-US"/>
        </w:rPr>
        <w:t xml:space="preserve"> pagamento</w:t>
      </w:r>
      <w:r w:rsidR="007E6C70" w:rsidRPr="00FD7633">
        <w:rPr>
          <w:rFonts w:eastAsiaTheme="minorHAnsi"/>
          <w:lang w:eastAsia="en-US"/>
        </w:rPr>
        <w:t>s</w:t>
      </w:r>
      <w:r w:rsidR="009C0104" w:rsidRPr="00FD7633">
        <w:rPr>
          <w:rFonts w:eastAsiaTheme="minorHAnsi"/>
          <w:lang w:eastAsia="en-US"/>
        </w:rPr>
        <w:t xml:space="preserve"> das notas fiscais</w:t>
      </w:r>
      <w:r w:rsidR="00B40BAC">
        <w:rPr>
          <w:rFonts w:eastAsiaTheme="minorHAnsi"/>
          <w:lang w:eastAsia="en-US"/>
        </w:rPr>
        <w:t>,</w:t>
      </w:r>
      <w:r w:rsidR="009C0104" w:rsidRPr="00FD7633">
        <w:rPr>
          <w:rFonts w:eastAsiaTheme="minorHAnsi"/>
          <w:lang w:eastAsia="en-US"/>
        </w:rPr>
        <w:t xml:space="preserve"> </w:t>
      </w:r>
      <w:r w:rsidR="007E6C70" w:rsidRPr="00FD7633">
        <w:rPr>
          <w:rFonts w:eastAsiaTheme="minorHAnsi"/>
          <w:lang w:eastAsia="en-US"/>
        </w:rPr>
        <w:t xml:space="preserve">efetue as verificações necessárias de modo a confirmar se o atestes foram feitos </w:t>
      </w:r>
      <w:r w:rsidR="009C0104" w:rsidRPr="00FD7633">
        <w:rPr>
          <w:rFonts w:eastAsiaTheme="minorHAnsi"/>
          <w:lang w:eastAsia="en-US"/>
        </w:rPr>
        <w:t>por servidor formalmente designado para fiscalização do contrato.</w:t>
      </w:r>
      <w:r w:rsidR="008F1E8F" w:rsidRPr="00FD7633">
        <w:rPr>
          <w:rFonts w:eastAsiaTheme="minorHAnsi"/>
          <w:lang w:eastAsia="en-US"/>
        </w:rPr>
        <w:t xml:space="preserve"> </w:t>
      </w:r>
      <w:r w:rsidR="008F1E8F" w:rsidRPr="00FD7633">
        <w:t>(Ref. Subitem 2.8)</w:t>
      </w:r>
    </w:p>
    <w:p w:rsidR="006D7E0E" w:rsidRPr="00FD7633" w:rsidRDefault="009C0104" w:rsidP="006D7E0E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4.</w:t>
      </w:r>
      <w:r w:rsidR="00EF0347" w:rsidRPr="00FD7633">
        <w:rPr>
          <w:rFonts w:eastAsiaTheme="minorHAnsi"/>
          <w:lang w:eastAsia="en-US"/>
        </w:rPr>
        <w:t>1</w:t>
      </w:r>
      <w:r w:rsidR="00C534DB">
        <w:rPr>
          <w:rFonts w:eastAsiaTheme="minorHAnsi"/>
          <w:lang w:eastAsia="en-US"/>
        </w:rPr>
        <w:t>3</w:t>
      </w:r>
      <w:r w:rsidRPr="00FD7633">
        <w:rPr>
          <w:rFonts w:eastAsiaTheme="minorHAnsi"/>
          <w:lang w:eastAsia="en-US"/>
        </w:rPr>
        <w:t xml:space="preserve"> </w:t>
      </w:r>
      <w:r w:rsidR="006D7E0E" w:rsidRPr="00FD7633">
        <w:rPr>
          <w:rFonts w:eastAsiaTheme="minorHAnsi"/>
          <w:lang w:eastAsia="en-US"/>
        </w:rPr>
        <w:t>Recomendar à Alta Administração que determine a priorização e celeridade na tramitação do PAD n. 12.476/2015, que trata da contratação do serviço de interligação elétrica e lógica para o CDC</w:t>
      </w:r>
      <w:r w:rsidR="00B40BAC">
        <w:rPr>
          <w:rFonts w:eastAsiaTheme="minorHAnsi"/>
          <w:lang w:eastAsia="en-US"/>
        </w:rPr>
        <w:t>,</w:t>
      </w:r>
      <w:r w:rsidR="006D7E0E" w:rsidRPr="00FD7633">
        <w:rPr>
          <w:rFonts w:eastAsiaTheme="minorHAnsi"/>
          <w:lang w:eastAsia="en-US"/>
        </w:rPr>
        <w:t xml:space="preserve"> com vistas a </w:t>
      </w:r>
      <w:r w:rsidR="003E7AD8" w:rsidRPr="00FD7633">
        <w:rPr>
          <w:rFonts w:eastAsiaTheme="minorHAnsi"/>
          <w:lang w:eastAsia="en-US"/>
        </w:rPr>
        <w:t>viabilizar com</w:t>
      </w:r>
      <w:r w:rsidR="006D7E0E" w:rsidRPr="00FD7633">
        <w:rPr>
          <w:rFonts w:eastAsiaTheme="minorHAnsi"/>
          <w:lang w:eastAsia="en-US"/>
        </w:rPr>
        <w:t xml:space="preserve"> brevidade o funcionamento da solução adquirida.</w:t>
      </w:r>
      <w:r w:rsidR="008F1E8F" w:rsidRPr="00FD7633">
        <w:rPr>
          <w:rFonts w:eastAsiaTheme="minorHAnsi"/>
          <w:lang w:eastAsia="en-US"/>
        </w:rPr>
        <w:t xml:space="preserve"> </w:t>
      </w:r>
      <w:r w:rsidR="008F1E8F" w:rsidRPr="00FD7633">
        <w:t>(Ref. Subite</w:t>
      </w:r>
      <w:r w:rsidR="00FD7633" w:rsidRPr="00FD7633">
        <w:t>ns</w:t>
      </w:r>
      <w:r w:rsidR="008F1E8F" w:rsidRPr="00FD7633">
        <w:t xml:space="preserve"> 2.3</w:t>
      </w:r>
      <w:r w:rsidR="00FD7633" w:rsidRPr="00FD7633">
        <w:t xml:space="preserve"> e 2.6</w:t>
      </w:r>
      <w:r w:rsidR="008F1E8F" w:rsidRPr="00FD7633">
        <w:t>)</w:t>
      </w:r>
    </w:p>
    <w:p w:rsidR="00674A13" w:rsidRPr="00674A13" w:rsidRDefault="00CB4D2D" w:rsidP="004816CA">
      <w:pPr>
        <w:pStyle w:val="ecxmsonormal"/>
        <w:spacing w:after="120"/>
        <w:jc w:val="both"/>
        <w:rPr>
          <w:rFonts w:eastAsiaTheme="minorHAnsi"/>
          <w:lang w:eastAsia="en-US"/>
        </w:rPr>
      </w:pPr>
      <w:r w:rsidRPr="00FD7633">
        <w:rPr>
          <w:rFonts w:eastAsiaTheme="minorHAnsi"/>
          <w:lang w:eastAsia="en-US"/>
        </w:rPr>
        <w:t>4</w:t>
      </w:r>
      <w:r w:rsidR="00674A13" w:rsidRPr="00FD7633">
        <w:rPr>
          <w:rFonts w:eastAsiaTheme="minorHAnsi"/>
          <w:lang w:eastAsia="en-US"/>
        </w:rPr>
        <w:t>.</w:t>
      </w:r>
      <w:r w:rsidR="00154DBA" w:rsidRPr="00FD7633">
        <w:rPr>
          <w:rFonts w:eastAsiaTheme="minorHAnsi"/>
          <w:lang w:eastAsia="en-US"/>
        </w:rPr>
        <w:t>1</w:t>
      </w:r>
      <w:r w:rsidR="00C534DB">
        <w:rPr>
          <w:rFonts w:eastAsiaTheme="minorHAnsi"/>
          <w:lang w:eastAsia="en-US"/>
        </w:rPr>
        <w:t>4</w:t>
      </w:r>
      <w:r w:rsidR="00674A13" w:rsidRPr="00FD7633">
        <w:rPr>
          <w:rFonts w:eastAsiaTheme="minorHAnsi"/>
          <w:lang w:eastAsia="en-US"/>
        </w:rPr>
        <w:t xml:space="preserve"> Recomendar à Alta Administração que determine a realização de estudos objetivando </w:t>
      </w:r>
      <w:r w:rsidR="004D4B21" w:rsidRPr="00FD7633">
        <w:rPr>
          <w:rFonts w:eastAsiaTheme="minorHAnsi"/>
          <w:lang w:eastAsia="en-US"/>
        </w:rPr>
        <w:t>veri</w:t>
      </w:r>
      <w:r w:rsidR="00674A13" w:rsidRPr="00FD7633">
        <w:rPr>
          <w:rFonts w:eastAsiaTheme="minorHAnsi"/>
          <w:lang w:eastAsia="en-US"/>
        </w:rPr>
        <w:t xml:space="preserve">ficar </w:t>
      </w:r>
      <w:r w:rsidR="004D4B21" w:rsidRPr="00FD7633">
        <w:rPr>
          <w:rFonts w:eastAsiaTheme="minorHAnsi"/>
          <w:lang w:eastAsia="en-US"/>
        </w:rPr>
        <w:t>a possibilidade de transformação de</w:t>
      </w:r>
      <w:r w:rsidR="00674A13" w:rsidRPr="00FD7633">
        <w:rPr>
          <w:rFonts w:eastAsiaTheme="minorHAnsi"/>
          <w:lang w:eastAsia="en-US"/>
        </w:rPr>
        <w:t xml:space="preserve"> cargo </w:t>
      </w:r>
      <w:r w:rsidR="004D4B21" w:rsidRPr="00FD7633">
        <w:rPr>
          <w:rFonts w:eastAsiaTheme="minorHAnsi"/>
          <w:lang w:eastAsia="en-US"/>
        </w:rPr>
        <w:t xml:space="preserve">de </w:t>
      </w:r>
      <w:r w:rsidR="004D4B21" w:rsidRPr="00387162">
        <w:rPr>
          <w:rFonts w:eastAsiaTheme="minorHAnsi"/>
          <w:lang w:eastAsia="en-US"/>
        </w:rPr>
        <w:t>analista judiciário</w:t>
      </w:r>
      <w:r w:rsidR="006D7E0E" w:rsidRPr="00387162">
        <w:rPr>
          <w:rFonts w:eastAsiaTheme="minorHAnsi"/>
          <w:lang w:eastAsia="en-US"/>
        </w:rPr>
        <w:t xml:space="preserve"> </w:t>
      </w:r>
      <w:r w:rsidR="00674A13" w:rsidRPr="00387162">
        <w:rPr>
          <w:rFonts w:eastAsiaTheme="minorHAnsi"/>
          <w:lang w:eastAsia="en-US"/>
        </w:rPr>
        <w:t>existente e</w:t>
      </w:r>
      <w:r w:rsidR="004D4B21" w:rsidRPr="00387162">
        <w:rPr>
          <w:rFonts w:eastAsiaTheme="minorHAnsi"/>
          <w:lang w:eastAsia="en-US"/>
        </w:rPr>
        <w:t>m analista judiciário</w:t>
      </w:r>
      <w:r w:rsidR="00B16E37">
        <w:rPr>
          <w:rFonts w:eastAsiaTheme="minorHAnsi"/>
          <w:lang w:eastAsia="en-US"/>
        </w:rPr>
        <w:t xml:space="preserve">, </w:t>
      </w:r>
      <w:r w:rsidR="00387162">
        <w:rPr>
          <w:rFonts w:eastAsiaTheme="minorHAnsi"/>
          <w:lang w:eastAsia="en-US"/>
        </w:rPr>
        <w:t>área de apoio</w:t>
      </w:r>
      <w:r w:rsidR="004D4B21" w:rsidRPr="00387162">
        <w:rPr>
          <w:rFonts w:eastAsiaTheme="minorHAnsi"/>
          <w:lang w:eastAsia="en-US"/>
        </w:rPr>
        <w:t xml:space="preserve"> </w:t>
      </w:r>
      <w:r w:rsidR="006D7E0E" w:rsidRPr="00387162">
        <w:rPr>
          <w:rFonts w:eastAsiaTheme="minorHAnsi"/>
          <w:lang w:eastAsia="en-US"/>
        </w:rPr>
        <w:t>especializado</w:t>
      </w:r>
      <w:r w:rsidR="00B16E37">
        <w:rPr>
          <w:rFonts w:eastAsiaTheme="minorHAnsi"/>
          <w:lang w:eastAsia="en-US"/>
        </w:rPr>
        <w:t xml:space="preserve">, </w:t>
      </w:r>
      <w:r w:rsidR="00387162">
        <w:rPr>
          <w:rFonts w:eastAsiaTheme="minorHAnsi"/>
          <w:lang w:eastAsia="en-US"/>
        </w:rPr>
        <w:t>especialidade engenharia elétrica</w:t>
      </w:r>
      <w:r w:rsidR="00674A13" w:rsidRPr="00FD7633">
        <w:rPr>
          <w:rFonts w:eastAsiaTheme="minorHAnsi"/>
          <w:lang w:eastAsia="en-US"/>
        </w:rPr>
        <w:t>, observados os interesses e prioridades da gestão.</w:t>
      </w:r>
      <w:r w:rsidR="008F1E8F" w:rsidRPr="00FD7633">
        <w:rPr>
          <w:rFonts w:eastAsiaTheme="minorHAnsi"/>
          <w:lang w:eastAsia="en-US"/>
        </w:rPr>
        <w:t xml:space="preserve"> </w:t>
      </w:r>
      <w:r w:rsidR="008F1E8F" w:rsidRPr="00FD7633">
        <w:t>(Ref. Subite</w:t>
      </w:r>
      <w:r w:rsidR="00FD7633" w:rsidRPr="00FD7633">
        <w:t>ns</w:t>
      </w:r>
      <w:r w:rsidR="008F1E8F" w:rsidRPr="00FD7633">
        <w:t xml:space="preserve"> 2.2</w:t>
      </w:r>
      <w:r w:rsidR="00FD7633" w:rsidRPr="00FD7633">
        <w:t xml:space="preserve"> e 2.3</w:t>
      </w:r>
      <w:r w:rsidR="008F1E8F" w:rsidRPr="00FD7633">
        <w:t>)</w:t>
      </w:r>
    </w:p>
    <w:p w:rsidR="00B726BC" w:rsidRPr="000300E2" w:rsidRDefault="00B909C2" w:rsidP="007333D3">
      <w:pPr>
        <w:pStyle w:val="Corpodetexto3"/>
        <w:tabs>
          <w:tab w:val="left" w:pos="851"/>
        </w:tabs>
        <w:spacing w:after="240"/>
        <w:jc w:val="right"/>
        <w:rPr>
          <w:szCs w:val="24"/>
        </w:rPr>
      </w:pPr>
      <w:r w:rsidRPr="000300E2">
        <w:rPr>
          <w:szCs w:val="24"/>
        </w:rPr>
        <w:t>S</w:t>
      </w:r>
      <w:r w:rsidR="00B726BC" w:rsidRPr="000300E2">
        <w:rPr>
          <w:szCs w:val="24"/>
        </w:rPr>
        <w:t xml:space="preserve">alvador </w:t>
      </w:r>
      <w:r w:rsidR="00FD7633" w:rsidRPr="00106862">
        <w:rPr>
          <w:rFonts w:cs="Arial"/>
          <w:szCs w:val="24"/>
        </w:rPr>
        <w:t>–</w:t>
      </w:r>
      <w:r w:rsidR="00CB4D2D">
        <w:rPr>
          <w:szCs w:val="24"/>
        </w:rPr>
        <w:t xml:space="preserve"> </w:t>
      </w:r>
      <w:r w:rsidR="00B726BC" w:rsidRPr="000300E2">
        <w:rPr>
          <w:szCs w:val="24"/>
        </w:rPr>
        <w:t xml:space="preserve">BA, </w:t>
      </w:r>
      <w:proofErr w:type="gramStart"/>
      <w:r w:rsidR="00115D63">
        <w:rPr>
          <w:szCs w:val="24"/>
        </w:rPr>
        <w:t>7</w:t>
      </w:r>
      <w:proofErr w:type="gramEnd"/>
      <w:r w:rsidR="00106B69">
        <w:rPr>
          <w:szCs w:val="24"/>
        </w:rPr>
        <w:t xml:space="preserve"> </w:t>
      </w:r>
      <w:r w:rsidR="00C728E7">
        <w:rPr>
          <w:szCs w:val="24"/>
        </w:rPr>
        <w:t xml:space="preserve">de </w:t>
      </w:r>
      <w:r w:rsidR="00115D63">
        <w:rPr>
          <w:szCs w:val="24"/>
        </w:rPr>
        <w:t>novemb</w:t>
      </w:r>
      <w:r w:rsidR="00204BCB">
        <w:rPr>
          <w:szCs w:val="24"/>
        </w:rPr>
        <w:t>ro</w:t>
      </w:r>
      <w:r w:rsidR="009C0104">
        <w:rPr>
          <w:szCs w:val="24"/>
        </w:rPr>
        <w:t xml:space="preserve"> </w:t>
      </w:r>
      <w:r w:rsidR="00914D3A" w:rsidRPr="000300E2">
        <w:rPr>
          <w:szCs w:val="24"/>
        </w:rPr>
        <w:t>de 201</w:t>
      </w:r>
      <w:r w:rsidR="00106B69">
        <w:rPr>
          <w:szCs w:val="24"/>
        </w:rPr>
        <w:t>6</w:t>
      </w:r>
      <w:r w:rsidR="00B726BC" w:rsidRPr="000300E2">
        <w:rPr>
          <w:szCs w:val="24"/>
        </w:rPr>
        <w:t>.</w:t>
      </w:r>
    </w:p>
    <w:p w:rsidR="004816CA" w:rsidRPr="004816CA" w:rsidRDefault="004816CA" w:rsidP="004816CA">
      <w:pPr>
        <w:pStyle w:val="Corpodetexto3"/>
        <w:ind w:left="709"/>
        <w:rPr>
          <w:sz w:val="20"/>
        </w:rPr>
      </w:pPr>
    </w:p>
    <w:p w:rsidR="00CD1C76" w:rsidRPr="00CD1C76" w:rsidRDefault="00CD1C76" w:rsidP="00CD1C76">
      <w:pPr>
        <w:pStyle w:val="Corpodetexto3"/>
        <w:ind w:firstLine="709"/>
        <w:rPr>
          <w:b/>
          <w:szCs w:val="24"/>
        </w:rPr>
      </w:pPr>
      <w:r w:rsidRPr="00CD1C76">
        <w:rPr>
          <w:b/>
          <w:szCs w:val="24"/>
        </w:rPr>
        <w:t xml:space="preserve">Ângela </w:t>
      </w:r>
      <w:r>
        <w:rPr>
          <w:b/>
          <w:szCs w:val="24"/>
        </w:rPr>
        <w:t xml:space="preserve">Roberta </w:t>
      </w:r>
      <w:r w:rsidRPr="00CD1C76">
        <w:rPr>
          <w:b/>
          <w:szCs w:val="24"/>
        </w:rPr>
        <w:t>Esquerdo</w:t>
      </w:r>
      <w:r>
        <w:rPr>
          <w:b/>
          <w:szCs w:val="24"/>
        </w:rPr>
        <w:t xml:space="preserve"> Gonzaga</w:t>
      </w:r>
    </w:p>
    <w:p w:rsidR="00797DDB" w:rsidRPr="00CD1C76" w:rsidRDefault="00797DDB" w:rsidP="00CD1C76">
      <w:pPr>
        <w:pStyle w:val="Corpodetexto3"/>
        <w:ind w:firstLine="709"/>
        <w:rPr>
          <w:i/>
          <w:szCs w:val="24"/>
        </w:rPr>
      </w:pPr>
      <w:r w:rsidRPr="00CD1C76">
        <w:rPr>
          <w:i/>
          <w:szCs w:val="24"/>
        </w:rPr>
        <w:t>Auditora Interna</w:t>
      </w:r>
    </w:p>
    <w:p w:rsidR="00CD1C76" w:rsidRPr="004816CA" w:rsidRDefault="00CD1C76" w:rsidP="00032B9C">
      <w:pPr>
        <w:pStyle w:val="Corpodetexto3"/>
        <w:ind w:left="709"/>
        <w:rPr>
          <w:i/>
          <w:sz w:val="20"/>
        </w:rPr>
      </w:pPr>
    </w:p>
    <w:p w:rsidR="00E00E4B" w:rsidRPr="00CD1C76" w:rsidRDefault="00E00E4B" w:rsidP="00CD1C76">
      <w:pPr>
        <w:pStyle w:val="Corpodetexto3"/>
        <w:ind w:firstLine="709"/>
        <w:rPr>
          <w:b/>
          <w:szCs w:val="24"/>
        </w:rPr>
      </w:pPr>
      <w:r w:rsidRPr="00CD1C76">
        <w:rPr>
          <w:b/>
          <w:szCs w:val="24"/>
        </w:rPr>
        <w:t>Eduardo</w:t>
      </w:r>
      <w:r w:rsidR="0022743B" w:rsidRPr="00CD1C76">
        <w:rPr>
          <w:b/>
          <w:szCs w:val="24"/>
        </w:rPr>
        <w:t xml:space="preserve"> </w:t>
      </w:r>
      <w:r w:rsidRPr="00CD1C76">
        <w:rPr>
          <w:b/>
          <w:szCs w:val="24"/>
        </w:rPr>
        <w:t>Machado Oliveira</w:t>
      </w:r>
    </w:p>
    <w:p w:rsidR="000616FD" w:rsidRPr="00CD1C76" w:rsidRDefault="000616FD" w:rsidP="00CD1C76">
      <w:pPr>
        <w:pStyle w:val="Corpodetexto3"/>
        <w:ind w:firstLine="709"/>
        <w:rPr>
          <w:i/>
          <w:szCs w:val="24"/>
        </w:rPr>
      </w:pPr>
      <w:r w:rsidRPr="00CD1C76">
        <w:rPr>
          <w:i/>
          <w:szCs w:val="24"/>
        </w:rPr>
        <w:t>Auditor Interno</w:t>
      </w:r>
    </w:p>
    <w:p w:rsidR="00CD1C76" w:rsidRPr="004816CA" w:rsidRDefault="00CD1C76" w:rsidP="00032B9C">
      <w:pPr>
        <w:pStyle w:val="Corpodetexto3"/>
        <w:ind w:left="709"/>
        <w:rPr>
          <w:sz w:val="20"/>
        </w:rPr>
      </w:pPr>
    </w:p>
    <w:p w:rsidR="000616FD" w:rsidRPr="00CD1C76" w:rsidRDefault="00CD1C76" w:rsidP="00CD1C76">
      <w:pPr>
        <w:pStyle w:val="Corpodetexto3"/>
        <w:ind w:firstLine="709"/>
        <w:rPr>
          <w:b/>
          <w:szCs w:val="24"/>
        </w:rPr>
      </w:pPr>
      <w:r w:rsidRPr="00CD1C76">
        <w:rPr>
          <w:b/>
          <w:szCs w:val="24"/>
        </w:rPr>
        <w:t>Ana Rejane Catunda Carvalho</w:t>
      </w:r>
    </w:p>
    <w:p w:rsidR="00D163DA" w:rsidRPr="00CD1C76" w:rsidRDefault="00B726BC" w:rsidP="00CD1C76">
      <w:pPr>
        <w:pStyle w:val="Corpodetexto3"/>
        <w:ind w:firstLine="709"/>
        <w:rPr>
          <w:b/>
          <w:szCs w:val="24"/>
          <w:u w:val="single"/>
        </w:rPr>
      </w:pPr>
      <w:r w:rsidRPr="00CD1C76">
        <w:rPr>
          <w:i/>
          <w:szCs w:val="24"/>
        </w:rPr>
        <w:t>Coordenadora</w:t>
      </w:r>
      <w:r w:rsidR="00D35BB9" w:rsidRPr="00CD1C76">
        <w:rPr>
          <w:i/>
          <w:szCs w:val="24"/>
        </w:rPr>
        <w:t xml:space="preserve"> </w:t>
      </w:r>
      <w:r w:rsidR="00914D3A" w:rsidRPr="00CD1C76">
        <w:rPr>
          <w:i/>
          <w:szCs w:val="24"/>
        </w:rPr>
        <w:t>da COGES</w:t>
      </w:r>
    </w:p>
    <w:sectPr w:rsidR="00D163DA" w:rsidRPr="00CD1C76" w:rsidSect="00F873CA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134" w:bottom="1134" w:left="1134" w:header="737" w:footer="73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7EF" w:rsidRDefault="007167EF">
      <w:r>
        <w:separator/>
      </w:r>
    </w:p>
  </w:endnote>
  <w:endnote w:type="continuationSeparator" w:id="0">
    <w:p w:rsidR="007167EF" w:rsidRDefault="0071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DD2" w:rsidRDefault="00D35FF8" w:rsidP="00C47BC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52DD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52DD2" w:rsidRDefault="00652DD2" w:rsidP="00B4074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39128"/>
      <w:docPartObj>
        <w:docPartGallery w:val="Page Numbers (Bottom of Page)"/>
        <w:docPartUnique/>
      </w:docPartObj>
    </w:sdtPr>
    <w:sdtEndPr/>
    <w:sdtContent>
      <w:p w:rsidR="003E0CAA" w:rsidRDefault="003E0CAA" w:rsidP="003E0CA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242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7EF" w:rsidRDefault="007167EF">
      <w:r>
        <w:separator/>
      </w:r>
    </w:p>
  </w:footnote>
  <w:footnote w:type="continuationSeparator" w:id="0">
    <w:p w:rsidR="007167EF" w:rsidRDefault="007167EF">
      <w:r>
        <w:continuationSeparator/>
      </w:r>
    </w:p>
  </w:footnote>
  <w:footnote w:id="1">
    <w:p w:rsidR="00A9571E" w:rsidRDefault="00A9571E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Resolução CNJ n.</w:t>
      </w:r>
      <w:r w:rsidR="00A627CE">
        <w:t>171, de 1º de março de 2013, d</w:t>
      </w:r>
      <w:r w:rsidR="00A627CE" w:rsidRPr="00A627CE">
        <w:t>ispõe sobre as normas técnicas de auditoria, inspeção administrativa e fiscalização nas unidades jurisdicionais vinculadas ao Conselho Nacional de Justiça</w:t>
      </w:r>
      <w:r w:rsidR="00AA6A3C">
        <w:t>.</w:t>
      </w:r>
    </w:p>
  </w:footnote>
  <w:footnote w:id="2">
    <w:p w:rsidR="00A627CE" w:rsidRDefault="00A627CE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="00AA6A3C" w:rsidRPr="001F577E">
        <w:t xml:space="preserve">Resolução do TRE-BA n. </w:t>
      </w:r>
      <w:r w:rsidR="00AA6A3C">
        <w:t xml:space="preserve">06, de </w:t>
      </w:r>
      <w:proofErr w:type="gramStart"/>
      <w:r w:rsidR="00AA6A3C">
        <w:t>4</w:t>
      </w:r>
      <w:proofErr w:type="gramEnd"/>
      <w:r w:rsidR="00AA6A3C">
        <w:t xml:space="preserve"> de maio de 2015, </w:t>
      </w:r>
      <w:r w:rsidR="002E4EA6">
        <w:t>r</w:t>
      </w:r>
      <w:r w:rsidR="00AA6A3C">
        <w:t>egulamenta e estabelece as atividades de auditoria, inspeção administrativa e fiscalização no âmbito da Secretaria do TRE-BA e dos Cartórios das Zonas Eleitorais da Bahia</w:t>
      </w:r>
    </w:p>
  </w:footnote>
  <w:footnote w:id="3">
    <w:p w:rsidR="00A627CE" w:rsidRDefault="00A627CE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="002E4EA6">
        <w:t>Lei n. 8.666, de 21 de junho de 1993, r</w:t>
      </w:r>
      <w:r w:rsidR="002E4EA6" w:rsidRPr="002E4EA6">
        <w:t>egulamenta o art. 37, inciso XXI, da Constituição Federal</w:t>
      </w:r>
      <w:r w:rsidR="002E4EA6">
        <w:t xml:space="preserve"> e</w:t>
      </w:r>
      <w:r w:rsidR="002E4EA6" w:rsidRPr="002E4EA6">
        <w:t xml:space="preserve"> institui normas para licitações e contratos da Administração Pública</w:t>
      </w:r>
      <w:r w:rsidR="002E4EA6">
        <w:t>.</w:t>
      </w:r>
    </w:p>
  </w:footnote>
  <w:footnote w:id="4">
    <w:p w:rsidR="004A222F" w:rsidRDefault="004A222F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Resolução CNJ n. 90, de 29 de setembro de 2009, d</w:t>
      </w:r>
      <w:r w:rsidRPr="004A222F">
        <w:t>ispõe sobre os requisitos de nivelamento de tecnologia da informação no âmbito do Poder Judiciário.</w:t>
      </w:r>
    </w:p>
  </w:footnote>
  <w:footnote w:id="5">
    <w:p w:rsidR="004A222F" w:rsidRDefault="004A222F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Resolução </w:t>
      </w:r>
      <w:r w:rsidR="00936CDE">
        <w:t>C</w:t>
      </w:r>
      <w:r>
        <w:t>N</w:t>
      </w:r>
      <w:r w:rsidR="00936CDE">
        <w:t>J n.</w:t>
      </w:r>
      <w:r>
        <w:t xml:space="preserve"> 99</w:t>
      </w:r>
      <w:r w:rsidR="00936CDE">
        <w:t>,</w:t>
      </w:r>
      <w:r>
        <w:t xml:space="preserve"> de 24</w:t>
      </w:r>
      <w:r w:rsidR="00936CDE">
        <w:t xml:space="preserve"> de novembro de </w:t>
      </w:r>
      <w:r>
        <w:t>2009</w:t>
      </w:r>
      <w:r w:rsidR="00936CDE">
        <w:t xml:space="preserve">, </w:t>
      </w:r>
      <w:r w:rsidR="001F577E">
        <w:t>i</w:t>
      </w:r>
      <w:r w:rsidR="00936CDE" w:rsidRPr="00936CDE">
        <w:t>nstitui o Planejamento Estratégico de Tecnologia da Informação e Comunicação no âmbito do Poder Judiciário.</w:t>
      </w:r>
    </w:p>
  </w:footnote>
  <w:footnote w:id="6">
    <w:p w:rsidR="004A222F" w:rsidRDefault="004A222F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="00936CDE">
        <w:t xml:space="preserve">Resolução CNJ n. 182, de 17 de outubro de 2013, </w:t>
      </w:r>
      <w:r w:rsidR="001F577E">
        <w:t>d</w:t>
      </w:r>
      <w:r w:rsidR="00023B15" w:rsidRPr="00023B15">
        <w:t>ispõe sobre diretrizes para as contratações de Solução de Tecnologia da Informação e Comunicação pelos órgãos submetidos ao controle administrativo e financeiro do CNJ.</w:t>
      </w:r>
    </w:p>
  </w:footnote>
  <w:footnote w:id="7">
    <w:p w:rsidR="004A222F" w:rsidRDefault="004A222F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="001F577E" w:rsidRPr="001F577E">
        <w:t xml:space="preserve">Resolução do TRE-BA n. </w:t>
      </w:r>
      <w:r w:rsidR="009374C2">
        <w:t>05</w:t>
      </w:r>
      <w:r w:rsidR="001F577E">
        <w:t>, de 28 de maio de 2013, aprova o Regulamento Interno da Secretaria do Tribunal.</w:t>
      </w:r>
    </w:p>
  </w:footnote>
  <w:footnote w:id="8">
    <w:p w:rsidR="002E4EA6" w:rsidRDefault="002E4EA6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Portaria DG TRE-BA n. 179, de </w:t>
      </w:r>
      <w:proofErr w:type="gramStart"/>
      <w:r>
        <w:t>3</w:t>
      </w:r>
      <w:proofErr w:type="gramEnd"/>
      <w:r>
        <w:t xml:space="preserve"> de novembro de 2015, dispõe sobre a regulamentação das Contratações de Solução de Tecnologia da Informação e Comunicação no âmbito do Tribunal Regional Eleitoral da Bahia.</w:t>
      </w:r>
    </w:p>
  </w:footnote>
  <w:footnote w:id="9">
    <w:p w:rsidR="002E4EA6" w:rsidRDefault="002E4EA6" w:rsidP="00C07DEF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Portaria DG TRE-BA n. 192, de 23 de novembro de 2015, d</w:t>
      </w:r>
      <w:r w:rsidRPr="002E4EA6">
        <w:t xml:space="preserve">ispõe sobre os procedimentos a serem observados na </w:t>
      </w:r>
      <w:bookmarkStart w:id="0" w:name="_GoBack"/>
      <w:bookmarkEnd w:id="0"/>
      <w:r w:rsidRPr="002E4EA6">
        <w:t>gestão e fiscalização de contratos firmados pelo Tribunal Regional Eleitoral da Bahia.</w:t>
      </w:r>
    </w:p>
  </w:footnote>
  <w:footnote w:id="10">
    <w:p w:rsidR="00C018CB" w:rsidRDefault="00C018CB" w:rsidP="006827A5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C018CB">
        <w:t>Serviço de Manutenção Programada Preditiva, Preventiva e Corretiva de Data Centers</w:t>
      </w:r>
      <w:r>
        <w:t xml:space="preserve"> fornecido pela ACECO TI. F</w:t>
      </w:r>
      <w:r w:rsidRPr="00C018CB">
        <w:t>onte: http://www.acecoti.com.br</w:t>
      </w:r>
      <w:r>
        <w:t xml:space="preserve"> </w:t>
      </w:r>
      <w:r w:rsidRPr="00C018CB">
        <w:t>/serv_ongoing.asp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3CA" w:rsidRPr="00F873CA" w:rsidRDefault="00D163DA" w:rsidP="00F873CA">
    <w:pPr>
      <w:tabs>
        <w:tab w:val="left" w:pos="90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ascii="Calibri" w:eastAsia="Calibri" w:hAnsi="Calibri"/>
        <w:sz w:val="22"/>
        <w:szCs w:val="22"/>
        <w:lang w:eastAsia="en-US"/>
      </w:rP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5pt;height:57.4pt" o:ole="" fillcolor="window">
          <v:imagedata r:id="rId1" o:title="" cropbottom="15491f" cropleft="9679f" cropright="9679f"/>
        </v:shape>
        <o:OLEObject Type="Embed" ProgID="Word.Picture.8" ShapeID="_x0000_i1025" DrawAspect="Content" ObjectID="_1682332450" r:id="rId2"/>
      </w:object>
    </w:r>
  </w:p>
  <w:p w:rsidR="00F873CA" w:rsidRPr="00F873CA" w:rsidRDefault="00F873CA" w:rsidP="00F873CA">
    <w:pPr>
      <w:tabs>
        <w:tab w:val="left" w:pos="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eastAsia="Calibri"/>
        <w:b/>
        <w:caps/>
        <w:lang w:eastAsia="en-US"/>
      </w:rPr>
      <w:t>Tribunal Regional Eleitoral DA BAHIA</w:t>
    </w:r>
  </w:p>
  <w:p w:rsidR="00F873CA" w:rsidRPr="00F873CA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>Secretaria de Controle Interno e Auditoria</w:t>
    </w:r>
  </w:p>
  <w:p w:rsidR="00F873CA" w:rsidRPr="00F873CA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 xml:space="preserve">Coordenadoria de Auditoria, Acompanhamento e Orientação da </w:t>
    </w:r>
    <w:proofErr w:type="gramStart"/>
    <w:r w:rsidRPr="00F873CA">
      <w:rPr>
        <w:rFonts w:eastAsia="Calibri"/>
        <w:lang w:eastAsia="en-US"/>
      </w:rPr>
      <w:t>Gestão</w:t>
    </w:r>
    <w:proofErr w:type="gramEnd"/>
  </w:p>
  <w:p w:rsidR="00F873CA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>
      <w:rPr>
        <w:rFonts w:eastAsia="Calibri"/>
        <w:lang w:eastAsia="en-US"/>
      </w:rPr>
      <w:t>Seção de Acompanhamento e Orientação à Gestão Administrativa</w:t>
    </w:r>
  </w:p>
  <w:p w:rsidR="00F873CA" w:rsidRPr="006B5E49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sz w:val="24"/>
        <w:szCs w:val="24"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3CA" w:rsidRPr="00F873CA" w:rsidRDefault="00D163DA" w:rsidP="00F873CA">
    <w:pPr>
      <w:tabs>
        <w:tab w:val="left" w:pos="90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ascii="Calibri" w:eastAsia="Calibri" w:hAnsi="Calibri"/>
        <w:sz w:val="22"/>
        <w:szCs w:val="22"/>
        <w:lang w:eastAsia="en-US"/>
      </w:rP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.5pt;height:59.2pt" o:ole="" fillcolor="window">
          <v:imagedata r:id="rId1" o:title="" cropbottom="15491f" cropleft="9679f" cropright="9679f"/>
        </v:shape>
        <o:OLEObject Type="Embed" ProgID="Word.Picture.8" ShapeID="_x0000_i1026" DrawAspect="Content" ObjectID="_1682332451" r:id="rId2"/>
      </w:object>
    </w:r>
  </w:p>
  <w:p w:rsidR="00F873CA" w:rsidRPr="00F873CA" w:rsidRDefault="00F873CA" w:rsidP="00F873CA">
    <w:pPr>
      <w:tabs>
        <w:tab w:val="left" w:pos="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eastAsia="Calibri"/>
        <w:b/>
        <w:caps/>
        <w:lang w:eastAsia="en-US"/>
      </w:rPr>
      <w:t>Tribunal Regional Eleitoral DA BAHIA</w:t>
    </w:r>
  </w:p>
  <w:p w:rsidR="00F873CA" w:rsidRPr="00F873CA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>Secretaria de Controle Interno e Auditoria</w:t>
    </w:r>
  </w:p>
  <w:p w:rsidR="00F873CA" w:rsidRPr="00F873CA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 xml:space="preserve">Coordenadoria de Auditoria, Acompanhamento e Orientação da </w:t>
    </w:r>
    <w:proofErr w:type="gramStart"/>
    <w:r w:rsidRPr="00F873CA">
      <w:rPr>
        <w:rFonts w:eastAsia="Calibri"/>
        <w:lang w:eastAsia="en-US"/>
      </w:rPr>
      <w:t>Gestão</w:t>
    </w:r>
    <w:proofErr w:type="gramEnd"/>
  </w:p>
  <w:p w:rsidR="00F873CA" w:rsidRDefault="00F873C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>
      <w:rPr>
        <w:rFonts w:eastAsia="Calibri"/>
        <w:lang w:eastAsia="en-US"/>
      </w:rPr>
      <w:t>Seção de Acompanhamento e Orientação à Gestão Administrativa</w:t>
    </w:r>
  </w:p>
  <w:p w:rsidR="00D163DA" w:rsidRPr="00F873CA" w:rsidRDefault="00D163DA" w:rsidP="00F873CA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6428"/>
    <w:multiLevelType w:val="hybridMultilevel"/>
    <w:tmpl w:val="44B647F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1515B"/>
    <w:multiLevelType w:val="multilevel"/>
    <w:tmpl w:val="95F09CC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F5A1488"/>
    <w:multiLevelType w:val="hybridMultilevel"/>
    <w:tmpl w:val="65A8362C"/>
    <w:lvl w:ilvl="0" w:tplc="5DB8B33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084138"/>
    <w:multiLevelType w:val="hybridMultilevel"/>
    <w:tmpl w:val="78747A8E"/>
    <w:lvl w:ilvl="0" w:tplc="3E9C7A76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3290943"/>
    <w:multiLevelType w:val="hybridMultilevel"/>
    <w:tmpl w:val="C7989B96"/>
    <w:lvl w:ilvl="0" w:tplc="6C9E75F8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color w:val="auto"/>
      </w:rPr>
    </w:lvl>
    <w:lvl w:ilvl="1" w:tplc="0416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">
    <w:nsid w:val="26C62BBF"/>
    <w:multiLevelType w:val="multilevel"/>
    <w:tmpl w:val="4DECA516"/>
    <w:lvl w:ilvl="0">
      <w:start w:val="10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3"/>
      <w:numFmt w:val="lowerLetter"/>
      <w:suff w:val="space"/>
      <w:lvlText w:val="%4)"/>
      <w:lvlJc w:val="left"/>
      <w:pPr>
        <w:ind w:firstLine="1134"/>
      </w:pPr>
      <w:rPr>
        <w:rFonts w:cs="Times New Roman" w:hint="default"/>
      </w:rPr>
    </w:lvl>
    <w:lvl w:ilvl="4">
      <w:start w:val="1"/>
      <w:numFmt w:val="decimal"/>
      <w:lvlText w:val="%4.%5)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28446430"/>
    <w:multiLevelType w:val="multilevel"/>
    <w:tmpl w:val="C568CFC4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C38F4"/>
    <w:multiLevelType w:val="hybridMultilevel"/>
    <w:tmpl w:val="99AE27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10514"/>
    <w:multiLevelType w:val="hybridMultilevel"/>
    <w:tmpl w:val="34B2FE1E"/>
    <w:lvl w:ilvl="0" w:tplc="0416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409AC"/>
    <w:multiLevelType w:val="multilevel"/>
    <w:tmpl w:val="28D026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3B9324CF"/>
    <w:multiLevelType w:val="hybridMultilevel"/>
    <w:tmpl w:val="032CF9D6"/>
    <w:lvl w:ilvl="0" w:tplc="7D76BFC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73595B"/>
    <w:multiLevelType w:val="multilevel"/>
    <w:tmpl w:val="3BEA1132"/>
    <w:lvl w:ilvl="0">
      <w:start w:val="1"/>
      <w:numFmt w:val="decimal"/>
      <w:pStyle w:val="PargrafodaLista1"/>
      <w:lvlText w:val="%1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E6406E8"/>
    <w:multiLevelType w:val="multilevel"/>
    <w:tmpl w:val="516022F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  <w:sz w:val="24"/>
      </w:rPr>
    </w:lvl>
  </w:abstractNum>
  <w:abstractNum w:abstractNumId="13">
    <w:nsid w:val="4EC05120"/>
    <w:multiLevelType w:val="multilevel"/>
    <w:tmpl w:val="4A60C17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hAnsi="Calibr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b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b/>
      </w:rPr>
    </w:lvl>
  </w:abstractNum>
  <w:abstractNum w:abstractNumId="14">
    <w:nsid w:val="58655833"/>
    <w:multiLevelType w:val="hybridMultilevel"/>
    <w:tmpl w:val="E884A8AE"/>
    <w:lvl w:ilvl="0" w:tplc="480ECFD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9554BBD"/>
    <w:multiLevelType w:val="hybridMultilevel"/>
    <w:tmpl w:val="BE926BCA"/>
    <w:lvl w:ilvl="0" w:tplc="0416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B161F2"/>
    <w:multiLevelType w:val="hybridMultilevel"/>
    <w:tmpl w:val="976EC9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927537"/>
    <w:multiLevelType w:val="hybridMultilevel"/>
    <w:tmpl w:val="BDE0E4B4"/>
    <w:lvl w:ilvl="0" w:tplc="55306E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3810862"/>
    <w:multiLevelType w:val="hybridMultilevel"/>
    <w:tmpl w:val="400C5A56"/>
    <w:lvl w:ilvl="0" w:tplc="46B883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D813EB8"/>
    <w:multiLevelType w:val="multilevel"/>
    <w:tmpl w:val="C568CFC4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1"/>
    <w:lvlOverride w:ilvl="0">
      <w:startOverride w:val="1"/>
    </w:lvlOverride>
  </w:num>
  <w:num w:numId="4">
    <w:abstractNumId w:val="10"/>
  </w:num>
  <w:num w:numId="5">
    <w:abstractNumId w:val="15"/>
  </w:num>
  <w:num w:numId="6">
    <w:abstractNumId w:val="19"/>
  </w:num>
  <w:num w:numId="7">
    <w:abstractNumId w:val="6"/>
  </w:num>
  <w:num w:numId="8">
    <w:abstractNumId w:val="3"/>
  </w:num>
  <w:num w:numId="9">
    <w:abstractNumId w:val="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8"/>
  </w:num>
  <w:num w:numId="14">
    <w:abstractNumId w:val="14"/>
  </w:num>
  <w:num w:numId="15">
    <w:abstractNumId w:val="18"/>
  </w:num>
  <w:num w:numId="16">
    <w:abstractNumId w:val="16"/>
  </w:num>
  <w:num w:numId="17">
    <w:abstractNumId w:val="2"/>
  </w:num>
  <w:num w:numId="18">
    <w:abstractNumId w:val="4"/>
  </w:num>
  <w:num w:numId="19">
    <w:abstractNumId w:val="9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5974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A3"/>
    <w:rsid w:val="00000A29"/>
    <w:rsid w:val="00001787"/>
    <w:rsid w:val="00002399"/>
    <w:rsid w:val="00002404"/>
    <w:rsid w:val="00002CDA"/>
    <w:rsid w:val="000041F0"/>
    <w:rsid w:val="0000434C"/>
    <w:rsid w:val="00006A7F"/>
    <w:rsid w:val="000075FC"/>
    <w:rsid w:val="000077DE"/>
    <w:rsid w:val="00007D86"/>
    <w:rsid w:val="00010982"/>
    <w:rsid w:val="00013981"/>
    <w:rsid w:val="00013A6D"/>
    <w:rsid w:val="00014F67"/>
    <w:rsid w:val="00015869"/>
    <w:rsid w:val="000159E4"/>
    <w:rsid w:val="00020367"/>
    <w:rsid w:val="000207E9"/>
    <w:rsid w:val="00022788"/>
    <w:rsid w:val="000232AA"/>
    <w:rsid w:val="000237A8"/>
    <w:rsid w:val="00023B15"/>
    <w:rsid w:val="00023FCB"/>
    <w:rsid w:val="000242D0"/>
    <w:rsid w:val="000249F3"/>
    <w:rsid w:val="00027AD9"/>
    <w:rsid w:val="000300E2"/>
    <w:rsid w:val="000309EB"/>
    <w:rsid w:val="000318AB"/>
    <w:rsid w:val="00032B9C"/>
    <w:rsid w:val="00033BA1"/>
    <w:rsid w:val="00034E87"/>
    <w:rsid w:val="00035002"/>
    <w:rsid w:val="000365CF"/>
    <w:rsid w:val="000418E6"/>
    <w:rsid w:val="00042244"/>
    <w:rsid w:val="00042D8B"/>
    <w:rsid w:val="0004496F"/>
    <w:rsid w:val="00044DAE"/>
    <w:rsid w:val="00051368"/>
    <w:rsid w:val="00052BE1"/>
    <w:rsid w:val="00053439"/>
    <w:rsid w:val="000553F6"/>
    <w:rsid w:val="00055B5C"/>
    <w:rsid w:val="00055E11"/>
    <w:rsid w:val="00056D5E"/>
    <w:rsid w:val="000616FD"/>
    <w:rsid w:val="00064450"/>
    <w:rsid w:val="00064B25"/>
    <w:rsid w:val="0006755D"/>
    <w:rsid w:val="00067B0F"/>
    <w:rsid w:val="000714E1"/>
    <w:rsid w:val="0007302E"/>
    <w:rsid w:val="00073EC0"/>
    <w:rsid w:val="0008010A"/>
    <w:rsid w:val="00080D8B"/>
    <w:rsid w:val="0008556F"/>
    <w:rsid w:val="000904CC"/>
    <w:rsid w:val="00090857"/>
    <w:rsid w:val="00090B5C"/>
    <w:rsid w:val="00091B55"/>
    <w:rsid w:val="000921ED"/>
    <w:rsid w:val="000923AD"/>
    <w:rsid w:val="00093EF2"/>
    <w:rsid w:val="00094F26"/>
    <w:rsid w:val="0009701B"/>
    <w:rsid w:val="000A0B2B"/>
    <w:rsid w:val="000A2D7E"/>
    <w:rsid w:val="000A4B94"/>
    <w:rsid w:val="000A504F"/>
    <w:rsid w:val="000A6410"/>
    <w:rsid w:val="000A6946"/>
    <w:rsid w:val="000A6999"/>
    <w:rsid w:val="000A6AA6"/>
    <w:rsid w:val="000A78F6"/>
    <w:rsid w:val="000A7C3F"/>
    <w:rsid w:val="000B1339"/>
    <w:rsid w:val="000B256B"/>
    <w:rsid w:val="000B44B8"/>
    <w:rsid w:val="000B542F"/>
    <w:rsid w:val="000B597B"/>
    <w:rsid w:val="000B632D"/>
    <w:rsid w:val="000B789D"/>
    <w:rsid w:val="000C010F"/>
    <w:rsid w:val="000C1063"/>
    <w:rsid w:val="000C2B79"/>
    <w:rsid w:val="000C38E2"/>
    <w:rsid w:val="000C3DC5"/>
    <w:rsid w:val="000C4A4C"/>
    <w:rsid w:val="000D1449"/>
    <w:rsid w:val="000D1AE6"/>
    <w:rsid w:val="000D3C95"/>
    <w:rsid w:val="000D3DD7"/>
    <w:rsid w:val="000D568A"/>
    <w:rsid w:val="000D6AFA"/>
    <w:rsid w:val="000E00B1"/>
    <w:rsid w:val="000E3D0C"/>
    <w:rsid w:val="000E41BC"/>
    <w:rsid w:val="000F0F09"/>
    <w:rsid w:val="000F10C0"/>
    <w:rsid w:val="000F3A25"/>
    <w:rsid w:val="000F420D"/>
    <w:rsid w:val="000F4355"/>
    <w:rsid w:val="000F4E35"/>
    <w:rsid w:val="000F50D7"/>
    <w:rsid w:val="000F51CD"/>
    <w:rsid w:val="000F6B6F"/>
    <w:rsid w:val="000F71D6"/>
    <w:rsid w:val="00101BD6"/>
    <w:rsid w:val="001021F7"/>
    <w:rsid w:val="00102D5D"/>
    <w:rsid w:val="00102F09"/>
    <w:rsid w:val="0010312A"/>
    <w:rsid w:val="0010414D"/>
    <w:rsid w:val="00104629"/>
    <w:rsid w:val="0010609B"/>
    <w:rsid w:val="00106464"/>
    <w:rsid w:val="00106862"/>
    <w:rsid w:val="00106B69"/>
    <w:rsid w:val="00106FFA"/>
    <w:rsid w:val="00111C98"/>
    <w:rsid w:val="00111D78"/>
    <w:rsid w:val="00112220"/>
    <w:rsid w:val="00113F36"/>
    <w:rsid w:val="00113F8D"/>
    <w:rsid w:val="0011524A"/>
    <w:rsid w:val="001159BD"/>
    <w:rsid w:val="00115D63"/>
    <w:rsid w:val="0012450B"/>
    <w:rsid w:val="00125D74"/>
    <w:rsid w:val="00131066"/>
    <w:rsid w:val="00131C8C"/>
    <w:rsid w:val="00132223"/>
    <w:rsid w:val="00132D01"/>
    <w:rsid w:val="00133EAE"/>
    <w:rsid w:val="0013550A"/>
    <w:rsid w:val="00137888"/>
    <w:rsid w:val="00143824"/>
    <w:rsid w:val="00144F58"/>
    <w:rsid w:val="00147A2E"/>
    <w:rsid w:val="00150B70"/>
    <w:rsid w:val="0015103D"/>
    <w:rsid w:val="00152D7F"/>
    <w:rsid w:val="00154948"/>
    <w:rsid w:val="00154DBA"/>
    <w:rsid w:val="001550A6"/>
    <w:rsid w:val="00157D36"/>
    <w:rsid w:val="001615CF"/>
    <w:rsid w:val="00161EFC"/>
    <w:rsid w:val="00162083"/>
    <w:rsid w:val="0016223A"/>
    <w:rsid w:val="00162804"/>
    <w:rsid w:val="001633B2"/>
    <w:rsid w:val="0016439F"/>
    <w:rsid w:val="001650B8"/>
    <w:rsid w:val="0016531A"/>
    <w:rsid w:val="00167D1F"/>
    <w:rsid w:val="0017028A"/>
    <w:rsid w:val="0017051B"/>
    <w:rsid w:val="00170713"/>
    <w:rsid w:val="00173C18"/>
    <w:rsid w:val="00177770"/>
    <w:rsid w:val="00180038"/>
    <w:rsid w:val="001829BF"/>
    <w:rsid w:val="00182A87"/>
    <w:rsid w:val="00184A92"/>
    <w:rsid w:val="001865CA"/>
    <w:rsid w:val="00186D1E"/>
    <w:rsid w:val="0018750B"/>
    <w:rsid w:val="0019021C"/>
    <w:rsid w:val="00191F2B"/>
    <w:rsid w:val="00192830"/>
    <w:rsid w:val="0019285C"/>
    <w:rsid w:val="00192910"/>
    <w:rsid w:val="001957F4"/>
    <w:rsid w:val="00195E5D"/>
    <w:rsid w:val="00196029"/>
    <w:rsid w:val="00196A65"/>
    <w:rsid w:val="00197F29"/>
    <w:rsid w:val="001A0401"/>
    <w:rsid w:val="001A0603"/>
    <w:rsid w:val="001A0880"/>
    <w:rsid w:val="001A08B2"/>
    <w:rsid w:val="001A1867"/>
    <w:rsid w:val="001A43A8"/>
    <w:rsid w:val="001A46A8"/>
    <w:rsid w:val="001A4DCA"/>
    <w:rsid w:val="001A5277"/>
    <w:rsid w:val="001A6F98"/>
    <w:rsid w:val="001B11FA"/>
    <w:rsid w:val="001B370C"/>
    <w:rsid w:val="001B49DE"/>
    <w:rsid w:val="001B54E1"/>
    <w:rsid w:val="001B5C04"/>
    <w:rsid w:val="001B6545"/>
    <w:rsid w:val="001B66D6"/>
    <w:rsid w:val="001B7404"/>
    <w:rsid w:val="001C0242"/>
    <w:rsid w:val="001C09C7"/>
    <w:rsid w:val="001C0AE2"/>
    <w:rsid w:val="001C18E2"/>
    <w:rsid w:val="001C414C"/>
    <w:rsid w:val="001C45E9"/>
    <w:rsid w:val="001C548E"/>
    <w:rsid w:val="001C57D4"/>
    <w:rsid w:val="001C611D"/>
    <w:rsid w:val="001C6A85"/>
    <w:rsid w:val="001C6DA3"/>
    <w:rsid w:val="001C6F36"/>
    <w:rsid w:val="001C6FD6"/>
    <w:rsid w:val="001C7670"/>
    <w:rsid w:val="001D0169"/>
    <w:rsid w:val="001D0C03"/>
    <w:rsid w:val="001D177D"/>
    <w:rsid w:val="001D2468"/>
    <w:rsid w:val="001D2F13"/>
    <w:rsid w:val="001D3482"/>
    <w:rsid w:val="001D4820"/>
    <w:rsid w:val="001D58CA"/>
    <w:rsid w:val="001D66BA"/>
    <w:rsid w:val="001D6984"/>
    <w:rsid w:val="001D6A2C"/>
    <w:rsid w:val="001D6AAF"/>
    <w:rsid w:val="001D7198"/>
    <w:rsid w:val="001D71F8"/>
    <w:rsid w:val="001E0935"/>
    <w:rsid w:val="001E3E67"/>
    <w:rsid w:val="001E637B"/>
    <w:rsid w:val="001E67DE"/>
    <w:rsid w:val="001E724C"/>
    <w:rsid w:val="001F0097"/>
    <w:rsid w:val="001F577E"/>
    <w:rsid w:val="002015A2"/>
    <w:rsid w:val="00201F0C"/>
    <w:rsid w:val="00202936"/>
    <w:rsid w:val="00204BCB"/>
    <w:rsid w:val="0020658F"/>
    <w:rsid w:val="0020726F"/>
    <w:rsid w:val="002114AB"/>
    <w:rsid w:val="00211942"/>
    <w:rsid w:val="00213046"/>
    <w:rsid w:val="00214C94"/>
    <w:rsid w:val="00216758"/>
    <w:rsid w:val="0022743B"/>
    <w:rsid w:val="00227A6C"/>
    <w:rsid w:val="00227BD4"/>
    <w:rsid w:val="002307B7"/>
    <w:rsid w:val="00232FA6"/>
    <w:rsid w:val="00233541"/>
    <w:rsid w:val="002347C5"/>
    <w:rsid w:val="00234A8A"/>
    <w:rsid w:val="0023666A"/>
    <w:rsid w:val="00240F50"/>
    <w:rsid w:val="00241707"/>
    <w:rsid w:val="00243228"/>
    <w:rsid w:val="00246152"/>
    <w:rsid w:val="002471D3"/>
    <w:rsid w:val="002478EF"/>
    <w:rsid w:val="00247EB2"/>
    <w:rsid w:val="00251D6A"/>
    <w:rsid w:val="002560E8"/>
    <w:rsid w:val="00256824"/>
    <w:rsid w:val="0026415C"/>
    <w:rsid w:val="00264AB8"/>
    <w:rsid w:val="00264EF3"/>
    <w:rsid w:val="00265480"/>
    <w:rsid w:val="00265B6C"/>
    <w:rsid w:val="00266A4D"/>
    <w:rsid w:val="00266B96"/>
    <w:rsid w:val="002715D2"/>
    <w:rsid w:val="00276972"/>
    <w:rsid w:val="00276E9B"/>
    <w:rsid w:val="00277155"/>
    <w:rsid w:val="0027766B"/>
    <w:rsid w:val="002803BA"/>
    <w:rsid w:val="00281F43"/>
    <w:rsid w:val="0028273F"/>
    <w:rsid w:val="00282D36"/>
    <w:rsid w:val="002838EC"/>
    <w:rsid w:val="00287DAD"/>
    <w:rsid w:val="002908D7"/>
    <w:rsid w:val="0029099A"/>
    <w:rsid w:val="00290CC3"/>
    <w:rsid w:val="0029389C"/>
    <w:rsid w:val="00293ED2"/>
    <w:rsid w:val="0029705A"/>
    <w:rsid w:val="002A0EB7"/>
    <w:rsid w:val="002A23A0"/>
    <w:rsid w:val="002A2AC1"/>
    <w:rsid w:val="002A2CAD"/>
    <w:rsid w:val="002A36FB"/>
    <w:rsid w:val="002A53A1"/>
    <w:rsid w:val="002A63DE"/>
    <w:rsid w:val="002A6442"/>
    <w:rsid w:val="002A7083"/>
    <w:rsid w:val="002B06A3"/>
    <w:rsid w:val="002B0F9C"/>
    <w:rsid w:val="002B164C"/>
    <w:rsid w:val="002B1E56"/>
    <w:rsid w:val="002B31A2"/>
    <w:rsid w:val="002B413D"/>
    <w:rsid w:val="002B680F"/>
    <w:rsid w:val="002B693A"/>
    <w:rsid w:val="002B75BE"/>
    <w:rsid w:val="002B7C78"/>
    <w:rsid w:val="002C0EC7"/>
    <w:rsid w:val="002C1433"/>
    <w:rsid w:val="002C3FE6"/>
    <w:rsid w:val="002C4BC9"/>
    <w:rsid w:val="002C5A6B"/>
    <w:rsid w:val="002C712D"/>
    <w:rsid w:val="002C722C"/>
    <w:rsid w:val="002C76E3"/>
    <w:rsid w:val="002D5065"/>
    <w:rsid w:val="002D6DE0"/>
    <w:rsid w:val="002E1967"/>
    <w:rsid w:val="002E4EA6"/>
    <w:rsid w:val="002E5A0D"/>
    <w:rsid w:val="002E5BA6"/>
    <w:rsid w:val="002E6239"/>
    <w:rsid w:val="002E65B0"/>
    <w:rsid w:val="002E68C2"/>
    <w:rsid w:val="002F0428"/>
    <w:rsid w:val="002F06C8"/>
    <w:rsid w:val="002F2874"/>
    <w:rsid w:val="002F2909"/>
    <w:rsid w:val="002F4875"/>
    <w:rsid w:val="002F49F0"/>
    <w:rsid w:val="002F4A7F"/>
    <w:rsid w:val="002F5F77"/>
    <w:rsid w:val="002F704A"/>
    <w:rsid w:val="002F79D3"/>
    <w:rsid w:val="002F7C0C"/>
    <w:rsid w:val="0030170E"/>
    <w:rsid w:val="00301EA8"/>
    <w:rsid w:val="00302349"/>
    <w:rsid w:val="00303151"/>
    <w:rsid w:val="00304D3C"/>
    <w:rsid w:val="00304D8F"/>
    <w:rsid w:val="003067CE"/>
    <w:rsid w:val="003072AF"/>
    <w:rsid w:val="003079D1"/>
    <w:rsid w:val="00310F39"/>
    <w:rsid w:val="003111FB"/>
    <w:rsid w:val="0031178D"/>
    <w:rsid w:val="0031207B"/>
    <w:rsid w:val="0031232A"/>
    <w:rsid w:val="0031300B"/>
    <w:rsid w:val="00314D5F"/>
    <w:rsid w:val="00317133"/>
    <w:rsid w:val="00317763"/>
    <w:rsid w:val="00320AAA"/>
    <w:rsid w:val="003222A0"/>
    <w:rsid w:val="003309BF"/>
    <w:rsid w:val="00331129"/>
    <w:rsid w:val="0033328C"/>
    <w:rsid w:val="0033367C"/>
    <w:rsid w:val="003336BE"/>
    <w:rsid w:val="003346F9"/>
    <w:rsid w:val="00335F38"/>
    <w:rsid w:val="00337717"/>
    <w:rsid w:val="00337AD3"/>
    <w:rsid w:val="0034003C"/>
    <w:rsid w:val="00340231"/>
    <w:rsid w:val="00340EE6"/>
    <w:rsid w:val="003423B2"/>
    <w:rsid w:val="00343948"/>
    <w:rsid w:val="00346429"/>
    <w:rsid w:val="00347358"/>
    <w:rsid w:val="003478A5"/>
    <w:rsid w:val="003506AB"/>
    <w:rsid w:val="0035164A"/>
    <w:rsid w:val="00351915"/>
    <w:rsid w:val="00353718"/>
    <w:rsid w:val="00354AED"/>
    <w:rsid w:val="00355054"/>
    <w:rsid w:val="003557AD"/>
    <w:rsid w:val="00356663"/>
    <w:rsid w:val="00356F2B"/>
    <w:rsid w:val="003574DF"/>
    <w:rsid w:val="003621EB"/>
    <w:rsid w:val="00362E65"/>
    <w:rsid w:val="00364CF8"/>
    <w:rsid w:val="0036578C"/>
    <w:rsid w:val="00366054"/>
    <w:rsid w:val="00367505"/>
    <w:rsid w:val="00370422"/>
    <w:rsid w:val="00370A6B"/>
    <w:rsid w:val="00371952"/>
    <w:rsid w:val="003726A2"/>
    <w:rsid w:val="003747FC"/>
    <w:rsid w:val="00374FF8"/>
    <w:rsid w:val="003751CF"/>
    <w:rsid w:val="0037613C"/>
    <w:rsid w:val="0037705A"/>
    <w:rsid w:val="00377461"/>
    <w:rsid w:val="00377570"/>
    <w:rsid w:val="003815DA"/>
    <w:rsid w:val="003829EB"/>
    <w:rsid w:val="00383B19"/>
    <w:rsid w:val="00383BDB"/>
    <w:rsid w:val="003844A4"/>
    <w:rsid w:val="0038467E"/>
    <w:rsid w:val="00384E77"/>
    <w:rsid w:val="00384F20"/>
    <w:rsid w:val="00387162"/>
    <w:rsid w:val="00387608"/>
    <w:rsid w:val="00390197"/>
    <w:rsid w:val="00392B03"/>
    <w:rsid w:val="00393101"/>
    <w:rsid w:val="00393263"/>
    <w:rsid w:val="0039532F"/>
    <w:rsid w:val="00396E93"/>
    <w:rsid w:val="003979E6"/>
    <w:rsid w:val="003A0C4F"/>
    <w:rsid w:val="003A1453"/>
    <w:rsid w:val="003A23A1"/>
    <w:rsid w:val="003B2466"/>
    <w:rsid w:val="003B2FBB"/>
    <w:rsid w:val="003B3A56"/>
    <w:rsid w:val="003B4037"/>
    <w:rsid w:val="003B4B6A"/>
    <w:rsid w:val="003B4DCB"/>
    <w:rsid w:val="003B5D01"/>
    <w:rsid w:val="003B5F5F"/>
    <w:rsid w:val="003C1A3A"/>
    <w:rsid w:val="003C2AA5"/>
    <w:rsid w:val="003C6128"/>
    <w:rsid w:val="003C6194"/>
    <w:rsid w:val="003C74CE"/>
    <w:rsid w:val="003D02D7"/>
    <w:rsid w:val="003D2428"/>
    <w:rsid w:val="003D2493"/>
    <w:rsid w:val="003D4508"/>
    <w:rsid w:val="003D497F"/>
    <w:rsid w:val="003D4AAC"/>
    <w:rsid w:val="003D5498"/>
    <w:rsid w:val="003E0762"/>
    <w:rsid w:val="003E07E7"/>
    <w:rsid w:val="003E0CAA"/>
    <w:rsid w:val="003E10DA"/>
    <w:rsid w:val="003E2A18"/>
    <w:rsid w:val="003E3A8A"/>
    <w:rsid w:val="003E525C"/>
    <w:rsid w:val="003E5331"/>
    <w:rsid w:val="003E5C0C"/>
    <w:rsid w:val="003E6556"/>
    <w:rsid w:val="003E6E11"/>
    <w:rsid w:val="003E7AD8"/>
    <w:rsid w:val="003F2E20"/>
    <w:rsid w:val="003F3C3E"/>
    <w:rsid w:val="003F5AF7"/>
    <w:rsid w:val="004008FF"/>
    <w:rsid w:val="004013CC"/>
    <w:rsid w:val="004018C0"/>
    <w:rsid w:val="004031CE"/>
    <w:rsid w:val="00403D7E"/>
    <w:rsid w:val="00404017"/>
    <w:rsid w:val="00405084"/>
    <w:rsid w:val="00405129"/>
    <w:rsid w:val="0041011B"/>
    <w:rsid w:val="004104EF"/>
    <w:rsid w:val="00413411"/>
    <w:rsid w:val="00413B4F"/>
    <w:rsid w:val="0042015A"/>
    <w:rsid w:val="004206C8"/>
    <w:rsid w:val="00425534"/>
    <w:rsid w:val="00425B85"/>
    <w:rsid w:val="00426275"/>
    <w:rsid w:val="00426CE4"/>
    <w:rsid w:val="004303E5"/>
    <w:rsid w:val="00431822"/>
    <w:rsid w:val="00433921"/>
    <w:rsid w:val="0043419D"/>
    <w:rsid w:val="00437336"/>
    <w:rsid w:val="004374F3"/>
    <w:rsid w:val="00437931"/>
    <w:rsid w:val="00440081"/>
    <w:rsid w:val="0044280E"/>
    <w:rsid w:val="004434F0"/>
    <w:rsid w:val="00443BD6"/>
    <w:rsid w:val="00444237"/>
    <w:rsid w:val="0044446A"/>
    <w:rsid w:val="0044570C"/>
    <w:rsid w:val="00450BEB"/>
    <w:rsid w:val="00451876"/>
    <w:rsid w:val="00451A14"/>
    <w:rsid w:val="004532A7"/>
    <w:rsid w:val="00453C45"/>
    <w:rsid w:val="00453F94"/>
    <w:rsid w:val="0045460D"/>
    <w:rsid w:val="004553AF"/>
    <w:rsid w:val="0045604D"/>
    <w:rsid w:val="00456185"/>
    <w:rsid w:val="00457583"/>
    <w:rsid w:val="004604F5"/>
    <w:rsid w:val="004614BA"/>
    <w:rsid w:val="00461694"/>
    <w:rsid w:val="00461F96"/>
    <w:rsid w:val="00464D9C"/>
    <w:rsid w:val="00464EF2"/>
    <w:rsid w:val="00466EAD"/>
    <w:rsid w:val="00467581"/>
    <w:rsid w:val="00467B77"/>
    <w:rsid w:val="00473798"/>
    <w:rsid w:val="00474861"/>
    <w:rsid w:val="004756C1"/>
    <w:rsid w:val="00476EE3"/>
    <w:rsid w:val="00477AF0"/>
    <w:rsid w:val="004816CA"/>
    <w:rsid w:val="0048387A"/>
    <w:rsid w:val="0048413D"/>
    <w:rsid w:val="00485096"/>
    <w:rsid w:val="004879D1"/>
    <w:rsid w:val="004910CF"/>
    <w:rsid w:val="00491CBC"/>
    <w:rsid w:val="00493A05"/>
    <w:rsid w:val="00494B5E"/>
    <w:rsid w:val="00494D66"/>
    <w:rsid w:val="0049584E"/>
    <w:rsid w:val="00495A98"/>
    <w:rsid w:val="004A222F"/>
    <w:rsid w:val="004A2A61"/>
    <w:rsid w:val="004A3F77"/>
    <w:rsid w:val="004A41E2"/>
    <w:rsid w:val="004A4938"/>
    <w:rsid w:val="004A4A37"/>
    <w:rsid w:val="004A4D4F"/>
    <w:rsid w:val="004A6412"/>
    <w:rsid w:val="004A6E52"/>
    <w:rsid w:val="004B00E2"/>
    <w:rsid w:val="004B1C53"/>
    <w:rsid w:val="004B35EF"/>
    <w:rsid w:val="004B3D1D"/>
    <w:rsid w:val="004B4626"/>
    <w:rsid w:val="004B5AA4"/>
    <w:rsid w:val="004B62E4"/>
    <w:rsid w:val="004B7298"/>
    <w:rsid w:val="004B76F8"/>
    <w:rsid w:val="004B7F53"/>
    <w:rsid w:val="004C02DD"/>
    <w:rsid w:val="004C2006"/>
    <w:rsid w:val="004C2638"/>
    <w:rsid w:val="004C36F0"/>
    <w:rsid w:val="004C3C7F"/>
    <w:rsid w:val="004C5258"/>
    <w:rsid w:val="004C52E3"/>
    <w:rsid w:val="004C5F84"/>
    <w:rsid w:val="004C634F"/>
    <w:rsid w:val="004D1B41"/>
    <w:rsid w:val="004D2279"/>
    <w:rsid w:val="004D3133"/>
    <w:rsid w:val="004D4AA1"/>
    <w:rsid w:val="004D4B21"/>
    <w:rsid w:val="004D5262"/>
    <w:rsid w:val="004E0489"/>
    <w:rsid w:val="004E0C2C"/>
    <w:rsid w:val="004E2093"/>
    <w:rsid w:val="004E2F50"/>
    <w:rsid w:val="004E37BE"/>
    <w:rsid w:val="004E39D6"/>
    <w:rsid w:val="004E4D27"/>
    <w:rsid w:val="004E5131"/>
    <w:rsid w:val="004E6802"/>
    <w:rsid w:val="004E7138"/>
    <w:rsid w:val="004E7EF8"/>
    <w:rsid w:val="004F01A5"/>
    <w:rsid w:val="004F04AD"/>
    <w:rsid w:val="004F1F0D"/>
    <w:rsid w:val="004F1F47"/>
    <w:rsid w:val="004F3C91"/>
    <w:rsid w:val="004F5087"/>
    <w:rsid w:val="004F5633"/>
    <w:rsid w:val="004F5841"/>
    <w:rsid w:val="004F59CA"/>
    <w:rsid w:val="004F760E"/>
    <w:rsid w:val="00500184"/>
    <w:rsid w:val="00500838"/>
    <w:rsid w:val="005012C9"/>
    <w:rsid w:val="00501359"/>
    <w:rsid w:val="005022CD"/>
    <w:rsid w:val="0050295B"/>
    <w:rsid w:val="00502F4C"/>
    <w:rsid w:val="00503F4F"/>
    <w:rsid w:val="00504ED2"/>
    <w:rsid w:val="00507B7C"/>
    <w:rsid w:val="00507DE0"/>
    <w:rsid w:val="005114A6"/>
    <w:rsid w:val="00512577"/>
    <w:rsid w:val="00512CC3"/>
    <w:rsid w:val="00512E7C"/>
    <w:rsid w:val="0051314E"/>
    <w:rsid w:val="00515FE2"/>
    <w:rsid w:val="00516DF1"/>
    <w:rsid w:val="00517D28"/>
    <w:rsid w:val="0052253B"/>
    <w:rsid w:val="0052294C"/>
    <w:rsid w:val="005244AA"/>
    <w:rsid w:val="0052640A"/>
    <w:rsid w:val="00527FD5"/>
    <w:rsid w:val="005302BF"/>
    <w:rsid w:val="005311EE"/>
    <w:rsid w:val="005314F0"/>
    <w:rsid w:val="0053169C"/>
    <w:rsid w:val="00535655"/>
    <w:rsid w:val="005356AD"/>
    <w:rsid w:val="00535B3C"/>
    <w:rsid w:val="00536348"/>
    <w:rsid w:val="00536DA1"/>
    <w:rsid w:val="00537956"/>
    <w:rsid w:val="005419F9"/>
    <w:rsid w:val="00542007"/>
    <w:rsid w:val="0054258F"/>
    <w:rsid w:val="00542784"/>
    <w:rsid w:val="00542FEF"/>
    <w:rsid w:val="0054339D"/>
    <w:rsid w:val="005479C2"/>
    <w:rsid w:val="0055065F"/>
    <w:rsid w:val="005512F8"/>
    <w:rsid w:val="00551E2C"/>
    <w:rsid w:val="00552D12"/>
    <w:rsid w:val="00553E68"/>
    <w:rsid w:val="00555110"/>
    <w:rsid w:val="00555465"/>
    <w:rsid w:val="00555566"/>
    <w:rsid w:val="005556AB"/>
    <w:rsid w:val="005559F4"/>
    <w:rsid w:val="00555B2D"/>
    <w:rsid w:val="00560B49"/>
    <w:rsid w:val="00561F63"/>
    <w:rsid w:val="0056214C"/>
    <w:rsid w:val="00563EDD"/>
    <w:rsid w:val="00565240"/>
    <w:rsid w:val="00566909"/>
    <w:rsid w:val="00570F1C"/>
    <w:rsid w:val="00571BB8"/>
    <w:rsid w:val="00573E70"/>
    <w:rsid w:val="005746D3"/>
    <w:rsid w:val="00575FAB"/>
    <w:rsid w:val="005776A2"/>
    <w:rsid w:val="00577C29"/>
    <w:rsid w:val="00583F8C"/>
    <w:rsid w:val="00584D98"/>
    <w:rsid w:val="00585599"/>
    <w:rsid w:val="005856E7"/>
    <w:rsid w:val="00590C3C"/>
    <w:rsid w:val="005918EA"/>
    <w:rsid w:val="0059418D"/>
    <w:rsid w:val="00594355"/>
    <w:rsid w:val="00597523"/>
    <w:rsid w:val="005A216E"/>
    <w:rsid w:val="005A298E"/>
    <w:rsid w:val="005A3E8A"/>
    <w:rsid w:val="005A5E58"/>
    <w:rsid w:val="005A7586"/>
    <w:rsid w:val="005A771D"/>
    <w:rsid w:val="005B2BC2"/>
    <w:rsid w:val="005B359B"/>
    <w:rsid w:val="005B4594"/>
    <w:rsid w:val="005B501B"/>
    <w:rsid w:val="005B5D75"/>
    <w:rsid w:val="005B6205"/>
    <w:rsid w:val="005B632A"/>
    <w:rsid w:val="005B7394"/>
    <w:rsid w:val="005B75DC"/>
    <w:rsid w:val="005C0504"/>
    <w:rsid w:val="005C0C6A"/>
    <w:rsid w:val="005C1ED6"/>
    <w:rsid w:val="005C2EE3"/>
    <w:rsid w:val="005C3439"/>
    <w:rsid w:val="005C36DF"/>
    <w:rsid w:val="005C686D"/>
    <w:rsid w:val="005C6F25"/>
    <w:rsid w:val="005C740B"/>
    <w:rsid w:val="005D1375"/>
    <w:rsid w:val="005D21DE"/>
    <w:rsid w:val="005D2337"/>
    <w:rsid w:val="005D24B3"/>
    <w:rsid w:val="005D2FAE"/>
    <w:rsid w:val="005D4F08"/>
    <w:rsid w:val="005D61CA"/>
    <w:rsid w:val="005E140E"/>
    <w:rsid w:val="005E1EBF"/>
    <w:rsid w:val="005E4B6E"/>
    <w:rsid w:val="005E4C17"/>
    <w:rsid w:val="005E52DA"/>
    <w:rsid w:val="005E63CE"/>
    <w:rsid w:val="005E66E6"/>
    <w:rsid w:val="005F352C"/>
    <w:rsid w:val="005F4768"/>
    <w:rsid w:val="005F7620"/>
    <w:rsid w:val="005F76CC"/>
    <w:rsid w:val="00600E26"/>
    <w:rsid w:val="006026A9"/>
    <w:rsid w:val="00604BAF"/>
    <w:rsid w:val="00604FE6"/>
    <w:rsid w:val="00605F1B"/>
    <w:rsid w:val="00606310"/>
    <w:rsid w:val="006105A6"/>
    <w:rsid w:val="0061067E"/>
    <w:rsid w:val="006113D3"/>
    <w:rsid w:val="0061372C"/>
    <w:rsid w:val="00615155"/>
    <w:rsid w:val="006162CC"/>
    <w:rsid w:val="00616365"/>
    <w:rsid w:val="00616E93"/>
    <w:rsid w:val="00621681"/>
    <w:rsid w:val="0062431C"/>
    <w:rsid w:val="006335AE"/>
    <w:rsid w:val="006337FC"/>
    <w:rsid w:val="006351BE"/>
    <w:rsid w:val="006369A0"/>
    <w:rsid w:val="00637B98"/>
    <w:rsid w:val="0064007F"/>
    <w:rsid w:val="00642003"/>
    <w:rsid w:val="00642333"/>
    <w:rsid w:val="00642348"/>
    <w:rsid w:val="006428E2"/>
    <w:rsid w:val="00643883"/>
    <w:rsid w:val="00645A38"/>
    <w:rsid w:val="00650DC2"/>
    <w:rsid w:val="00652DD2"/>
    <w:rsid w:val="00652F6A"/>
    <w:rsid w:val="00652F7E"/>
    <w:rsid w:val="00653E1F"/>
    <w:rsid w:val="00656476"/>
    <w:rsid w:val="00657416"/>
    <w:rsid w:val="006601F2"/>
    <w:rsid w:val="0066043E"/>
    <w:rsid w:val="00660EAA"/>
    <w:rsid w:val="00660EBE"/>
    <w:rsid w:val="006644A2"/>
    <w:rsid w:val="0066455A"/>
    <w:rsid w:val="00665CDD"/>
    <w:rsid w:val="00673EC6"/>
    <w:rsid w:val="00674174"/>
    <w:rsid w:val="00674A13"/>
    <w:rsid w:val="00674F7B"/>
    <w:rsid w:val="00675FB8"/>
    <w:rsid w:val="006768E1"/>
    <w:rsid w:val="006770D3"/>
    <w:rsid w:val="006803EE"/>
    <w:rsid w:val="006827A5"/>
    <w:rsid w:val="00682A6A"/>
    <w:rsid w:val="00682AF7"/>
    <w:rsid w:val="0068529E"/>
    <w:rsid w:val="0068722D"/>
    <w:rsid w:val="0069002E"/>
    <w:rsid w:val="0069032C"/>
    <w:rsid w:val="00690424"/>
    <w:rsid w:val="00690A9D"/>
    <w:rsid w:val="00690DC4"/>
    <w:rsid w:val="00691404"/>
    <w:rsid w:val="0069176F"/>
    <w:rsid w:val="006931C4"/>
    <w:rsid w:val="00693478"/>
    <w:rsid w:val="00693EF4"/>
    <w:rsid w:val="00694E98"/>
    <w:rsid w:val="0069522D"/>
    <w:rsid w:val="00695CBA"/>
    <w:rsid w:val="006A0C86"/>
    <w:rsid w:val="006A133A"/>
    <w:rsid w:val="006A4FC1"/>
    <w:rsid w:val="006A599C"/>
    <w:rsid w:val="006A7108"/>
    <w:rsid w:val="006B0EF4"/>
    <w:rsid w:val="006B1BBC"/>
    <w:rsid w:val="006B2605"/>
    <w:rsid w:val="006B308F"/>
    <w:rsid w:val="006B3466"/>
    <w:rsid w:val="006B49D7"/>
    <w:rsid w:val="006B5E49"/>
    <w:rsid w:val="006B6B82"/>
    <w:rsid w:val="006B7F85"/>
    <w:rsid w:val="006C1250"/>
    <w:rsid w:val="006C1BAE"/>
    <w:rsid w:val="006C43CC"/>
    <w:rsid w:val="006C7CE7"/>
    <w:rsid w:val="006C7DDA"/>
    <w:rsid w:val="006D0463"/>
    <w:rsid w:val="006D09B2"/>
    <w:rsid w:val="006D1972"/>
    <w:rsid w:val="006D2B4C"/>
    <w:rsid w:val="006D36E2"/>
    <w:rsid w:val="006D382C"/>
    <w:rsid w:val="006D59F6"/>
    <w:rsid w:val="006D6026"/>
    <w:rsid w:val="006D606D"/>
    <w:rsid w:val="006D7E0E"/>
    <w:rsid w:val="006E0298"/>
    <w:rsid w:val="006E2199"/>
    <w:rsid w:val="006E2915"/>
    <w:rsid w:val="006E2BBA"/>
    <w:rsid w:val="006E33D5"/>
    <w:rsid w:val="006E3BCE"/>
    <w:rsid w:val="006E444C"/>
    <w:rsid w:val="006E5B5F"/>
    <w:rsid w:val="006E642F"/>
    <w:rsid w:val="006F01BB"/>
    <w:rsid w:val="006F2C16"/>
    <w:rsid w:val="006F3867"/>
    <w:rsid w:val="006F3BFA"/>
    <w:rsid w:val="006F48FF"/>
    <w:rsid w:val="006F5573"/>
    <w:rsid w:val="006F5ED8"/>
    <w:rsid w:val="006F60BA"/>
    <w:rsid w:val="006F61C6"/>
    <w:rsid w:val="006F6382"/>
    <w:rsid w:val="006F675B"/>
    <w:rsid w:val="006F72EA"/>
    <w:rsid w:val="006F7713"/>
    <w:rsid w:val="007061E1"/>
    <w:rsid w:val="007064E3"/>
    <w:rsid w:val="00707789"/>
    <w:rsid w:val="00710D9B"/>
    <w:rsid w:val="007115D9"/>
    <w:rsid w:val="00712967"/>
    <w:rsid w:val="007167EF"/>
    <w:rsid w:val="00722ADA"/>
    <w:rsid w:val="00724682"/>
    <w:rsid w:val="0072575F"/>
    <w:rsid w:val="00725B0B"/>
    <w:rsid w:val="00726653"/>
    <w:rsid w:val="00730E6A"/>
    <w:rsid w:val="00730F94"/>
    <w:rsid w:val="007320F3"/>
    <w:rsid w:val="00732899"/>
    <w:rsid w:val="007333D3"/>
    <w:rsid w:val="007341BD"/>
    <w:rsid w:val="00735021"/>
    <w:rsid w:val="00735BA7"/>
    <w:rsid w:val="0073668C"/>
    <w:rsid w:val="007403D6"/>
    <w:rsid w:val="00741569"/>
    <w:rsid w:val="00741DB5"/>
    <w:rsid w:val="007427CE"/>
    <w:rsid w:val="0074503D"/>
    <w:rsid w:val="0074586E"/>
    <w:rsid w:val="00745FFE"/>
    <w:rsid w:val="007466F6"/>
    <w:rsid w:val="00746E65"/>
    <w:rsid w:val="00747279"/>
    <w:rsid w:val="00747B29"/>
    <w:rsid w:val="00747F8F"/>
    <w:rsid w:val="00751605"/>
    <w:rsid w:val="0075298E"/>
    <w:rsid w:val="00752D31"/>
    <w:rsid w:val="007563FE"/>
    <w:rsid w:val="0076124D"/>
    <w:rsid w:val="007629D8"/>
    <w:rsid w:val="007629F8"/>
    <w:rsid w:val="00764154"/>
    <w:rsid w:val="00767ECA"/>
    <w:rsid w:val="00767FDF"/>
    <w:rsid w:val="00771F5A"/>
    <w:rsid w:val="007729CE"/>
    <w:rsid w:val="00773203"/>
    <w:rsid w:val="00773294"/>
    <w:rsid w:val="0077351F"/>
    <w:rsid w:val="00773612"/>
    <w:rsid w:val="007749C5"/>
    <w:rsid w:val="00775F52"/>
    <w:rsid w:val="00777170"/>
    <w:rsid w:val="00780E62"/>
    <w:rsid w:val="007822D1"/>
    <w:rsid w:val="0078259F"/>
    <w:rsid w:val="00782950"/>
    <w:rsid w:val="0078376F"/>
    <w:rsid w:val="00783C52"/>
    <w:rsid w:val="0078590C"/>
    <w:rsid w:val="00785A2E"/>
    <w:rsid w:val="007863D3"/>
    <w:rsid w:val="00786DE6"/>
    <w:rsid w:val="00787222"/>
    <w:rsid w:val="007914CB"/>
    <w:rsid w:val="007931CD"/>
    <w:rsid w:val="00793BFC"/>
    <w:rsid w:val="007944FE"/>
    <w:rsid w:val="00796933"/>
    <w:rsid w:val="00797C61"/>
    <w:rsid w:val="00797C66"/>
    <w:rsid w:val="00797DDB"/>
    <w:rsid w:val="007A063E"/>
    <w:rsid w:val="007A07F6"/>
    <w:rsid w:val="007A08E6"/>
    <w:rsid w:val="007A0DC2"/>
    <w:rsid w:val="007A12DE"/>
    <w:rsid w:val="007A1CB7"/>
    <w:rsid w:val="007A24A8"/>
    <w:rsid w:val="007A2B1F"/>
    <w:rsid w:val="007A2DF5"/>
    <w:rsid w:val="007A3C46"/>
    <w:rsid w:val="007A4C4F"/>
    <w:rsid w:val="007A701B"/>
    <w:rsid w:val="007B03C1"/>
    <w:rsid w:val="007B0ED0"/>
    <w:rsid w:val="007B151D"/>
    <w:rsid w:val="007B2A62"/>
    <w:rsid w:val="007B71B0"/>
    <w:rsid w:val="007C05FB"/>
    <w:rsid w:val="007C5136"/>
    <w:rsid w:val="007C515F"/>
    <w:rsid w:val="007C688F"/>
    <w:rsid w:val="007C695D"/>
    <w:rsid w:val="007C7000"/>
    <w:rsid w:val="007C7B17"/>
    <w:rsid w:val="007C7D07"/>
    <w:rsid w:val="007D2A55"/>
    <w:rsid w:val="007D2A7C"/>
    <w:rsid w:val="007D2B5B"/>
    <w:rsid w:val="007D3F1A"/>
    <w:rsid w:val="007D4E73"/>
    <w:rsid w:val="007D6E7F"/>
    <w:rsid w:val="007D72C9"/>
    <w:rsid w:val="007D750A"/>
    <w:rsid w:val="007E0A0D"/>
    <w:rsid w:val="007E21BD"/>
    <w:rsid w:val="007E4B35"/>
    <w:rsid w:val="007E5963"/>
    <w:rsid w:val="007E6097"/>
    <w:rsid w:val="007E6C70"/>
    <w:rsid w:val="007F080F"/>
    <w:rsid w:val="007F153C"/>
    <w:rsid w:val="007F3092"/>
    <w:rsid w:val="007F3A29"/>
    <w:rsid w:val="007F4804"/>
    <w:rsid w:val="007F74A9"/>
    <w:rsid w:val="00800115"/>
    <w:rsid w:val="00800CEF"/>
    <w:rsid w:val="00801D58"/>
    <w:rsid w:val="008022CF"/>
    <w:rsid w:val="00802543"/>
    <w:rsid w:val="008044C6"/>
    <w:rsid w:val="00804579"/>
    <w:rsid w:val="008045D8"/>
    <w:rsid w:val="00805641"/>
    <w:rsid w:val="008065CF"/>
    <w:rsid w:val="00810E28"/>
    <w:rsid w:val="0081571E"/>
    <w:rsid w:val="00816F64"/>
    <w:rsid w:val="008179C5"/>
    <w:rsid w:val="008202DF"/>
    <w:rsid w:val="00821C46"/>
    <w:rsid w:val="00821E52"/>
    <w:rsid w:val="00823111"/>
    <w:rsid w:val="00823C1A"/>
    <w:rsid w:val="00826328"/>
    <w:rsid w:val="00831761"/>
    <w:rsid w:val="00832256"/>
    <w:rsid w:val="00833A44"/>
    <w:rsid w:val="0083485A"/>
    <w:rsid w:val="00835FD9"/>
    <w:rsid w:val="00836D21"/>
    <w:rsid w:val="008407DB"/>
    <w:rsid w:val="00840D3B"/>
    <w:rsid w:val="0084152E"/>
    <w:rsid w:val="008419F8"/>
    <w:rsid w:val="00841AA8"/>
    <w:rsid w:val="0084270C"/>
    <w:rsid w:val="00843329"/>
    <w:rsid w:val="008467A9"/>
    <w:rsid w:val="0084791D"/>
    <w:rsid w:val="00847EA1"/>
    <w:rsid w:val="008504E1"/>
    <w:rsid w:val="00850644"/>
    <w:rsid w:val="0085066E"/>
    <w:rsid w:val="0085093C"/>
    <w:rsid w:val="00850E73"/>
    <w:rsid w:val="00851715"/>
    <w:rsid w:val="00853312"/>
    <w:rsid w:val="00856320"/>
    <w:rsid w:val="00856506"/>
    <w:rsid w:val="00857003"/>
    <w:rsid w:val="008573D7"/>
    <w:rsid w:val="0086118D"/>
    <w:rsid w:val="00861C03"/>
    <w:rsid w:val="00862499"/>
    <w:rsid w:val="00862508"/>
    <w:rsid w:val="00862A84"/>
    <w:rsid w:val="008639C2"/>
    <w:rsid w:val="00863B49"/>
    <w:rsid w:val="0086460D"/>
    <w:rsid w:val="00865CA3"/>
    <w:rsid w:val="00865E3A"/>
    <w:rsid w:val="0086675C"/>
    <w:rsid w:val="00866996"/>
    <w:rsid w:val="00870423"/>
    <w:rsid w:val="0087122D"/>
    <w:rsid w:val="0087196A"/>
    <w:rsid w:val="00871B13"/>
    <w:rsid w:val="00872AB5"/>
    <w:rsid w:val="00874769"/>
    <w:rsid w:val="00875FA5"/>
    <w:rsid w:val="00876E23"/>
    <w:rsid w:val="00877F87"/>
    <w:rsid w:val="00880FCE"/>
    <w:rsid w:val="00882270"/>
    <w:rsid w:val="00882B4A"/>
    <w:rsid w:val="00882F64"/>
    <w:rsid w:val="00885B2A"/>
    <w:rsid w:val="00886051"/>
    <w:rsid w:val="008870AC"/>
    <w:rsid w:val="00890ED6"/>
    <w:rsid w:val="00891577"/>
    <w:rsid w:val="00892BB5"/>
    <w:rsid w:val="008939EC"/>
    <w:rsid w:val="00893DE4"/>
    <w:rsid w:val="00895CFA"/>
    <w:rsid w:val="00896003"/>
    <w:rsid w:val="00897A72"/>
    <w:rsid w:val="008A05EF"/>
    <w:rsid w:val="008A0B6A"/>
    <w:rsid w:val="008A2B94"/>
    <w:rsid w:val="008A2FBD"/>
    <w:rsid w:val="008A3239"/>
    <w:rsid w:val="008A341A"/>
    <w:rsid w:val="008A3747"/>
    <w:rsid w:val="008A4020"/>
    <w:rsid w:val="008A4417"/>
    <w:rsid w:val="008A5276"/>
    <w:rsid w:val="008A5C2F"/>
    <w:rsid w:val="008B0486"/>
    <w:rsid w:val="008B0A4A"/>
    <w:rsid w:val="008B17F8"/>
    <w:rsid w:val="008B3160"/>
    <w:rsid w:val="008B48ED"/>
    <w:rsid w:val="008B4F22"/>
    <w:rsid w:val="008B5D6D"/>
    <w:rsid w:val="008B61C2"/>
    <w:rsid w:val="008C0FF4"/>
    <w:rsid w:val="008C221D"/>
    <w:rsid w:val="008C4BE5"/>
    <w:rsid w:val="008C6A0A"/>
    <w:rsid w:val="008D00A6"/>
    <w:rsid w:val="008D1234"/>
    <w:rsid w:val="008D1E45"/>
    <w:rsid w:val="008D3626"/>
    <w:rsid w:val="008D412A"/>
    <w:rsid w:val="008D5655"/>
    <w:rsid w:val="008D7B53"/>
    <w:rsid w:val="008E1172"/>
    <w:rsid w:val="008E1566"/>
    <w:rsid w:val="008E2626"/>
    <w:rsid w:val="008E53AE"/>
    <w:rsid w:val="008E7BBA"/>
    <w:rsid w:val="008F01BC"/>
    <w:rsid w:val="008F0447"/>
    <w:rsid w:val="008F1799"/>
    <w:rsid w:val="008F1E8F"/>
    <w:rsid w:val="008F2110"/>
    <w:rsid w:val="008F7469"/>
    <w:rsid w:val="008F75FD"/>
    <w:rsid w:val="00901B64"/>
    <w:rsid w:val="0090299C"/>
    <w:rsid w:val="009043B5"/>
    <w:rsid w:val="00906415"/>
    <w:rsid w:val="00907B07"/>
    <w:rsid w:val="009105EC"/>
    <w:rsid w:val="0091225E"/>
    <w:rsid w:val="00912427"/>
    <w:rsid w:val="00912570"/>
    <w:rsid w:val="009142B6"/>
    <w:rsid w:val="009144E6"/>
    <w:rsid w:val="00914D3A"/>
    <w:rsid w:val="00914EA3"/>
    <w:rsid w:val="009161E6"/>
    <w:rsid w:val="00916231"/>
    <w:rsid w:val="00916405"/>
    <w:rsid w:val="00916AB5"/>
    <w:rsid w:val="0091712B"/>
    <w:rsid w:val="009207A2"/>
    <w:rsid w:val="009215F9"/>
    <w:rsid w:val="0092450D"/>
    <w:rsid w:val="00925097"/>
    <w:rsid w:val="0092632D"/>
    <w:rsid w:val="00930ABB"/>
    <w:rsid w:val="00931B9F"/>
    <w:rsid w:val="0093282A"/>
    <w:rsid w:val="00932BAD"/>
    <w:rsid w:val="00933723"/>
    <w:rsid w:val="00935B5F"/>
    <w:rsid w:val="00936CDE"/>
    <w:rsid w:val="009374C2"/>
    <w:rsid w:val="0093776D"/>
    <w:rsid w:val="00937BFA"/>
    <w:rsid w:val="00937D25"/>
    <w:rsid w:val="00942039"/>
    <w:rsid w:val="00942E95"/>
    <w:rsid w:val="00943FD0"/>
    <w:rsid w:val="00944CA5"/>
    <w:rsid w:val="0094695E"/>
    <w:rsid w:val="009469C4"/>
    <w:rsid w:val="00946D52"/>
    <w:rsid w:val="0095032E"/>
    <w:rsid w:val="00950A8C"/>
    <w:rsid w:val="00953995"/>
    <w:rsid w:val="0095608C"/>
    <w:rsid w:val="00956B47"/>
    <w:rsid w:val="00960406"/>
    <w:rsid w:val="00960F4B"/>
    <w:rsid w:val="00961382"/>
    <w:rsid w:val="009619FF"/>
    <w:rsid w:val="00962579"/>
    <w:rsid w:val="00962648"/>
    <w:rsid w:val="00962B86"/>
    <w:rsid w:val="00965A66"/>
    <w:rsid w:val="00967691"/>
    <w:rsid w:val="0096780D"/>
    <w:rsid w:val="00972078"/>
    <w:rsid w:val="0097288F"/>
    <w:rsid w:val="00972EB9"/>
    <w:rsid w:val="009741F8"/>
    <w:rsid w:val="009743F0"/>
    <w:rsid w:val="009755EC"/>
    <w:rsid w:val="00976E2D"/>
    <w:rsid w:val="00977AF8"/>
    <w:rsid w:val="0098156B"/>
    <w:rsid w:val="00981C7C"/>
    <w:rsid w:val="00983D76"/>
    <w:rsid w:val="00985DF2"/>
    <w:rsid w:val="00986C8E"/>
    <w:rsid w:val="009874CA"/>
    <w:rsid w:val="009877C0"/>
    <w:rsid w:val="00991397"/>
    <w:rsid w:val="00991714"/>
    <w:rsid w:val="0099177A"/>
    <w:rsid w:val="00992515"/>
    <w:rsid w:val="009945D7"/>
    <w:rsid w:val="00995538"/>
    <w:rsid w:val="009962C7"/>
    <w:rsid w:val="009A03E9"/>
    <w:rsid w:val="009A050E"/>
    <w:rsid w:val="009A4224"/>
    <w:rsid w:val="009A71F2"/>
    <w:rsid w:val="009A74FA"/>
    <w:rsid w:val="009B0DE9"/>
    <w:rsid w:val="009B1310"/>
    <w:rsid w:val="009B2183"/>
    <w:rsid w:val="009B3B27"/>
    <w:rsid w:val="009B4CAD"/>
    <w:rsid w:val="009B5A6A"/>
    <w:rsid w:val="009C0104"/>
    <w:rsid w:val="009C1E05"/>
    <w:rsid w:val="009C1FA5"/>
    <w:rsid w:val="009C2B6F"/>
    <w:rsid w:val="009C341E"/>
    <w:rsid w:val="009C5BE8"/>
    <w:rsid w:val="009D073A"/>
    <w:rsid w:val="009D34B5"/>
    <w:rsid w:val="009D3F09"/>
    <w:rsid w:val="009D4952"/>
    <w:rsid w:val="009D532F"/>
    <w:rsid w:val="009D549F"/>
    <w:rsid w:val="009D5675"/>
    <w:rsid w:val="009D5FD7"/>
    <w:rsid w:val="009E1E7A"/>
    <w:rsid w:val="009E2151"/>
    <w:rsid w:val="009E2972"/>
    <w:rsid w:val="009E3E21"/>
    <w:rsid w:val="009E4E03"/>
    <w:rsid w:val="009E54B8"/>
    <w:rsid w:val="009E54D2"/>
    <w:rsid w:val="009E5DF0"/>
    <w:rsid w:val="009F0682"/>
    <w:rsid w:val="009F1F85"/>
    <w:rsid w:val="009F2A02"/>
    <w:rsid w:val="009F3AB0"/>
    <w:rsid w:val="009F62C7"/>
    <w:rsid w:val="009F7339"/>
    <w:rsid w:val="009F7A8F"/>
    <w:rsid w:val="00A01DAA"/>
    <w:rsid w:val="00A06394"/>
    <w:rsid w:val="00A07EDB"/>
    <w:rsid w:val="00A11711"/>
    <w:rsid w:val="00A13F44"/>
    <w:rsid w:val="00A1504D"/>
    <w:rsid w:val="00A15408"/>
    <w:rsid w:val="00A1556C"/>
    <w:rsid w:val="00A15D78"/>
    <w:rsid w:val="00A1694F"/>
    <w:rsid w:val="00A251B1"/>
    <w:rsid w:val="00A26A9D"/>
    <w:rsid w:val="00A26B1A"/>
    <w:rsid w:val="00A3085A"/>
    <w:rsid w:val="00A34B73"/>
    <w:rsid w:val="00A35705"/>
    <w:rsid w:val="00A35F50"/>
    <w:rsid w:val="00A36089"/>
    <w:rsid w:val="00A36D45"/>
    <w:rsid w:val="00A40329"/>
    <w:rsid w:val="00A407FF"/>
    <w:rsid w:val="00A40DC3"/>
    <w:rsid w:val="00A4238C"/>
    <w:rsid w:val="00A424DC"/>
    <w:rsid w:val="00A433BB"/>
    <w:rsid w:val="00A4465F"/>
    <w:rsid w:val="00A4477D"/>
    <w:rsid w:val="00A44A43"/>
    <w:rsid w:val="00A45B08"/>
    <w:rsid w:val="00A472F7"/>
    <w:rsid w:val="00A508B2"/>
    <w:rsid w:val="00A50F0E"/>
    <w:rsid w:val="00A51008"/>
    <w:rsid w:val="00A51F0D"/>
    <w:rsid w:val="00A524B7"/>
    <w:rsid w:val="00A533C7"/>
    <w:rsid w:val="00A537D2"/>
    <w:rsid w:val="00A53EC3"/>
    <w:rsid w:val="00A544A1"/>
    <w:rsid w:val="00A54AE4"/>
    <w:rsid w:val="00A55DE1"/>
    <w:rsid w:val="00A56586"/>
    <w:rsid w:val="00A56828"/>
    <w:rsid w:val="00A60529"/>
    <w:rsid w:val="00A61975"/>
    <w:rsid w:val="00A627CE"/>
    <w:rsid w:val="00A62ED7"/>
    <w:rsid w:val="00A66B9F"/>
    <w:rsid w:val="00A66DAC"/>
    <w:rsid w:val="00A70140"/>
    <w:rsid w:val="00A71B2E"/>
    <w:rsid w:val="00A730B2"/>
    <w:rsid w:val="00A73DEF"/>
    <w:rsid w:val="00A74790"/>
    <w:rsid w:val="00A74A68"/>
    <w:rsid w:val="00A77440"/>
    <w:rsid w:val="00A7760C"/>
    <w:rsid w:val="00A82459"/>
    <w:rsid w:val="00A82936"/>
    <w:rsid w:val="00A82CC6"/>
    <w:rsid w:val="00A82F42"/>
    <w:rsid w:val="00A84155"/>
    <w:rsid w:val="00A851C9"/>
    <w:rsid w:val="00A85554"/>
    <w:rsid w:val="00A9128E"/>
    <w:rsid w:val="00A91356"/>
    <w:rsid w:val="00A9155C"/>
    <w:rsid w:val="00A915C4"/>
    <w:rsid w:val="00A91BE3"/>
    <w:rsid w:val="00A92DCE"/>
    <w:rsid w:val="00A952BB"/>
    <w:rsid w:val="00A9571E"/>
    <w:rsid w:val="00AA27B6"/>
    <w:rsid w:val="00AA4E51"/>
    <w:rsid w:val="00AA6107"/>
    <w:rsid w:val="00AA6A3C"/>
    <w:rsid w:val="00AA7149"/>
    <w:rsid w:val="00AA7810"/>
    <w:rsid w:val="00AB06B9"/>
    <w:rsid w:val="00AB0BA7"/>
    <w:rsid w:val="00AB167E"/>
    <w:rsid w:val="00AB43BF"/>
    <w:rsid w:val="00AB5441"/>
    <w:rsid w:val="00AB5F75"/>
    <w:rsid w:val="00AB6882"/>
    <w:rsid w:val="00AB70A0"/>
    <w:rsid w:val="00AB73C3"/>
    <w:rsid w:val="00AB7B5A"/>
    <w:rsid w:val="00AC0040"/>
    <w:rsid w:val="00AC0A49"/>
    <w:rsid w:val="00AC24D2"/>
    <w:rsid w:val="00AC29D2"/>
    <w:rsid w:val="00AC64E9"/>
    <w:rsid w:val="00AC7BF5"/>
    <w:rsid w:val="00AD0C33"/>
    <w:rsid w:val="00AD2ABC"/>
    <w:rsid w:val="00AD4AE2"/>
    <w:rsid w:val="00AE130E"/>
    <w:rsid w:val="00AE2EA0"/>
    <w:rsid w:val="00AE371B"/>
    <w:rsid w:val="00AE438A"/>
    <w:rsid w:val="00AE4885"/>
    <w:rsid w:val="00AE5620"/>
    <w:rsid w:val="00AE5F84"/>
    <w:rsid w:val="00AE6B9D"/>
    <w:rsid w:val="00AE745F"/>
    <w:rsid w:val="00AF0332"/>
    <w:rsid w:val="00AF0849"/>
    <w:rsid w:val="00AF0A80"/>
    <w:rsid w:val="00AF1333"/>
    <w:rsid w:val="00AF195A"/>
    <w:rsid w:val="00AF208A"/>
    <w:rsid w:val="00AF62FE"/>
    <w:rsid w:val="00AF6B35"/>
    <w:rsid w:val="00B008DA"/>
    <w:rsid w:val="00B014E8"/>
    <w:rsid w:val="00B02402"/>
    <w:rsid w:val="00B02E68"/>
    <w:rsid w:val="00B02FEB"/>
    <w:rsid w:val="00B0432B"/>
    <w:rsid w:val="00B05631"/>
    <w:rsid w:val="00B07351"/>
    <w:rsid w:val="00B0767B"/>
    <w:rsid w:val="00B07D02"/>
    <w:rsid w:val="00B10762"/>
    <w:rsid w:val="00B10B1C"/>
    <w:rsid w:val="00B1129F"/>
    <w:rsid w:val="00B117BC"/>
    <w:rsid w:val="00B132EB"/>
    <w:rsid w:val="00B144DB"/>
    <w:rsid w:val="00B16123"/>
    <w:rsid w:val="00B16E37"/>
    <w:rsid w:val="00B22345"/>
    <w:rsid w:val="00B2280E"/>
    <w:rsid w:val="00B24504"/>
    <w:rsid w:val="00B245AB"/>
    <w:rsid w:val="00B25612"/>
    <w:rsid w:val="00B25F62"/>
    <w:rsid w:val="00B30514"/>
    <w:rsid w:val="00B34361"/>
    <w:rsid w:val="00B34FB7"/>
    <w:rsid w:val="00B3583B"/>
    <w:rsid w:val="00B37954"/>
    <w:rsid w:val="00B402A8"/>
    <w:rsid w:val="00B40743"/>
    <w:rsid w:val="00B40BAC"/>
    <w:rsid w:val="00B43463"/>
    <w:rsid w:val="00B43ABA"/>
    <w:rsid w:val="00B44647"/>
    <w:rsid w:val="00B44D1E"/>
    <w:rsid w:val="00B47086"/>
    <w:rsid w:val="00B475E7"/>
    <w:rsid w:val="00B513CC"/>
    <w:rsid w:val="00B51926"/>
    <w:rsid w:val="00B51AC2"/>
    <w:rsid w:val="00B52C63"/>
    <w:rsid w:val="00B549BA"/>
    <w:rsid w:val="00B570C2"/>
    <w:rsid w:val="00B57ABA"/>
    <w:rsid w:val="00B61281"/>
    <w:rsid w:val="00B645D6"/>
    <w:rsid w:val="00B657D9"/>
    <w:rsid w:val="00B66AB4"/>
    <w:rsid w:val="00B678CA"/>
    <w:rsid w:val="00B726BC"/>
    <w:rsid w:val="00B7409F"/>
    <w:rsid w:val="00B74734"/>
    <w:rsid w:val="00B75104"/>
    <w:rsid w:val="00B75363"/>
    <w:rsid w:val="00B758D5"/>
    <w:rsid w:val="00B75F49"/>
    <w:rsid w:val="00B769DF"/>
    <w:rsid w:val="00B76CD0"/>
    <w:rsid w:val="00B77CAE"/>
    <w:rsid w:val="00B80FD1"/>
    <w:rsid w:val="00B8164D"/>
    <w:rsid w:val="00B81979"/>
    <w:rsid w:val="00B82B02"/>
    <w:rsid w:val="00B87081"/>
    <w:rsid w:val="00B87381"/>
    <w:rsid w:val="00B909C2"/>
    <w:rsid w:val="00B90C5D"/>
    <w:rsid w:val="00B9141A"/>
    <w:rsid w:val="00B91806"/>
    <w:rsid w:val="00B91A01"/>
    <w:rsid w:val="00B91BCC"/>
    <w:rsid w:val="00B92D48"/>
    <w:rsid w:val="00B94063"/>
    <w:rsid w:val="00B95D44"/>
    <w:rsid w:val="00B95D7B"/>
    <w:rsid w:val="00B96BB9"/>
    <w:rsid w:val="00BA12C1"/>
    <w:rsid w:val="00BA1F24"/>
    <w:rsid w:val="00BA2383"/>
    <w:rsid w:val="00BA3684"/>
    <w:rsid w:val="00BA43AD"/>
    <w:rsid w:val="00BA4FB3"/>
    <w:rsid w:val="00BB19CC"/>
    <w:rsid w:val="00BB390B"/>
    <w:rsid w:val="00BB3EFB"/>
    <w:rsid w:val="00BB45BA"/>
    <w:rsid w:val="00BB47CF"/>
    <w:rsid w:val="00BB4D17"/>
    <w:rsid w:val="00BB622E"/>
    <w:rsid w:val="00BB6638"/>
    <w:rsid w:val="00BB788B"/>
    <w:rsid w:val="00BC01CB"/>
    <w:rsid w:val="00BC5A1B"/>
    <w:rsid w:val="00BC7051"/>
    <w:rsid w:val="00BD0DAC"/>
    <w:rsid w:val="00BD3E19"/>
    <w:rsid w:val="00BD453A"/>
    <w:rsid w:val="00BD53ED"/>
    <w:rsid w:val="00BD68A7"/>
    <w:rsid w:val="00BD7370"/>
    <w:rsid w:val="00BE0DE6"/>
    <w:rsid w:val="00BE1073"/>
    <w:rsid w:val="00BE127A"/>
    <w:rsid w:val="00BE2D45"/>
    <w:rsid w:val="00BE3F6C"/>
    <w:rsid w:val="00BE488E"/>
    <w:rsid w:val="00BE6F15"/>
    <w:rsid w:val="00BF0875"/>
    <w:rsid w:val="00BF09AF"/>
    <w:rsid w:val="00BF0A7A"/>
    <w:rsid w:val="00BF1DB7"/>
    <w:rsid w:val="00BF2418"/>
    <w:rsid w:val="00BF2DC4"/>
    <w:rsid w:val="00BF3245"/>
    <w:rsid w:val="00BF3F34"/>
    <w:rsid w:val="00BF44D9"/>
    <w:rsid w:val="00BF6DCF"/>
    <w:rsid w:val="00BF6E47"/>
    <w:rsid w:val="00BF705D"/>
    <w:rsid w:val="00C012BA"/>
    <w:rsid w:val="00C018CB"/>
    <w:rsid w:val="00C01F83"/>
    <w:rsid w:val="00C02C88"/>
    <w:rsid w:val="00C0387B"/>
    <w:rsid w:val="00C04DA8"/>
    <w:rsid w:val="00C0695E"/>
    <w:rsid w:val="00C07DEF"/>
    <w:rsid w:val="00C12A01"/>
    <w:rsid w:val="00C15380"/>
    <w:rsid w:val="00C16169"/>
    <w:rsid w:val="00C16A02"/>
    <w:rsid w:val="00C16ACA"/>
    <w:rsid w:val="00C171E0"/>
    <w:rsid w:val="00C21D8F"/>
    <w:rsid w:val="00C223CA"/>
    <w:rsid w:val="00C23114"/>
    <w:rsid w:val="00C27889"/>
    <w:rsid w:val="00C344DD"/>
    <w:rsid w:val="00C369EC"/>
    <w:rsid w:val="00C401B1"/>
    <w:rsid w:val="00C405B2"/>
    <w:rsid w:val="00C41675"/>
    <w:rsid w:val="00C42651"/>
    <w:rsid w:val="00C45948"/>
    <w:rsid w:val="00C46767"/>
    <w:rsid w:val="00C47BCA"/>
    <w:rsid w:val="00C47DC1"/>
    <w:rsid w:val="00C513D7"/>
    <w:rsid w:val="00C534DB"/>
    <w:rsid w:val="00C55731"/>
    <w:rsid w:val="00C55E29"/>
    <w:rsid w:val="00C56B05"/>
    <w:rsid w:val="00C56CCC"/>
    <w:rsid w:val="00C57A7D"/>
    <w:rsid w:val="00C602C8"/>
    <w:rsid w:val="00C61449"/>
    <w:rsid w:val="00C61CAA"/>
    <w:rsid w:val="00C61EB0"/>
    <w:rsid w:val="00C660E4"/>
    <w:rsid w:val="00C67163"/>
    <w:rsid w:val="00C701BD"/>
    <w:rsid w:val="00C701F2"/>
    <w:rsid w:val="00C7096F"/>
    <w:rsid w:val="00C71518"/>
    <w:rsid w:val="00C728E7"/>
    <w:rsid w:val="00C753A8"/>
    <w:rsid w:val="00C76E8D"/>
    <w:rsid w:val="00C812B4"/>
    <w:rsid w:val="00C81E07"/>
    <w:rsid w:val="00C821CE"/>
    <w:rsid w:val="00C82F5B"/>
    <w:rsid w:val="00C84826"/>
    <w:rsid w:val="00C84F1C"/>
    <w:rsid w:val="00C8705A"/>
    <w:rsid w:val="00C87793"/>
    <w:rsid w:val="00C91045"/>
    <w:rsid w:val="00C910E4"/>
    <w:rsid w:val="00C9170E"/>
    <w:rsid w:val="00C91D17"/>
    <w:rsid w:val="00C92791"/>
    <w:rsid w:val="00CA067D"/>
    <w:rsid w:val="00CA0AA9"/>
    <w:rsid w:val="00CA1E39"/>
    <w:rsid w:val="00CA1F2D"/>
    <w:rsid w:val="00CA2088"/>
    <w:rsid w:val="00CA23C2"/>
    <w:rsid w:val="00CA420B"/>
    <w:rsid w:val="00CA44AB"/>
    <w:rsid w:val="00CA643E"/>
    <w:rsid w:val="00CB13FF"/>
    <w:rsid w:val="00CB4D2D"/>
    <w:rsid w:val="00CB542D"/>
    <w:rsid w:val="00CB5C2C"/>
    <w:rsid w:val="00CB6332"/>
    <w:rsid w:val="00CB793B"/>
    <w:rsid w:val="00CC0982"/>
    <w:rsid w:val="00CC217A"/>
    <w:rsid w:val="00CC3290"/>
    <w:rsid w:val="00CC346F"/>
    <w:rsid w:val="00CC6B5A"/>
    <w:rsid w:val="00CD1C76"/>
    <w:rsid w:val="00CD45B3"/>
    <w:rsid w:val="00CE03B8"/>
    <w:rsid w:val="00CE0805"/>
    <w:rsid w:val="00CE2DA3"/>
    <w:rsid w:val="00CE3349"/>
    <w:rsid w:val="00CE4251"/>
    <w:rsid w:val="00CE631C"/>
    <w:rsid w:val="00CE65BB"/>
    <w:rsid w:val="00CF0A36"/>
    <w:rsid w:val="00CF1B95"/>
    <w:rsid w:val="00CF4255"/>
    <w:rsid w:val="00CF5A8A"/>
    <w:rsid w:val="00CF5C3F"/>
    <w:rsid w:val="00CF5E18"/>
    <w:rsid w:val="00D03144"/>
    <w:rsid w:val="00D03950"/>
    <w:rsid w:val="00D03A2A"/>
    <w:rsid w:val="00D060B9"/>
    <w:rsid w:val="00D07932"/>
    <w:rsid w:val="00D10A49"/>
    <w:rsid w:val="00D10AE8"/>
    <w:rsid w:val="00D115EF"/>
    <w:rsid w:val="00D12431"/>
    <w:rsid w:val="00D13431"/>
    <w:rsid w:val="00D1382A"/>
    <w:rsid w:val="00D143B7"/>
    <w:rsid w:val="00D1617A"/>
    <w:rsid w:val="00D163DA"/>
    <w:rsid w:val="00D20669"/>
    <w:rsid w:val="00D20928"/>
    <w:rsid w:val="00D22077"/>
    <w:rsid w:val="00D234C1"/>
    <w:rsid w:val="00D244F0"/>
    <w:rsid w:val="00D2468F"/>
    <w:rsid w:val="00D247AD"/>
    <w:rsid w:val="00D25065"/>
    <w:rsid w:val="00D258B5"/>
    <w:rsid w:val="00D25C76"/>
    <w:rsid w:val="00D26E19"/>
    <w:rsid w:val="00D27D95"/>
    <w:rsid w:val="00D30C21"/>
    <w:rsid w:val="00D318C7"/>
    <w:rsid w:val="00D31929"/>
    <w:rsid w:val="00D31EDF"/>
    <w:rsid w:val="00D32363"/>
    <w:rsid w:val="00D34400"/>
    <w:rsid w:val="00D34421"/>
    <w:rsid w:val="00D35BB9"/>
    <w:rsid w:val="00D35FF8"/>
    <w:rsid w:val="00D37E59"/>
    <w:rsid w:val="00D40465"/>
    <w:rsid w:val="00D415B1"/>
    <w:rsid w:val="00D43352"/>
    <w:rsid w:val="00D436DA"/>
    <w:rsid w:val="00D473CD"/>
    <w:rsid w:val="00D47D19"/>
    <w:rsid w:val="00D500CD"/>
    <w:rsid w:val="00D511D5"/>
    <w:rsid w:val="00D5256A"/>
    <w:rsid w:val="00D52882"/>
    <w:rsid w:val="00D5398E"/>
    <w:rsid w:val="00D562F9"/>
    <w:rsid w:val="00D575CC"/>
    <w:rsid w:val="00D578CD"/>
    <w:rsid w:val="00D57C7F"/>
    <w:rsid w:val="00D612A1"/>
    <w:rsid w:val="00D61E0C"/>
    <w:rsid w:val="00D62DB0"/>
    <w:rsid w:val="00D632E1"/>
    <w:rsid w:val="00D633D7"/>
    <w:rsid w:val="00D63FA8"/>
    <w:rsid w:val="00D65709"/>
    <w:rsid w:val="00D65BFF"/>
    <w:rsid w:val="00D66301"/>
    <w:rsid w:val="00D6650D"/>
    <w:rsid w:val="00D70D26"/>
    <w:rsid w:val="00D738EB"/>
    <w:rsid w:val="00D744A0"/>
    <w:rsid w:val="00D74CB3"/>
    <w:rsid w:val="00D80C3B"/>
    <w:rsid w:val="00D80F1B"/>
    <w:rsid w:val="00D810C5"/>
    <w:rsid w:val="00D81420"/>
    <w:rsid w:val="00D81500"/>
    <w:rsid w:val="00D8291A"/>
    <w:rsid w:val="00D82DC9"/>
    <w:rsid w:val="00D836F3"/>
    <w:rsid w:val="00D844E5"/>
    <w:rsid w:val="00D868ED"/>
    <w:rsid w:val="00D86D75"/>
    <w:rsid w:val="00D87E0D"/>
    <w:rsid w:val="00D90E05"/>
    <w:rsid w:val="00D9130E"/>
    <w:rsid w:val="00D91A32"/>
    <w:rsid w:val="00D925EB"/>
    <w:rsid w:val="00D936A6"/>
    <w:rsid w:val="00D9463F"/>
    <w:rsid w:val="00D95E62"/>
    <w:rsid w:val="00D9680E"/>
    <w:rsid w:val="00D971BF"/>
    <w:rsid w:val="00D97624"/>
    <w:rsid w:val="00D9784C"/>
    <w:rsid w:val="00D97CCC"/>
    <w:rsid w:val="00DA1AAB"/>
    <w:rsid w:val="00DA29BD"/>
    <w:rsid w:val="00DA31FD"/>
    <w:rsid w:val="00DA3393"/>
    <w:rsid w:val="00DA37DE"/>
    <w:rsid w:val="00DA380B"/>
    <w:rsid w:val="00DA43F1"/>
    <w:rsid w:val="00DA45BC"/>
    <w:rsid w:val="00DA4CF7"/>
    <w:rsid w:val="00DA6107"/>
    <w:rsid w:val="00DB00DE"/>
    <w:rsid w:val="00DB058E"/>
    <w:rsid w:val="00DB1427"/>
    <w:rsid w:val="00DB410C"/>
    <w:rsid w:val="00DB4756"/>
    <w:rsid w:val="00DB5DC6"/>
    <w:rsid w:val="00DC03C9"/>
    <w:rsid w:val="00DC06C0"/>
    <w:rsid w:val="00DC2A51"/>
    <w:rsid w:val="00DC4132"/>
    <w:rsid w:val="00DC49D9"/>
    <w:rsid w:val="00DC5388"/>
    <w:rsid w:val="00DC731E"/>
    <w:rsid w:val="00DD4767"/>
    <w:rsid w:val="00DD5D90"/>
    <w:rsid w:val="00DD6A1B"/>
    <w:rsid w:val="00DD7D90"/>
    <w:rsid w:val="00DE10CD"/>
    <w:rsid w:val="00DE14E6"/>
    <w:rsid w:val="00DE3807"/>
    <w:rsid w:val="00DE4CAD"/>
    <w:rsid w:val="00DE60BE"/>
    <w:rsid w:val="00DE763E"/>
    <w:rsid w:val="00DF16BA"/>
    <w:rsid w:val="00DF1986"/>
    <w:rsid w:val="00DF30A0"/>
    <w:rsid w:val="00DF58CF"/>
    <w:rsid w:val="00E00E4B"/>
    <w:rsid w:val="00E013DD"/>
    <w:rsid w:val="00E01925"/>
    <w:rsid w:val="00E033E3"/>
    <w:rsid w:val="00E04678"/>
    <w:rsid w:val="00E1177D"/>
    <w:rsid w:val="00E133E2"/>
    <w:rsid w:val="00E138E2"/>
    <w:rsid w:val="00E14898"/>
    <w:rsid w:val="00E14E86"/>
    <w:rsid w:val="00E14F8B"/>
    <w:rsid w:val="00E15C71"/>
    <w:rsid w:val="00E15FA6"/>
    <w:rsid w:val="00E163C9"/>
    <w:rsid w:val="00E169B4"/>
    <w:rsid w:val="00E173AA"/>
    <w:rsid w:val="00E206B5"/>
    <w:rsid w:val="00E21A65"/>
    <w:rsid w:val="00E22244"/>
    <w:rsid w:val="00E2249F"/>
    <w:rsid w:val="00E22634"/>
    <w:rsid w:val="00E2421A"/>
    <w:rsid w:val="00E24C7F"/>
    <w:rsid w:val="00E2501B"/>
    <w:rsid w:val="00E27A23"/>
    <w:rsid w:val="00E27C27"/>
    <w:rsid w:val="00E305D8"/>
    <w:rsid w:val="00E30C57"/>
    <w:rsid w:val="00E315CB"/>
    <w:rsid w:val="00E33C1E"/>
    <w:rsid w:val="00E34184"/>
    <w:rsid w:val="00E3645F"/>
    <w:rsid w:val="00E36738"/>
    <w:rsid w:val="00E36F5F"/>
    <w:rsid w:val="00E40BF5"/>
    <w:rsid w:val="00E40CEA"/>
    <w:rsid w:val="00E421CF"/>
    <w:rsid w:val="00E43331"/>
    <w:rsid w:val="00E433BE"/>
    <w:rsid w:val="00E43D5F"/>
    <w:rsid w:val="00E500C2"/>
    <w:rsid w:val="00E51A63"/>
    <w:rsid w:val="00E53826"/>
    <w:rsid w:val="00E53C5B"/>
    <w:rsid w:val="00E54836"/>
    <w:rsid w:val="00E569F7"/>
    <w:rsid w:val="00E56A6C"/>
    <w:rsid w:val="00E5737B"/>
    <w:rsid w:val="00E57CEB"/>
    <w:rsid w:val="00E62695"/>
    <w:rsid w:val="00E62D71"/>
    <w:rsid w:val="00E64DA7"/>
    <w:rsid w:val="00E6515E"/>
    <w:rsid w:val="00E667B9"/>
    <w:rsid w:val="00E7005C"/>
    <w:rsid w:val="00E7030F"/>
    <w:rsid w:val="00E718B9"/>
    <w:rsid w:val="00E7241F"/>
    <w:rsid w:val="00E75A0C"/>
    <w:rsid w:val="00E763F5"/>
    <w:rsid w:val="00E77FA3"/>
    <w:rsid w:val="00E81649"/>
    <w:rsid w:val="00E8312A"/>
    <w:rsid w:val="00E83486"/>
    <w:rsid w:val="00E83A87"/>
    <w:rsid w:val="00E85682"/>
    <w:rsid w:val="00E8579C"/>
    <w:rsid w:val="00E85954"/>
    <w:rsid w:val="00E865A7"/>
    <w:rsid w:val="00E9026B"/>
    <w:rsid w:val="00E90D17"/>
    <w:rsid w:val="00E91D02"/>
    <w:rsid w:val="00E9238B"/>
    <w:rsid w:val="00E92A5A"/>
    <w:rsid w:val="00E92BD3"/>
    <w:rsid w:val="00E93694"/>
    <w:rsid w:val="00E93C3A"/>
    <w:rsid w:val="00E94CAD"/>
    <w:rsid w:val="00E95124"/>
    <w:rsid w:val="00E96351"/>
    <w:rsid w:val="00EA012A"/>
    <w:rsid w:val="00EA0F5F"/>
    <w:rsid w:val="00EA11C9"/>
    <w:rsid w:val="00EA1A9F"/>
    <w:rsid w:val="00EA1E21"/>
    <w:rsid w:val="00EA2917"/>
    <w:rsid w:val="00EA40B8"/>
    <w:rsid w:val="00EA4A74"/>
    <w:rsid w:val="00EA52CF"/>
    <w:rsid w:val="00EA6A59"/>
    <w:rsid w:val="00EA7278"/>
    <w:rsid w:val="00EB01A8"/>
    <w:rsid w:val="00EB0352"/>
    <w:rsid w:val="00EB03F4"/>
    <w:rsid w:val="00EB1282"/>
    <w:rsid w:val="00EB34D4"/>
    <w:rsid w:val="00EB392E"/>
    <w:rsid w:val="00EB437C"/>
    <w:rsid w:val="00EB48FC"/>
    <w:rsid w:val="00EB744E"/>
    <w:rsid w:val="00EC01B4"/>
    <w:rsid w:val="00EC0BFC"/>
    <w:rsid w:val="00EC162D"/>
    <w:rsid w:val="00EC22CA"/>
    <w:rsid w:val="00EC276D"/>
    <w:rsid w:val="00EC3EA6"/>
    <w:rsid w:val="00EC3F11"/>
    <w:rsid w:val="00EC42A4"/>
    <w:rsid w:val="00EC78A4"/>
    <w:rsid w:val="00ED039D"/>
    <w:rsid w:val="00ED04AE"/>
    <w:rsid w:val="00ED2CDD"/>
    <w:rsid w:val="00ED47EC"/>
    <w:rsid w:val="00ED53CF"/>
    <w:rsid w:val="00EE0360"/>
    <w:rsid w:val="00EE0546"/>
    <w:rsid w:val="00EE0ACA"/>
    <w:rsid w:val="00EE1379"/>
    <w:rsid w:val="00EE1BA3"/>
    <w:rsid w:val="00EE1DD2"/>
    <w:rsid w:val="00EE3850"/>
    <w:rsid w:val="00EE4440"/>
    <w:rsid w:val="00EE554A"/>
    <w:rsid w:val="00EE7CCE"/>
    <w:rsid w:val="00EF0220"/>
    <w:rsid w:val="00EF0347"/>
    <w:rsid w:val="00EF0B74"/>
    <w:rsid w:val="00EF12D6"/>
    <w:rsid w:val="00EF37CD"/>
    <w:rsid w:val="00EF392E"/>
    <w:rsid w:val="00EF47C9"/>
    <w:rsid w:val="00EF50F1"/>
    <w:rsid w:val="00EF5972"/>
    <w:rsid w:val="00EF5E4B"/>
    <w:rsid w:val="00EF6552"/>
    <w:rsid w:val="00EF6819"/>
    <w:rsid w:val="00EF6A34"/>
    <w:rsid w:val="00F003F2"/>
    <w:rsid w:val="00F03922"/>
    <w:rsid w:val="00F03CDD"/>
    <w:rsid w:val="00F076A8"/>
    <w:rsid w:val="00F07A8D"/>
    <w:rsid w:val="00F10E4B"/>
    <w:rsid w:val="00F11510"/>
    <w:rsid w:val="00F13358"/>
    <w:rsid w:val="00F16101"/>
    <w:rsid w:val="00F17097"/>
    <w:rsid w:val="00F17EEB"/>
    <w:rsid w:val="00F21594"/>
    <w:rsid w:val="00F21D0D"/>
    <w:rsid w:val="00F2295A"/>
    <w:rsid w:val="00F23B97"/>
    <w:rsid w:val="00F23E84"/>
    <w:rsid w:val="00F24BEC"/>
    <w:rsid w:val="00F2546C"/>
    <w:rsid w:val="00F257B2"/>
    <w:rsid w:val="00F259C3"/>
    <w:rsid w:val="00F2619A"/>
    <w:rsid w:val="00F26790"/>
    <w:rsid w:val="00F301B6"/>
    <w:rsid w:val="00F31476"/>
    <w:rsid w:val="00F411EF"/>
    <w:rsid w:val="00F41AD6"/>
    <w:rsid w:val="00F44304"/>
    <w:rsid w:val="00F45A8C"/>
    <w:rsid w:val="00F50FBE"/>
    <w:rsid w:val="00F52FDD"/>
    <w:rsid w:val="00F534C6"/>
    <w:rsid w:val="00F53861"/>
    <w:rsid w:val="00F53A5A"/>
    <w:rsid w:val="00F547E5"/>
    <w:rsid w:val="00F562F6"/>
    <w:rsid w:val="00F57012"/>
    <w:rsid w:val="00F6051D"/>
    <w:rsid w:val="00F60874"/>
    <w:rsid w:val="00F61052"/>
    <w:rsid w:val="00F619BF"/>
    <w:rsid w:val="00F61F7B"/>
    <w:rsid w:val="00F715FF"/>
    <w:rsid w:val="00F73077"/>
    <w:rsid w:val="00F73660"/>
    <w:rsid w:val="00F7448D"/>
    <w:rsid w:val="00F75D43"/>
    <w:rsid w:val="00F76745"/>
    <w:rsid w:val="00F80F73"/>
    <w:rsid w:val="00F810F3"/>
    <w:rsid w:val="00F83353"/>
    <w:rsid w:val="00F83BC7"/>
    <w:rsid w:val="00F873CA"/>
    <w:rsid w:val="00F91077"/>
    <w:rsid w:val="00F9218C"/>
    <w:rsid w:val="00F929D0"/>
    <w:rsid w:val="00F9335C"/>
    <w:rsid w:val="00F96822"/>
    <w:rsid w:val="00FA0337"/>
    <w:rsid w:val="00FA10F9"/>
    <w:rsid w:val="00FA2505"/>
    <w:rsid w:val="00FA25F3"/>
    <w:rsid w:val="00FA2FCA"/>
    <w:rsid w:val="00FA5617"/>
    <w:rsid w:val="00FA6C3C"/>
    <w:rsid w:val="00FA724A"/>
    <w:rsid w:val="00FB00FD"/>
    <w:rsid w:val="00FB0B46"/>
    <w:rsid w:val="00FB0C1F"/>
    <w:rsid w:val="00FB0EEF"/>
    <w:rsid w:val="00FB0F1F"/>
    <w:rsid w:val="00FB1AE2"/>
    <w:rsid w:val="00FB5671"/>
    <w:rsid w:val="00FB6B5B"/>
    <w:rsid w:val="00FB7755"/>
    <w:rsid w:val="00FC18C9"/>
    <w:rsid w:val="00FC4EDC"/>
    <w:rsid w:val="00FC5708"/>
    <w:rsid w:val="00FC5E51"/>
    <w:rsid w:val="00FC6E8D"/>
    <w:rsid w:val="00FC72AF"/>
    <w:rsid w:val="00FC74E3"/>
    <w:rsid w:val="00FC7A09"/>
    <w:rsid w:val="00FC7B60"/>
    <w:rsid w:val="00FD13EC"/>
    <w:rsid w:val="00FD55D3"/>
    <w:rsid w:val="00FD7633"/>
    <w:rsid w:val="00FD7C7B"/>
    <w:rsid w:val="00FE0864"/>
    <w:rsid w:val="00FE1F96"/>
    <w:rsid w:val="00FE405B"/>
    <w:rsid w:val="00FE40C6"/>
    <w:rsid w:val="00FE4683"/>
    <w:rsid w:val="00FE6871"/>
    <w:rsid w:val="00FE6874"/>
    <w:rsid w:val="00FE6A25"/>
    <w:rsid w:val="00FE6B21"/>
    <w:rsid w:val="00FF0A59"/>
    <w:rsid w:val="00FF0CF4"/>
    <w:rsid w:val="00FF1612"/>
    <w:rsid w:val="00FF2AB1"/>
    <w:rsid w:val="00FF31B1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72C"/>
    <w:pPr>
      <w:spacing w:after="120"/>
    </w:pPr>
    <w:rPr>
      <w:rFonts w:eastAsia="Times New Roman"/>
    </w:rPr>
  </w:style>
  <w:style w:type="paragraph" w:styleId="Ttulo1">
    <w:name w:val="heading 1"/>
    <w:basedOn w:val="Normal"/>
    <w:next w:val="Normal"/>
    <w:qFormat/>
    <w:rsid w:val="00B74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har"/>
    <w:qFormat/>
    <w:rsid w:val="007C515F"/>
    <w:pPr>
      <w:keepNext/>
      <w:outlineLvl w:val="7"/>
    </w:pPr>
    <w:rPr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"/>
    <w:basedOn w:val="Normal"/>
    <w:link w:val="CabealhoChar"/>
    <w:uiPriority w:val="99"/>
    <w:rsid w:val="00D344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344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link w:val="Cabealho"/>
    <w:uiPriority w:val="99"/>
    <w:locked/>
    <w:rsid w:val="00D34400"/>
    <w:rPr>
      <w:lang w:val="pt-BR" w:eastAsia="pt-BR" w:bidi="ar-SA"/>
    </w:rPr>
  </w:style>
  <w:style w:type="character" w:styleId="Hyperlink">
    <w:name w:val="Hyperlink"/>
    <w:uiPriority w:val="99"/>
    <w:rsid w:val="002838EC"/>
    <w:rPr>
      <w:color w:val="0000FF"/>
      <w:u w:val="single"/>
    </w:rPr>
  </w:style>
  <w:style w:type="character" w:styleId="HiperlinkVisitado">
    <w:name w:val="FollowedHyperlink"/>
    <w:rsid w:val="00A40DC3"/>
    <w:rPr>
      <w:color w:val="800080"/>
      <w:u w:val="single"/>
    </w:rPr>
  </w:style>
  <w:style w:type="paragraph" w:customStyle="1" w:styleId="PargrafodaLista1">
    <w:name w:val="Parágrafo da Lista1"/>
    <w:aliases w:val="Estilo 1"/>
    <w:basedOn w:val="Ttulo1"/>
    <w:next w:val="TextosemFormatao"/>
    <w:link w:val="ListParagraphChar"/>
    <w:rsid w:val="00B7409F"/>
    <w:pPr>
      <w:numPr>
        <w:numId w:val="2"/>
      </w:numPr>
      <w:spacing w:after="120"/>
      <w:contextualSpacing/>
    </w:pPr>
    <w:rPr>
      <w:rFonts w:ascii="Times New Roman" w:hAnsi="Times New Roman" w:cs="Times New Roman"/>
      <w:bCs w:val="0"/>
      <w:noProof/>
      <w:kern w:val="0"/>
      <w:sz w:val="20"/>
      <w:szCs w:val="20"/>
    </w:rPr>
  </w:style>
  <w:style w:type="character" w:customStyle="1" w:styleId="ListParagraphChar">
    <w:name w:val="List Paragraph Char"/>
    <w:aliases w:val="Estilo 1 Char"/>
    <w:link w:val="PargrafodaLista1"/>
    <w:locked/>
    <w:rsid w:val="00B7409F"/>
    <w:rPr>
      <w:b/>
      <w:noProof/>
      <w:lang w:val="pt-BR" w:eastAsia="pt-BR" w:bidi="ar-SA"/>
    </w:rPr>
  </w:style>
  <w:style w:type="paragraph" w:styleId="TextosemFormatao">
    <w:name w:val="Plain Text"/>
    <w:basedOn w:val="Normal"/>
    <w:link w:val="TextosemFormataoChar"/>
    <w:uiPriority w:val="99"/>
    <w:rsid w:val="00B7409F"/>
    <w:rPr>
      <w:rFonts w:ascii="Courier New" w:hAnsi="Courier New" w:cs="Courier New"/>
    </w:rPr>
  </w:style>
  <w:style w:type="character" w:customStyle="1" w:styleId="TextosemFormataoChar">
    <w:name w:val="Texto sem Formatação Char"/>
    <w:link w:val="TextosemFormatao"/>
    <w:uiPriority w:val="99"/>
    <w:locked/>
    <w:rsid w:val="001C414C"/>
    <w:rPr>
      <w:rFonts w:ascii="Courier New" w:hAnsi="Courier New" w:cs="Courier New"/>
      <w:lang w:val="pt-BR" w:eastAsia="pt-BR" w:bidi="ar-SA"/>
    </w:rPr>
  </w:style>
  <w:style w:type="paragraph" w:styleId="Corpodetexto3">
    <w:name w:val="Body Text 3"/>
    <w:basedOn w:val="Normal"/>
    <w:link w:val="Corpodetexto3Char"/>
    <w:rsid w:val="00B726BC"/>
    <w:pPr>
      <w:spacing w:after="0"/>
      <w:jc w:val="both"/>
    </w:pPr>
    <w:rPr>
      <w:sz w:val="24"/>
    </w:rPr>
  </w:style>
  <w:style w:type="character" w:customStyle="1" w:styleId="Corpodetexto3Char">
    <w:name w:val="Corpo de texto 3 Char"/>
    <w:link w:val="Corpodetexto3"/>
    <w:semiHidden/>
    <w:locked/>
    <w:rsid w:val="00B726BC"/>
    <w:rPr>
      <w:sz w:val="24"/>
      <w:lang w:val="pt-BR" w:eastAsia="pt-BR" w:bidi="ar-SA"/>
    </w:rPr>
  </w:style>
  <w:style w:type="character" w:styleId="Nmerodepgina">
    <w:name w:val="page number"/>
    <w:basedOn w:val="Fontepargpadro"/>
    <w:rsid w:val="00B40743"/>
  </w:style>
  <w:style w:type="table" w:styleId="Tabelacomgrade">
    <w:name w:val="Table Grid"/>
    <w:basedOn w:val="Tabelanormal"/>
    <w:rsid w:val="00AE371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rio1Char">
    <w:name w:val="Sumário 1 Char"/>
    <w:link w:val="Sumrio1"/>
    <w:locked/>
    <w:rsid w:val="00B657D9"/>
    <w:rPr>
      <w:rFonts w:eastAsia="Times New Roman"/>
      <w:noProof/>
      <w:sz w:val="24"/>
      <w:szCs w:val="24"/>
    </w:rPr>
  </w:style>
  <w:style w:type="paragraph" w:styleId="Sumrio1">
    <w:name w:val="toc 1"/>
    <w:basedOn w:val="Normal"/>
    <w:next w:val="Normal"/>
    <w:link w:val="Sumrio1Char"/>
    <w:autoRedefine/>
    <w:rsid w:val="00B657D9"/>
    <w:pPr>
      <w:tabs>
        <w:tab w:val="left" w:pos="440"/>
        <w:tab w:val="right" w:leader="dot" w:pos="8494"/>
      </w:tabs>
      <w:spacing w:line="276" w:lineRule="auto"/>
      <w:jc w:val="both"/>
    </w:pPr>
    <w:rPr>
      <w:noProof/>
      <w:sz w:val="24"/>
      <w:szCs w:val="24"/>
    </w:rPr>
  </w:style>
  <w:style w:type="paragraph" w:customStyle="1" w:styleId="CabealhodoSumrio1">
    <w:name w:val="Cabeçalho do Sumário1"/>
    <w:basedOn w:val="Ttulo1"/>
    <w:next w:val="Normal"/>
    <w:rsid w:val="00AE371B"/>
    <w:pPr>
      <w:keepLines/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paragraph" w:styleId="NormalWeb">
    <w:name w:val="Normal (Web)"/>
    <w:basedOn w:val="Normal"/>
    <w:uiPriority w:val="99"/>
    <w:rsid w:val="005244AA"/>
    <w:pPr>
      <w:spacing w:before="100" w:beforeAutospacing="1" w:after="100" w:afterAutospacing="1"/>
    </w:pPr>
    <w:rPr>
      <w:sz w:val="24"/>
      <w:szCs w:val="24"/>
    </w:rPr>
  </w:style>
  <w:style w:type="character" w:customStyle="1" w:styleId="Ttulo8Char">
    <w:name w:val="Título 8 Char"/>
    <w:link w:val="Ttulo8"/>
    <w:semiHidden/>
    <w:locked/>
    <w:rsid w:val="007C515F"/>
    <w:rPr>
      <w:b/>
      <w:i/>
      <w:sz w:val="24"/>
      <w:lang w:val="pt-BR" w:eastAsia="pt-BR" w:bidi="ar-SA"/>
    </w:rPr>
  </w:style>
  <w:style w:type="character" w:customStyle="1" w:styleId="CharChar2">
    <w:name w:val="Char Char2"/>
    <w:locked/>
    <w:rsid w:val="005E140E"/>
    <w:rPr>
      <w:rFonts w:ascii="Courier New" w:hAnsi="Courier New" w:cs="Courier New"/>
      <w:lang w:val="pt-BR" w:eastAsia="pt-BR" w:bidi="ar-SA"/>
    </w:rPr>
  </w:style>
  <w:style w:type="paragraph" w:styleId="PargrafodaLista">
    <w:name w:val="List Paragraph"/>
    <w:basedOn w:val="Normal"/>
    <w:uiPriority w:val="99"/>
    <w:qFormat/>
    <w:rsid w:val="00BD0DAC"/>
    <w:pPr>
      <w:ind w:left="720"/>
      <w:contextualSpacing/>
    </w:pPr>
  </w:style>
  <w:style w:type="paragraph" w:customStyle="1" w:styleId="wzfontsize">
    <w:name w:val="wzfontsize"/>
    <w:basedOn w:val="Normal"/>
    <w:rsid w:val="00AE438A"/>
    <w:pPr>
      <w:spacing w:after="135" w:line="270" w:lineRule="atLeast"/>
    </w:pPr>
    <w:rPr>
      <w:rFonts w:ascii="Helvetica" w:hAnsi="Helvetica" w:cs="Helvetica"/>
    </w:rPr>
  </w:style>
  <w:style w:type="character" w:customStyle="1" w:styleId="wzfontsize1">
    <w:name w:val="wzfontsize1"/>
    <w:basedOn w:val="Fontepargpadro"/>
    <w:rsid w:val="00AE438A"/>
  </w:style>
  <w:style w:type="character" w:customStyle="1" w:styleId="high">
    <w:name w:val="high"/>
    <w:basedOn w:val="Fontepargpadro"/>
    <w:rsid w:val="00AE438A"/>
  </w:style>
  <w:style w:type="paragraph" w:customStyle="1" w:styleId="TCU-RelVoto-demais">
    <w:name w:val="TCU - Rel/Voto - demais §§"/>
    <w:basedOn w:val="Normal"/>
    <w:qFormat/>
    <w:rsid w:val="00BA2383"/>
    <w:pPr>
      <w:tabs>
        <w:tab w:val="left" w:pos="1134"/>
      </w:tabs>
      <w:spacing w:after="160"/>
      <w:jc w:val="both"/>
    </w:pPr>
    <w:rPr>
      <w:sz w:val="24"/>
      <w:szCs w:val="22"/>
      <w:lang w:eastAsia="en-US"/>
    </w:rPr>
  </w:style>
  <w:style w:type="paragraph" w:customStyle="1" w:styleId="TCU-Transcrio">
    <w:name w:val="TCU - Transcrição"/>
    <w:basedOn w:val="Normal"/>
    <w:qFormat/>
    <w:rsid w:val="00BA2383"/>
    <w:pPr>
      <w:ind w:left="284" w:firstLine="567"/>
      <w:jc w:val="both"/>
    </w:pPr>
    <w:rPr>
      <w:i/>
      <w:sz w:val="24"/>
      <w:szCs w:val="22"/>
      <w:lang w:eastAsia="en-US"/>
    </w:rPr>
  </w:style>
  <w:style w:type="paragraph" w:customStyle="1" w:styleId="Default">
    <w:name w:val="Default"/>
    <w:rsid w:val="000F10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nter-3pt">
    <w:name w:val="enter-3pt"/>
    <w:basedOn w:val="Normal"/>
    <w:rsid w:val="00113F36"/>
    <w:pPr>
      <w:autoSpaceDE w:val="0"/>
      <w:autoSpaceDN w:val="0"/>
      <w:adjustRightInd w:val="0"/>
      <w:spacing w:after="0" w:line="60" w:lineRule="atLeast"/>
      <w:jc w:val="both"/>
    </w:pPr>
    <w:rPr>
      <w:sz w:val="8"/>
      <w:szCs w:val="8"/>
    </w:rPr>
  </w:style>
  <w:style w:type="character" w:customStyle="1" w:styleId="RodapChar">
    <w:name w:val="Rodapé Char"/>
    <w:basedOn w:val="Fontepargpadro"/>
    <w:link w:val="Rodap"/>
    <w:uiPriority w:val="99"/>
    <w:rsid w:val="00A35F50"/>
    <w:rPr>
      <w:rFonts w:eastAsia="Times New Roman"/>
    </w:rPr>
  </w:style>
  <w:style w:type="paragraph" w:styleId="Textodebalo">
    <w:name w:val="Balloon Text"/>
    <w:basedOn w:val="Normal"/>
    <w:link w:val="TextodebaloChar"/>
    <w:rsid w:val="00A35F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35F50"/>
    <w:rPr>
      <w:rFonts w:ascii="Tahoma" w:eastAsia="Times New Roman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rsid w:val="00A35F50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rsid w:val="00A35F50"/>
    <w:rPr>
      <w:rFonts w:eastAsia="Times New Roman"/>
    </w:rPr>
  </w:style>
  <w:style w:type="character" w:styleId="Refdenotaderodap">
    <w:name w:val="footnote reference"/>
    <w:basedOn w:val="Fontepargpadro"/>
    <w:rsid w:val="00A35F50"/>
    <w:rPr>
      <w:vertAlign w:val="superscript"/>
    </w:rPr>
  </w:style>
  <w:style w:type="paragraph" w:styleId="Textodenotadefim">
    <w:name w:val="endnote text"/>
    <w:basedOn w:val="Normal"/>
    <w:link w:val="TextodenotadefimChar"/>
    <w:rsid w:val="002B75BE"/>
    <w:pPr>
      <w:spacing w:after="0"/>
    </w:pPr>
  </w:style>
  <w:style w:type="character" w:customStyle="1" w:styleId="TextodenotadefimChar">
    <w:name w:val="Texto de nota de fim Char"/>
    <w:basedOn w:val="Fontepargpadro"/>
    <w:link w:val="Textodenotadefim"/>
    <w:rsid w:val="002B75BE"/>
    <w:rPr>
      <w:rFonts w:eastAsia="Times New Roman"/>
    </w:rPr>
  </w:style>
  <w:style w:type="character" w:styleId="Refdenotadefim">
    <w:name w:val="endnote reference"/>
    <w:basedOn w:val="Fontepargpadro"/>
    <w:rsid w:val="002B75BE"/>
    <w:rPr>
      <w:vertAlign w:val="superscript"/>
    </w:rPr>
  </w:style>
  <w:style w:type="character" w:customStyle="1" w:styleId="apple-converted-space">
    <w:name w:val="apple-converted-space"/>
    <w:basedOn w:val="Fontepargpadro"/>
    <w:rsid w:val="00B91BCC"/>
  </w:style>
  <w:style w:type="paragraph" w:styleId="Recuodecorpodetexto">
    <w:name w:val="Body Text Indent"/>
    <w:basedOn w:val="Normal"/>
    <w:link w:val="RecuodecorpodetextoChar"/>
    <w:rsid w:val="00516DF1"/>
    <w:pPr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516DF1"/>
    <w:rPr>
      <w:rFonts w:eastAsia="Times New Roman"/>
    </w:rPr>
  </w:style>
  <w:style w:type="character" w:customStyle="1" w:styleId="TextosemFormataoChar1">
    <w:name w:val="Texto sem Formatação Char1"/>
    <w:uiPriority w:val="99"/>
    <w:locked/>
    <w:rsid w:val="00FF0A59"/>
    <w:rPr>
      <w:rFonts w:ascii="Consolas" w:hAnsi="Consolas" w:cs="Consolas"/>
      <w:sz w:val="21"/>
      <w:szCs w:val="21"/>
    </w:rPr>
  </w:style>
  <w:style w:type="paragraph" w:customStyle="1" w:styleId="ecxmsonormal">
    <w:name w:val="ecxmsonormal"/>
    <w:basedOn w:val="Normal"/>
    <w:uiPriority w:val="99"/>
    <w:rsid w:val="00847EA1"/>
    <w:pPr>
      <w:spacing w:after="324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72C"/>
    <w:pPr>
      <w:spacing w:after="120"/>
    </w:pPr>
    <w:rPr>
      <w:rFonts w:eastAsia="Times New Roman"/>
    </w:rPr>
  </w:style>
  <w:style w:type="paragraph" w:styleId="Ttulo1">
    <w:name w:val="heading 1"/>
    <w:basedOn w:val="Normal"/>
    <w:next w:val="Normal"/>
    <w:qFormat/>
    <w:rsid w:val="00B74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har"/>
    <w:qFormat/>
    <w:rsid w:val="007C515F"/>
    <w:pPr>
      <w:keepNext/>
      <w:outlineLvl w:val="7"/>
    </w:pPr>
    <w:rPr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"/>
    <w:basedOn w:val="Normal"/>
    <w:link w:val="CabealhoChar"/>
    <w:uiPriority w:val="99"/>
    <w:rsid w:val="00D344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344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link w:val="Cabealho"/>
    <w:uiPriority w:val="99"/>
    <w:locked/>
    <w:rsid w:val="00D34400"/>
    <w:rPr>
      <w:lang w:val="pt-BR" w:eastAsia="pt-BR" w:bidi="ar-SA"/>
    </w:rPr>
  </w:style>
  <w:style w:type="character" w:styleId="Hyperlink">
    <w:name w:val="Hyperlink"/>
    <w:uiPriority w:val="99"/>
    <w:rsid w:val="002838EC"/>
    <w:rPr>
      <w:color w:val="0000FF"/>
      <w:u w:val="single"/>
    </w:rPr>
  </w:style>
  <w:style w:type="character" w:styleId="HiperlinkVisitado">
    <w:name w:val="FollowedHyperlink"/>
    <w:rsid w:val="00A40DC3"/>
    <w:rPr>
      <w:color w:val="800080"/>
      <w:u w:val="single"/>
    </w:rPr>
  </w:style>
  <w:style w:type="paragraph" w:customStyle="1" w:styleId="PargrafodaLista1">
    <w:name w:val="Parágrafo da Lista1"/>
    <w:aliases w:val="Estilo 1"/>
    <w:basedOn w:val="Ttulo1"/>
    <w:next w:val="TextosemFormatao"/>
    <w:link w:val="ListParagraphChar"/>
    <w:rsid w:val="00B7409F"/>
    <w:pPr>
      <w:numPr>
        <w:numId w:val="2"/>
      </w:numPr>
      <w:spacing w:after="120"/>
      <w:contextualSpacing/>
    </w:pPr>
    <w:rPr>
      <w:rFonts w:ascii="Times New Roman" w:hAnsi="Times New Roman" w:cs="Times New Roman"/>
      <w:bCs w:val="0"/>
      <w:noProof/>
      <w:kern w:val="0"/>
      <w:sz w:val="20"/>
      <w:szCs w:val="20"/>
    </w:rPr>
  </w:style>
  <w:style w:type="character" w:customStyle="1" w:styleId="ListParagraphChar">
    <w:name w:val="List Paragraph Char"/>
    <w:aliases w:val="Estilo 1 Char"/>
    <w:link w:val="PargrafodaLista1"/>
    <w:locked/>
    <w:rsid w:val="00B7409F"/>
    <w:rPr>
      <w:b/>
      <w:noProof/>
      <w:lang w:val="pt-BR" w:eastAsia="pt-BR" w:bidi="ar-SA"/>
    </w:rPr>
  </w:style>
  <w:style w:type="paragraph" w:styleId="TextosemFormatao">
    <w:name w:val="Plain Text"/>
    <w:basedOn w:val="Normal"/>
    <w:link w:val="TextosemFormataoChar"/>
    <w:uiPriority w:val="99"/>
    <w:rsid w:val="00B7409F"/>
    <w:rPr>
      <w:rFonts w:ascii="Courier New" w:hAnsi="Courier New" w:cs="Courier New"/>
    </w:rPr>
  </w:style>
  <w:style w:type="character" w:customStyle="1" w:styleId="TextosemFormataoChar">
    <w:name w:val="Texto sem Formatação Char"/>
    <w:link w:val="TextosemFormatao"/>
    <w:uiPriority w:val="99"/>
    <w:locked/>
    <w:rsid w:val="001C414C"/>
    <w:rPr>
      <w:rFonts w:ascii="Courier New" w:hAnsi="Courier New" w:cs="Courier New"/>
      <w:lang w:val="pt-BR" w:eastAsia="pt-BR" w:bidi="ar-SA"/>
    </w:rPr>
  </w:style>
  <w:style w:type="paragraph" w:styleId="Corpodetexto3">
    <w:name w:val="Body Text 3"/>
    <w:basedOn w:val="Normal"/>
    <w:link w:val="Corpodetexto3Char"/>
    <w:rsid w:val="00B726BC"/>
    <w:pPr>
      <w:spacing w:after="0"/>
      <w:jc w:val="both"/>
    </w:pPr>
    <w:rPr>
      <w:sz w:val="24"/>
    </w:rPr>
  </w:style>
  <w:style w:type="character" w:customStyle="1" w:styleId="Corpodetexto3Char">
    <w:name w:val="Corpo de texto 3 Char"/>
    <w:link w:val="Corpodetexto3"/>
    <w:semiHidden/>
    <w:locked/>
    <w:rsid w:val="00B726BC"/>
    <w:rPr>
      <w:sz w:val="24"/>
      <w:lang w:val="pt-BR" w:eastAsia="pt-BR" w:bidi="ar-SA"/>
    </w:rPr>
  </w:style>
  <w:style w:type="character" w:styleId="Nmerodepgina">
    <w:name w:val="page number"/>
    <w:basedOn w:val="Fontepargpadro"/>
    <w:rsid w:val="00B40743"/>
  </w:style>
  <w:style w:type="table" w:styleId="Tabelacomgrade">
    <w:name w:val="Table Grid"/>
    <w:basedOn w:val="Tabelanormal"/>
    <w:rsid w:val="00AE371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rio1Char">
    <w:name w:val="Sumário 1 Char"/>
    <w:link w:val="Sumrio1"/>
    <w:locked/>
    <w:rsid w:val="00B657D9"/>
    <w:rPr>
      <w:rFonts w:eastAsia="Times New Roman"/>
      <w:noProof/>
      <w:sz w:val="24"/>
      <w:szCs w:val="24"/>
    </w:rPr>
  </w:style>
  <w:style w:type="paragraph" w:styleId="Sumrio1">
    <w:name w:val="toc 1"/>
    <w:basedOn w:val="Normal"/>
    <w:next w:val="Normal"/>
    <w:link w:val="Sumrio1Char"/>
    <w:autoRedefine/>
    <w:rsid w:val="00B657D9"/>
    <w:pPr>
      <w:tabs>
        <w:tab w:val="left" w:pos="440"/>
        <w:tab w:val="right" w:leader="dot" w:pos="8494"/>
      </w:tabs>
      <w:spacing w:line="276" w:lineRule="auto"/>
      <w:jc w:val="both"/>
    </w:pPr>
    <w:rPr>
      <w:noProof/>
      <w:sz w:val="24"/>
      <w:szCs w:val="24"/>
    </w:rPr>
  </w:style>
  <w:style w:type="paragraph" w:customStyle="1" w:styleId="CabealhodoSumrio1">
    <w:name w:val="Cabeçalho do Sumário1"/>
    <w:basedOn w:val="Ttulo1"/>
    <w:next w:val="Normal"/>
    <w:rsid w:val="00AE371B"/>
    <w:pPr>
      <w:keepLines/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paragraph" w:styleId="NormalWeb">
    <w:name w:val="Normal (Web)"/>
    <w:basedOn w:val="Normal"/>
    <w:uiPriority w:val="99"/>
    <w:rsid w:val="005244AA"/>
    <w:pPr>
      <w:spacing w:before="100" w:beforeAutospacing="1" w:after="100" w:afterAutospacing="1"/>
    </w:pPr>
    <w:rPr>
      <w:sz w:val="24"/>
      <w:szCs w:val="24"/>
    </w:rPr>
  </w:style>
  <w:style w:type="character" w:customStyle="1" w:styleId="Ttulo8Char">
    <w:name w:val="Título 8 Char"/>
    <w:link w:val="Ttulo8"/>
    <w:semiHidden/>
    <w:locked/>
    <w:rsid w:val="007C515F"/>
    <w:rPr>
      <w:b/>
      <w:i/>
      <w:sz w:val="24"/>
      <w:lang w:val="pt-BR" w:eastAsia="pt-BR" w:bidi="ar-SA"/>
    </w:rPr>
  </w:style>
  <w:style w:type="character" w:customStyle="1" w:styleId="CharChar2">
    <w:name w:val="Char Char2"/>
    <w:locked/>
    <w:rsid w:val="005E140E"/>
    <w:rPr>
      <w:rFonts w:ascii="Courier New" w:hAnsi="Courier New" w:cs="Courier New"/>
      <w:lang w:val="pt-BR" w:eastAsia="pt-BR" w:bidi="ar-SA"/>
    </w:rPr>
  </w:style>
  <w:style w:type="paragraph" w:styleId="PargrafodaLista">
    <w:name w:val="List Paragraph"/>
    <w:basedOn w:val="Normal"/>
    <w:uiPriority w:val="99"/>
    <w:qFormat/>
    <w:rsid w:val="00BD0DAC"/>
    <w:pPr>
      <w:ind w:left="720"/>
      <w:contextualSpacing/>
    </w:pPr>
  </w:style>
  <w:style w:type="paragraph" w:customStyle="1" w:styleId="wzfontsize">
    <w:name w:val="wzfontsize"/>
    <w:basedOn w:val="Normal"/>
    <w:rsid w:val="00AE438A"/>
    <w:pPr>
      <w:spacing w:after="135" w:line="270" w:lineRule="atLeast"/>
    </w:pPr>
    <w:rPr>
      <w:rFonts w:ascii="Helvetica" w:hAnsi="Helvetica" w:cs="Helvetica"/>
    </w:rPr>
  </w:style>
  <w:style w:type="character" w:customStyle="1" w:styleId="wzfontsize1">
    <w:name w:val="wzfontsize1"/>
    <w:basedOn w:val="Fontepargpadro"/>
    <w:rsid w:val="00AE438A"/>
  </w:style>
  <w:style w:type="character" w:customStyle="1" w:styleId="high">
    <w:name w:val="high"/>
    <w:basedOn w:val="Fontepargpadro"/>
    <w:rsid w:val="00AE438A"/>
  </w:style>
  <w:style w:type="paragraph" w:customStyle="1" w:styleId="TCU-RelVoto-demais">
    <w:name w:val="TCU - Rel/Voto - demais §§"/>
    <w:basedOn w:val="Normal"/>
    <w:qFormat/>
    <w:rsid w:val="00BA2383"/>
    <w:pPr>
      <w:tabs>
        <w:tab w:val="left" w:pos="1134"/>
      </w:tabs>
      <w:spacing w:after="160"/>
      <w:jc w:val="both"/>
    </w:pPr>
    <w:rPr>
      <w:sz w:val="24"/>
      <w:szCs w:val="22"/>
      <w:lang w:eastAsia="en-US"/>
    </w:rPr>
  </w:style>
  <w:style w:type="paragraph" w:customStyle="1" w:styleId="TCU-Transcrio">
    <w:name w:val="TCU - Transcrição"/>
    <w:basedOn w:val="Normal"/>
    <w:qFormat/>
    <w:rsid w:val="00BA2383"/>
    <w:pPr>
      <w:ind w:left="284" w:firstLine="567"/>
      <w:jc w:val="both"/>
    </w:pPr>
    <w:rPr>
      <w:i/>
      <w:sz w:val="24"/>
      <w:szCs w:val="22"/>
      <w:lang w:eastAsia="en-US"/>
    </w:rPr>
  </w:style>
  <w:style w:type="paragraph" w:customStyle="1" w:styleId="Default">
    <w:name w:val="Default"/>
    <w:rsid w:val="000F10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nter-3pt">
    <w:name w:val="enter-3pt"/>
    <w:basedOn w:val="Normal"/>
    <w:rsid w:val="00113F36"/>
    <w:pPr>
      <w:autoSpaceDE w:val="0"/>
      <w:autoSpaceDN w:val="0"/>
      <w:adjustRightInd w:val="0"/>
      <w:spacing w:after="0" w:line="60" w:lineRule="atLeast"/>
      <w:jc w:val="both"/>
    </w:pPr>
    <w:rPr>
      <w:sz w:val="8"/>
      <w:szCs w:val="8"/>
    </w:rPr>
  </w:style>
  <w:style w:type="character" w:customStyle="1" w:styleId="RodapChar">
    <w:name w:val="Rodapé Char"/>
    <w:basedOn w:val="Fontepargpadro"/>
    <w:link w:val="Rodap"/>
    <w:uiPriority w:val="99"/>
    <w:rsid w:val="00A35F50"/>
    <w:rPr>
      <w:rFonts w:eastAsia="Times New Roman"/>
    </w:rPr>
  </w:style>
  <w:style w:type="paragraph" w:styleId="Textodebalo">
    <w:name w:val="Balloon Text"/>
    <w:basedOn w:val="Normal"/>
    <w:link w:val="TextodebaloChar"/>
    <w:rsid w:val="00A35F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35F50"/>
    <w:rPr>
      <w:rFonts w:ascii="Tahoma" w:eastAsia="Times New Roman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rsid w:val="00A35F50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rsid w:val="00A35F50"/>
    <w:rPr>
      <w:rFonts w:eastAsia="Times New Roman"/>
    </w:rPr>
  </w:style>
  <w:style w:type="character" w:styleId="Refdenotaderodap">
    <w:name w:val="footnote reference"/>
    <w:basedOn w:val="Fontepargpadro"/>
    <w:rsid w:val="00A35F50"/>
    <w:rPr>
      <w:vertAlign w:val="superscript"/>
    </w:rPr>
  </w:style>
  <w:style w:type="paragraph" w:styleId="Textodenotadefim">
    <w:name w:val="endnote text"/>
    <w:basedOn w:val="Normal"/>
    <w:link w:val="TextodenotadefimChar"/>
    <w:rsid w:val="002B75BE"/>
    <w:pPr>
      <w:spacing w:after="0"/>
    </w:pPr>
  </w:style>
  <w:style w:type="character" w:customStyle="1" w:styleId="TextodenotadefimChar">
    <w:name w:val="Texto de nota de fim Char"/>
    <w:basedOn w:val="Fontepargpadro"/>
    <w:link w:val="Textodenotadefim"/>
    <w:rsid w:val="002B75BE"/>
    <w:rPr>
      <w:rFonts w:eastAsia="Times New Roman"/>
    </w:rPr>
  </w:style>
  <w:style w:type="character" w:styleId="Refdenotadefim">
    <w:name w:val="endnote reference"/>
    <w:basedOn w:val="Fontepargpadro"/>
    <w:rsid w:val="002B75BE"/>
    <w:rPr>
      <w:vertAlign w:val="superscript"/>
    </w:rPr>
  </w:style>
  <w:style w:type="character" w:customStyle="1" w:styleId="apple-converted-space">
    <w:name w:val="apple-converted-space"/>
    <w:basedOn w:val="Fontepargpadro"/>
    <w:rsid w:val="00B91BCC"/>
  </w:style>
  <w:style w:type="paragraph" w:styleId="Recuodecorpodetexto">
    <w:name w:val="Body Text Indent"/>
    <w:basedOn w:val="Normal"/>
    <w:link w:val="RecuodecorpodetextoChar"/>
    <w:rsid w:val="00516DF1"/>
    <w:pPr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516DF1"/>
    <w:rPr>
      <w:rFonts w:eastAsia="Times New Roman"/>
    </w:rPr>
  </w:style>
  <w:style w:type="character" w:customStyle="1" w:styleId="TextosemFormataoChar1">
    <w:name w:val="Texto sem Formatação Char1"/>
    <w:uiPriority w:val="99"/>
    <w:locked/>
    <w:rsid w:val="00FF0A59"/>
    <w:rPr>
      <w:rFonts w:ascii="Consolas" w:hAnsi="Consolas" w:cs="Consolas"/>
      <w:sz w:val="21"/>
      <w:szCs w:val="21"/>
    </w:rPr>
  </w:style>
  <w:style w:type="paragraph" w:customStyle="1" w:styleId="ecxmsonormal">
    <w:name w:val="ecxmsonormal"/>
    <w:basedOn w:val="Normal"/>
    <w:uiPriority w:val="99"/>
    <w:rsid w:val="00847EA1"/>
    <w:pPr>
      <w:spacing w:after="324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9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11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0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77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45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988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647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65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1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044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2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29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6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52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56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20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82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5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56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13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3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64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4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431E-2E5F-4018-A6B6-3735CB31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4797</Words>
  <Characters>28285</Characters>
  <Application>Microsoft Office Word</Application>
  <DocSecurity>0</DocSecurity>
  <Lines>235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PRELIMINAR DE AUDITORIA DE FISCALIZAÇÃO PROCESSO DE CONCESSÃO, APLICAÇÃO E COMPROVAÇÃO DE SUPRIMENTO DE FUNDOS NO 1º SEMESTRE DE 2014</vt:lpstr>
    </vt:vector>
  </TitlesOfParts>
  <Company>Justiça Eleitoral</Company>
  <LinksUpToDate>false</LinksUpToDate>
  <CharactersWithSpaces>33016</CharactersWithSpaces>
  <SharedDoc>false</SharedDoc>
  <HLinks>
    <vt:vector size="24" baseType="variant">
      <vt:variant>
        <vt:i4>1048638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_Toc396482383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_Toc396482382</vt:lpwstr>
      </vt:variant>
      <vt:variant>
        <vt:i4>1048638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_Toc396482381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_Toc396482379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PRELIMINAR DE AUDITORIA DE FISCALIZAÇÃO PROCESSO DE CONCESSÃO, APLICAÇÃO E COMPROVAÇÃO DE SUPRIMENTO DE FUNDOS NO 1º SEMESTRE DE 2014</dc:title>
  <dc:creator>009821230566</dc:creator>
  <cp:lastModifiedBy>Geraldo Majella Nunes de Moura</cp:lastModifiedBy>
  <cp:revision>2</cp:revision>
  <cp:lastPrinted>2016-11-07T20:43:00Z</cp:lastPrinted>
  <dcterms:created xsi:type="dcterms:W3CDTF">2021-05-12T16:48:00Z</dcterms:created>
  <dcterms:modified xsi:type="dcterms:W3CDTF">2021-05-12T16:48:00Z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994255098</vt:i4>
  </property>
</Properties>
</file>