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215797">
      <w:pP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C50119" w:rsidRPr="006A4542" w:rsidRDefault="00C50119" w:rsidP="008F1C72">
      <w:pPr>
        <w:widowControl w:val="0"/>
        <w:tabs>
          <w:tab w:val="left" w:pos="214"/>
        </w:tabs>
        <w:spacing w:before="120"/>
        <w:jc w:val="center"/>
        <w:rPr>
          <w:rFonts w:ascii="Times New Roman" w:hAnsi="Times New Roman" w:cs="Times New Roman"/>
          <w:b/>
          <w:sz w:val="24"/>
          <w:szCs w:val="24"/>
        </w:rPr>
      </w:pPr>
    </w:p>
    <w:p w:rsidR="00C50119" w:rsidRPr="006A4542" w:rsidRDefault="00C50119"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r w:rsidRPr="006A4542">
        <w:rPr>
          <w:rFonts w:ascii="Times New Roman" w:hAnsi="Times New Roman" w:cs="Times New Roman"/>
          <w:b/>
          <w:sz w:val="24"/>
          <w:szCs w:val="24"/>
        </w:rPr>
        <w:t xml:space="preserve">RELATÓRIO </w:t>
      </w:r>
      <w:r w:rsidR="00EF30B2" w:rsidRPr="00D70398">
        <w:rPr>
          <w:rFonts w:ascii="Times New Roman" w:hAnsi="Times New Roman" w:cs="Times New Roman"/>
          <w:b/>
          <w:sz w:val="24"/>
          <w:szCs w:val="24"/>
        </w:rPr>
        <w:t>FINAL</w:t>
      </w:r>
      <w:r w:rsidRPr="006A4542">
        <w:rPr>
          <w:rFonts w:ascii="Times New Roman" w:hAnsi="Times New Roman" w:cs="Times New Roman"/>
          <w:b/>
          <w:sz w:val="24"/>
          <w:szCs w:val="24"/>
        </w:rPr>
        <w:t xml:space="preserve"> DA AUDITORIA</w:t>
      </w:r>
      <w:r w:rsidR="00E06BEC">
        <w:rPr>
          <w:rFonts w:ascii="Times New Roman" w:hAnsi="Times New Roman" w:cs="Times New Roman"/>
          <w:b/>
          <w:sz w:val="24"/>
          <w:szCs w:val="24"/>
        </w:rPr>
        <w:t xml:space="preserve"> DE RESULTADOS DO TRE-BA </w:t>
      </w:r>
      <w:r w:rsidRPr="006A4542">
        <w:rPr>
          <w:rFonts w:ascii="Times New Roman" w:hAnsi="Times New Roman" w:cs="Times New Roman"/>
          <w:b/>
          <w:sz w:val="24"/>
          <w:szCs w:val="24"/>
        </w:rPr>
        <w:t>– EXERCÍCIO 2017</w:t>
      </w:r>
      <w:r w:rsidR="00CA3445">
        <w:rPr>
          <w:rFonts w:ascii="Times New Roman" w:hAnsi="Times New Roman" w:cs="Times New Roman"/>
          <w:b/>
          <w:sz w:val="24"/>
          <w:szCs w:val="24"/>
        </w:rPr>
        <w:t xml:space="preserve"> (PAA2017)</w:t>
      </w: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p>
    <w:p w:rsidR="00C50119" w:rsidRPr="006A4542" w:rsidRDefault="00C50119" w:rsidP="008F1C72">
      <w:pPr>
        <w:widowControl w:val="0"/>
        <w:tabs>
          <w:tab w:val="left" w:pos="214"/>
        </w:tabs>
        <w:spacing w:before="120"/>
        <w:jc w:val="center"/>
        <w:rPr>
          <w:rFonts w:ascii="Times New Roman" w:hAnsi="Times New Roman" w:cs="Times New Roman"/>
          <w:b/>
          <w:sz w:val="24"/>
          <w:szCs w:val="24"/>
        </w:rPr>
      </w:pPr>
    </w:p>
    <w:p w:rsidR="00C50119" w:rsidRPr="006A4542" w:rsidRDefault="00C50119" w:rsidP="008F1C72">
      <w:pPr>
        <w:widowControl w:val="0"/>
        <w:tabs>
          <w:tab w:val="left" w:pos="214"/>
        </w:tabs>
        <w:spacing w:before="120"/>
        <w:jc w:val="center"/>
        <w:rPr>
          <w:rFonts w:ascii="Times New Roman" w:hAnsi="Times New Roman" w:cs="Times New Roman"/>
          <w:b/>
          <w:sz w:val="24"/>
          <w:szCs w:val="24"/>
        </w:rPr>
      </w:pPr>
    </w:p>
    <w:p w:rsidR="00C50119" w:rsidRPr="006A4542" w:rsidRDefault="00C50119" w:rsidP="008F1C72">
      <w:pPr>
        <w:widowControl w:val="0"/>
        <w:tabs>
          <w:tab w:val="left" w:pos="214"/>
        </w:tabs>
        <w:spacing w:before="120"/>
        <w:jc w:val="center"/>
        <w:rPr>
          <w:rFonts w:ascii="Times New Roman" w:hAnsi="Times New Roman" w:cs="Times New Roman"/>
          <w:b/>
          <w:sz w:val="24"/>
          <w:szCs w:val="24"/>
        </w:rPr>
      </w:pPr>
    </w:p>
    <w:p w:rsidR="00C50119" w:rsidRPr="006A4542" w:rsidRDefault="00C50119" w:rsidP="008F1C72">
      <w:pPr>
        <w:widowControl w:val="0"/>
        <w:tabs>
          <w:tab w:val="left" w:pos="214"/>
        </w:tabs>
        <w:spacing w:before="120"/>
        <w:jc w:val="center"/>
        <w:rPr>
          <w:rFonts w:ascii="Times New Roman" w:hAnsi="Times New Roman" w:cs="Times New Roman"/>
          <w:b/>
          <w:sz w:val="24"/>
          <w:szCs w:val="24"/>
        </w:rPr>
      </w:pPr>
    </w:p>
    <w:p w:rsidR="008F1C72" w:rsidRPr="00CA3445" w:rsidRDefault="008F1C72" w:rsidP="008F1C72">
      <w:pPr>
        <w:widowControl w:val="0"/>
        <w:tabs>
          <w:tab w:val="left" w:pos="214"/>
        </w:tabs>
        <w:spacing w:after="0" w:line="240" w:lineRule="auto"/>
        <w:jc w:val="center"/>
        <w:rPr>
          <w:rFonts w:ascii="Times New Roman" w:hAnsi="Times New Roman" w:cs="Times New Roman"/>
          <w:sz w:val="24"/>
          <w:szCs w:val="24"/>
        </w:rPr>
      </w:pPr>
      <w:r w:rsidRPr="00CA3445">
        <w:rPr>
          <w:rFonts w:ascii="Times New Roman" w:hAnsi="Times New Roman" w:cs="Times New Roman"/>
          <w:sz w:val="24"/>
          <w:szCs w:val="24"/>
        </w:rPr>
        <w:t>Salvador – BA</w:t>
      </w:r>
    </w:p>
    <w:p w:rsidR="008F1C72" w:rsidRPr="00CA3445" w:rsidRDefault="001A3D9E" w:rsidP="008F1C72">
      <w:pPr>
        <w:widowControl w:val="0"/>
        <w:tabs>
          <w:tab w:val="left" w:pos="214"/>
        </w:tabs>
        <w:spacing w:after="0" w:line="240" w:lineRule="auto"/>
        <w:jc w:val="center"/>
        <w:rPr>
          <w:rFonts w:ascii="Times New Roman" w:hAnsi="Times New Roman" w:cs="Times New Roman"/>
          <w:sz w:val="28"/>
          <w:szCs w:val="28"/>
        </w:rPr>
      </w:pPr>
      <w:r w:rsidRPr="00D70398">
        <w:rPr>
          <w:rFonts w:ascii="Times New Roman" w:hAnsi="Times New Roman" w:cs="Times New Roman"/>
          <w:sz w:val="24"/>
          <w:szCs w:val="24"/>
        </w:rPr>
        <w:t>Junho</w:t>
      </w:r>
      <w:r w:rsidR="008F1C72" w:rsidRPr="00CA3445">
        <w:rPr>
          <w:rFonts w:ascii="Times New Roman" w:hAnsi="Times New Roman" w:cs="Times New Roman"/>
          <w:sz w:val="24"/>
          <w:szCs w:val="24"/>
        </w:rPr>
        <w:t>/201</w:t>
      </w:r>
      <w:r w:rsidR="00C824B1" w:rsidRPr="00CA3445">
        <w:rPr>
          <w:rFonts w:ascii="Times New Roman" w:hAnsi="Times New Roman" w:cs="Times New Roman"/>
          <w:sz w:val="24"/>
          <w:szCs w:val="24"/>
        </w:rPr>
        <w:t>8</w:t>
      </w:r>
    </w:p>
    <w:p w:rsidR="008F1C72" w:rsidRPr="006A4542" w:rsidRDefault="008F1C72" w:rsidP="008F1C72">
      <w:pPr>
        <w:widowControl w:val="0"/>
        <w:tabs>
          <w:tab w:val="left" w:pos="214"/>
        </w:tabs>
        <w:spacing w:before="120"/>
        <w:jc w:val="center"/>
        <w:rPr>
          <w:rFonts w:ascii="Times New Roman" w:hAnsi="Times New Roman" w:cs="Times New Roman"/>
          <w:b/>
          <w:sz w:val="28"/>
          <w:szCs w:val="28"/>
        </w:rPr>
      </w:pPr>
    </w:p>
    <w:p w:rsidR="008F1C72" w:rsidRPr="006A4542" w:rsidRDefault="008F1C72" w:rsidP="008F1C72">
      <w:pPr>
        <w:widowControl w:val="0"/>
        <w:tabs>
          <w:tab w:val="left" w:pos="214"/>
        </w:tabs>
        <w:spacing w:before="120"/>
        <w:jc w:val="center"/>
        <w:rPr>
          <w:rFonts w:ascii="Times New Roman" w:hAnsi="Times New Roman" w:cs="Times New Roman"/>
          <w:b/>
          <w:sz w:val="28"/>
          <w:szCs w:val="28"/>
        </w:rPr>
      </w:pPr>
    </w:p>
    <w:p w:rsidR="008F1C72" w:rsidRPr="006A4542" w:rsidRDefault="008F1C72" w:rsidP="008F1C72">
      <w:pPr>
        <w:widowControl w:val="0"/>
        <w:tabs>
          <w:tab w:val="left" w:pos="214"/>
        </w:tabs>
        <w:spacing w:before="120"/>
        <w:jc w:val="center"/>
        <w:rPr>
          <w:rFonts w:ascii="Times New Roman" w:hAnsi="Times New Roman" w:cs="Times New Roman"/>
          <w:b/>
          <w:sz w:val="28"/>
          <w:szCs w:val="28"/>
        </w:rPr>
      </w:pPr>
    </w:p>
    <w:p w:rsidR="008F1C72" w:rsidRPr="006A4542" w:rsidRDefault="008F1C72" w:rsidP="008F1C72">
      <w:pPr>
        <w:widowControl w:val="0"/>
        <w:tabs>
          <w:tab w:val="left" w:pos="214"/>
        </w:tabs>
        <w:spacing w:before="120"/>
        <w:jc w:val="center"/>
        <w:rPr>
          <w:rFonts w:ascii="Times New Roman" w:hAnsi="Times New Roman" w:cs="Times New Roman"/>
          <w:b/>
          <w:sz w:val="28"/>
          <w:szCs w:val="28"/>
        </w:rPr>
      </w:pPr>
    </w:p>
    <w:p w:rsidR="008F1C72" w:rsidRPr="006A4542" w:rsidRDefault="008F1C72" w:rsidP="008F1C72">
      <w:pPr>
        <w:widowControl w:val="0"/>
        <w:tabs>
          <w:tab w:val="left" w:pos="214"/>
        </w:tabs>
        <w:spacing w:before="120"/>
        <w:jc w:val="center"/>
        <w:rPr>
          <w:rFonts w:ascii="Times New Roman" w:hAnsi="Times New Roman" w:cs="Times New Roman"/>
          <w:b/>
          <w:sz w:val="28"/>
          <w:szCs w:val="28"/>
        </w:rPr>
      </w:pPr>
    </w:p>
    <w:p w:rsidR="008F1C72" w:rsidRPr="006A4542" w:rsidRDefault="008F1C72" w:rsidP="008F1C72">
      <w:pPr>
        <w:widowControl w:val="0"/>
        <w:tabs>
          <w:tab w:val="left" w:pos="214"/>
        </w:tabs>
        <w:spacing w:before="120"/>
        <w:jc w:val="center"/>
        <w:rPr>
          <w:rFonts w:ascii="Times New Roman" w:hAnsi="Times New Roman" w:cs="Times New Roman"/>
          <w:b/>
          <w:sz w:val="24"/>
          <w:szCs w:val="24"/>
        </w:rPr>
      </w:pPr>
      <w:r w:rsidRPr="006A4542">
        <w:rPr>
          <w:rFonts w:ascii="Times New Roman" w:hAnsi="Times New Roman" w:cs="Times New Roman"/>
          <w:b/>
          <w:sz w:val="24"/>
          <w:szCs w:val="24"/>
        </w:rPr>
        <w:t xml:space="preserve">RELATÓRIO </w:t>
      </w:r>
      <w:r w:rsidR="00DC20E1" w:rsidRPr="00D70398">
        <w:rPr>
          <w:rFonts w:ascii="Times New Roman" w:hAnsi="Times New Roman" w:cs="Times New Roman"/>
          <w:b/>
          <w:sz w:val="24"/>
          <w:szCs w:val="24"/>
        </w:rPr>
        <w:t>FINAL</w:t>
      </w:r>
      <w:r w:rsidRPr="00D70398">
        <w:rPr>
          <w:rFonts w:ascii="Times New Roman" w:hAnsi="Times New Roman" w:cs="Times New Roman"/>
          <w:b/>
          <w:sz w:val="24"/>
          <w:szCs w:val="24"/>
        </w:rPr>
        <w:t xml:space="preserve"> </w:t>
      </w:r>
      <w:r w:rsidRPr="006A4542">
        <w:rPr>
          <w:rFonts w:ascii="Times New Roman" w:hAnsi="Times New Roman" w:cs="Times New Roman"/>
          <w:b/>
          <w:sz w:val="24"/>
          <w:szCs w:val="24"/>
        </w:rPr>
        <w:t>DA</w:t>
      </w:r>
      <w:r w:rsidR="00E06BEC">
        <w:rPr>
          <w:rFonts w:ascii="Times New Roman" w:hAnsi="Times New Roman" w:cs="Times New Roman"/>
          <w:b/>
          <w:sz w:val="24"/>
          <w:szCs w:val="24"/>
        </w:rPr>
        <w:t xml:space="preserve"> AUDITORIA DE RESULTADOS DO TRE-BA </w:t>
      </w:r>
      <w:r w:rsidRPr="006A4542">
        <w:rPr>
          <w:rFonts w:ascii="Times New Roman" w:hAnsi="Times New Roman" w:cs="Times New Roman"/>
          <w:b/>
          <w:sz w:val="24"/>
          <w:szCs w:val="24"/>
        </w:rPr>
        <w:t>– EXERCÍCIO 2017</w:t>
      </w:r>
      <w:r w:rsidR="00CA3445">
        <w:rPr>
          <w:rFonts w:ascii="Times New Roman" w:hAnsi="Times New Roman" w:cs="Times New Roman"/>
          <w:b/>
          <w:sz w:val="24"/>
          <w:szCs w:val="24"/>
        </w:rPr>
        <w:t xml:space="preserve"> (PAA2017)</w:t>
      </w:r>
    </w:p>
    <w:p w:rsidR="008F1C72" w:rsidRPr="00F54A97" w:rsidRDefault="008F1C72" w:rsidP="008F1C72">
      <w:pPr>
        <w:rPr>
          <w:rFonts w:ascii="Times New Roman" w:hAnsi="Times New Roman" w:cs="Times New Roman"/>
          <w:b/>
          <w:color w:val="000000" w:themeColor="text1"/>
          <w:sz w:val="24"/>
          <w:szCs w:val="24"/>
        </w:rPr>
      </w:pPr>
    </w:p>
    <w:p w:rsidR="008F1C72" w:rsidRPr="00F54A97" w:rsidRDefault="008F1C72" w:rsidP="008F1C72">
      <w:pPr>
        <w:spacing w:after="0" w:line="240" w:lineRule="auto"/>
        <w:ind w:left="2268"/>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Relatório</w:t>
      </w:r>
      <w:r w:rsidR="0062748A" w:rsidRPr="00F54A97">
        <w:rPr>
          <w:rFonts w:ascii="Times New Roman" w:hAnsi="Times New Roman" w:cs="Times New Roman"/>
          <w:color w:val="000000" w:themeColor="text1"/>
          <w:sz w:val="24"/>
          <w:szCs w:val="24"/>
        </w:rPr>
        <w:t xml:space="preserve"> </w:t>
      </w:r>
      <w:r w:rsidR="00872302" w:rsidRPr="00D70398">
        <w:rPr>
          <w:rFonts w:ascii="Times New Roman" w:hAnsi="Times New Roman" w:cs="Times New Roman"/>
          <w:sz w:val="24"/>
          <w:szCs w:val="24"/>
        </w:rPr>
        <w:t>final</w:t>
      </w:r>
      <w:r w:rsidRPr="00F54A97">
        <w:rPr>
          <w:rFonts w:ascii="Times New Roman" w:hAnsi="Times New Roman" w:cs="Times New Roman"/>
          <w:color w:val="000000" w:themeColor="text1"/>
          <w:sz w:val="24"/>
          <w:szCs w:val="24"/>
        </w:rPr>
        <w:t xml:space="preserve"> da Auditoria</w:t>
      </w:r>
      <w:r w:rsidR="00B10D19" w:rsidRPr="00F54A97">
        <w:rPr>
          <w:rFonts w:ascii="Times New Roman" w:hAnsi="Times New Roman" w:cs="Times New Roman"/>
          <w:color w:val="000000" w:themeColor="text1"/>
          <w:sz w:val="24"/>
          <w:szCs w:val="24"/>
        </w:rPr>
        <w:t xml:space="preserve"> de Resultados</w:t>
      </w:r>
      <w:r w:rsidR="00CA3445">
        <w:rPr>
          <w:rFonts w:ascii="Times New Roman" w:hAnsi="Times New Roman" w:cs="Times New Roman"/>
          <w:color w:val="000000" w:themeColor="text1"/>
          <w:sz w:val="24"/>
          <w:szCs w:val="24"/>
        </w:rPr>
        <w:t xml:space="preserve"> </w:t>
      </w:r>
      <w:r w:rsidRPr="00F54A97">
        <w:rPr>
          <w:rFonts w:ascii="Times New Roman" w:hAnsi="Times New Roman" w:cs="Times New Roman"/>
          <w:color w:val="000000" w:themeColor="text1"/>
          <w:sz w:val="24"/>
          <w:szCs w:val="24"/>
        </w:rPr>
        <w:t>– Exercício 2017</w:t>
      </w:r>
      <w:r w:rsidR="00677034"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consoante previsão inserta no Plano Anual de Atividades da </w:t>
      </w:r>
      <w:r w:rsidRPr="00D70398">
        <w:rPr>
          <w:rFonts w:ascii="Times New Roman" w:hAnsi="Times New Roman" w:cs="Times New Roman"/>
          <w:sz w:val="24"/>
          <w:szCs w:val="24"/>
        </w:rPr>
        <w:t>Coordenadoria de Auditoria</w:t>
      </w:r>
      <w:r w:rsidR="00872302" w:rsidRPr="00D70398">
        <w:rPr>
          <w:rFonts w:ascii="Times New Roman" w:hAnsi="Times New Roman" w:cs="Times New Roman"/>
          <w:sz w:val="24"/>
          <w:szCs w:val="24"/>
        </w:rPr>
        <w:t xml:space="preserve"> </w:t>
      </w:r>
      <w:r w:rsidRPr="00D70398">
        <w:rPr>
          <w:rFonts w:ascii="Times New Roman" w:hAnsi="Times New Roman" w:cs="Times New Roman"/>
          <w:sz w:val="24"/>
          <w:szCs w:val="24"/>
        </w:rPr>
        <w:t>(CO</w:t>
      </w:r>
      <w:r w:rsidR="00872302" w:rsidRPr="00D70398">
        <w:rPr>
          <w:rFonts w:ascii="Times New Roman" w:hAnsi="Times New Roman" w:cs="Times New Roman"/>
          <w:sz w:val="24"/>
          <w:szCs w:val="24"/>
        </w:rPr>
        <w:t>AUD</w:t>
      </w:r>
      <w:r w:rsidRPr="00D70398">
        <w:rPr>
          <w:rFonts w:ascii="Times New Roman" w:hAnsi="Times New Roman" w:cs="Times New Roman"/>
          <w:sz w:val="24"/>
          <w:szCs w:val="24"/>
        </w:rPr>
        <w:t xml:space="preserve">) </w:t>
      </w:r>
      <w:r w:rsidRPr="00F54A97">
        <w:rPr>
          <w:rFonts w:ascii="Times New Roman" w:hAnsi="Times New Roman" w:cs="Times New Roman"/>
          <w:color w:val="000000" w:themeColor="text1"/>
          <w:sz w:val="24"/>
          <w:szCs w:val="24"/>
        </w:rPr>
        <w:t xml:space="preserve">referente a 2017 (PAA2017), aprovado por meio da Portaria da Presidência desta Casa nº 707, de </w:t>
      </w:r>
      <w:proofErr w:type="gramStart"/>
      <w:r w:rsidRPr="00F54A97">
        <w:rPr>
          <w:rFonts w:ascii="Times New Roman" w:hAnsi="Times New Roman" w:cs="Times New Roman"/>
          <w:color w:val="000000" w:themeColor="text1"/>
          <w:sz w:val="24"/>
          <w:szCs w:val="24"/>
        </w:rPr>
        <w:t>9</w:t>
      </w:r>
      <w:proofErr w:type="gramEnd"/>
      <w:r w:rsidRPr="00F54A97">
        <w:rPr>
          <w:rFonts w:ascii="Times New Roman" w:hAnsi="Times New Roman" w:cs="Times New Roman"/>
          <w:color w:val="000000" w:themeColor="text1"/>
          <w:sz w:val="24"/>
          <w:szCs w:val="24"/>
        </w:rPr>
        <w:t xml:space="preserve"> de dezembro de 2016, alterad</w:t>
      </w:r>
      <w:r w:rsidR="00CA3445">
        <w:rPr>
          <w:rFonts w:ascii="Times New Roman" w:hAnsi="Times New Roman" w:cs="Times New Roman"/>
          <w:color w:val="000000" w:themeColor="text1"/>
          <w:sz w:val="24"/>
          <w:szCs w:val="24"/>
        </w:rPr>
        <w:t>o</w:t>
      </w:r>
      <w:r w:rsidRPr="00F54A97">
        <w:rPr>
          <w:rFonts w:ascii="Times New Roman" w:hAnsi="Times New Roman" w:cs="Times New Roman"/>
          <w:color w:val="000000" w:themeColor="text1"/>
          <w:sz w:val="24"/>
          <w:szCs w:val="24"/>
        </w:rPr>
        <w:t xml:space="preserve"> pela Portaria nº 404</w:t>
      </w:r>
      <w:r w:rsidR="00AA2503"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de 25 de julho de 2017, realizada</w:t>
      </w:r>
      <w:r w:rsidR="00B10D19" w:rsidRPr="00F54A97">
        <w:rPr>
          <w:rFonts w:ascii="Times New Roman" w:hAnsi="Times New Roman" w:cs="Times New Roman"/>
          <w:color w:val="000000" w:themeColor="text1"/>
          <w:sz w:val="24"/>
          <w:szCs w:val="24"/>
        </w:rPr>
        <w:t xml:space="preserve"> </w:t>
      </w:r>
      <w:r w:rsidR="00B10D19" w:rsidRPr="00D70398">
        <w:rPr>
          <w:rFonts w:ascii="Times New Roman" w:hAnsi="Times New Roman" w:cs="Times New Roman"/>
          <w:sz w:val="24"/>
          <w:szCs w:val="24"/>
        </w:rPr>
        <w:t>pela Seção de Auditoria</w:t>
      </w:r>
      <w:r w:rsidR="00872302" w:rsidRPr="00D70398">
        <w:rPr>
          <w:rFonts w:ascii="Times New Roman" w:hAnsi="Times New Roman" w:cs="Times New Roman"/>
          <w:sz w:val="24"/>
          <w:szCs w:val="24"/>
        </w:rPr>
        <w:t xml:space="preserve"> de Governança e Gestão Organizacional</w:t>
      </w:r>
      <w:r w:rsidR="00B10D19" w:rsidRPr="00D70398">
        <w:rPr>
          <w:rFonts w:ascii="Times New Roman" w:hAnsi="Times New Roman" w:cs="Times New Roman"/>
          <w:sz w:val="24"/>
          <w:szCs w:val="24"/>
        </w:rPr>
        <w:t xml:space="preserve"> (SE</w:t>
      </w:r>
      <w:r w:rsidR="00872302" w:rsidRPr="00D70398">
        <w:rPr>
          <w:rFonts w:ascii="Times New Roman" w:hAnsi="Times New Roman" w:cs="Times New Roman"/>
          <w:sz w:val="24"/>
          <w:szCs w:val="24"/>
        </w:rPr>
        <w:t>AGO</w:t>
      </w:r>
      <w:r w:rsidR="00B10D19" w:rsidRPr="00D70398">
        <w:rPr>
          <w:rFonts w:ascii="Times New Roman" w:hAnsi="Times New Roman" w:cs="Times New Roman"/>
          <w:sz w:val="24"/>
          <w:szCs w:val="24"/>
        </w:rPr>
        <w:t xml:space="preserve">), </w:t>
      </w:r>
      <w:r w:rsidR="00B10D19" w:rsidRPr="00F54A97">
        <w:rPr>
          <w:rFonts w:ascii="Times New Roman" w:hAnsi="Times New Roman" w:cs="Times New Roman"/>
          <w:color w:val="000000" w:themeColor="text1"/>
          <w:sz w:val="24"/>
          <w:szCs w:val="24"/>
        </w:rPr>
        <w:t>com objetivo de avaliar a execução da estratégia do Tribunal Regional Eleitoral da Bahia (TRE-BA)</w:t>
      </w:r>
      <w:r w:rsidR="000713C7">
        <w:rPr>
          <w:rFonts w:ascii="Times New Roman" w:hAnsi="Times New Roman" w:cs="Times New Roman"/>
          <w:color w:val="000000" w:themeColor="text1"/>
          <w:sz w:val="24"/>
          <w:szCs w:val="24"/>
        </w:rPr>
        <w:t>,</w:t>
      </w:r>
      <w:r w:rsidR="00B10D19" w:rsidRPr="00F54A97">
        <w:rPr>
          <w:rFonts w:ascii="Times New Roman" w:hAnsi="Times New Roman" w:cs="Times New Roman"/>
          <w:color w:val="000000" w:themeColor="text1"/>
          <w:sz w:val="24"/>
          <w:szCs w:val="24"/>
        </w:rPr>
        <w:t xml:space="preserve"> com foco no acompanhamento do cumprimento das metas e objetivos organizacionais</w:t>
      </w:r>
      <w:r w:rsidRPr="00F54A97">
        <w:rPr>
          <w:rFonts w:ascii="Times New Roman" w:hAnsi="Times New Roman" w:cs="Times New Roman"/>
          <w:color w:val="000000" w:themeColor="text1"/>
          <w:sz w:val="24"/>
          <w:szCs w:val="24"/>
        </w:rPr>
        <w:t>.</w:t>
      </w:r>
    </w:p>
    <w:p w:rsidR="008F1C72" w:rsidRPr="006A4542" w:rsidRDefault="008F1C72" w:rsidP="008F1C72">
      <w:pPr>
        <w:autoSpaceDE w:val="0"/>
        <w:autoSpaceDN w:val="0"/>
        <w:adjustRightInd w:val="0"/>
        <w:spacing w:after="0" w:line="240" w:lineRule="auto"/>
        <w:ind w:left="2268"/>
        <w:jc w:val="both"/>
        <w:rPr>
          <w:rFonts w:ascii="Times New Roman" w:hAnsi="Times New Roman" w:cs="Times New Roman"/>
          <w:sz w:val="24"/>
          <w:szCs w:val="24"/>
        </w:rPr>
      </w:pPr>
    </w:p>
    <w:p w:rsidR="008F1C72" w:rsidRPr="006A4542" w:rsidRDefault="00677034" w:rsidP="008F1C72">
      <w:pPr>
        <w:autoSpaceDE w:val="0"/>
        <w:autoSpaceDN w:val="0"/>
        <w:adjustRightInd w:val="0"/>
        <w:spacing w:after="0" w:line="240" w:lineRule="auto"/>
        <w:ind w:left="2268"/>
        <w:jc w:val="both"/>
        <w:rPr>
          <w:rFonts w:ascii="Times New Roman" w:hAnsi="Times New Roman" w:cs="Times New Roman"/>
          <w:sz w:val="24"/>
          <w:szCs w:val="24"/>
        </w:rPr>
      </w:pPr>
      <w:r w:rsidRPr="006A4542">
        <w:rPr>
          <w:rFonts w:ascii="Times New Roman" w:hAnsi="Times New Roman" w:cs="Times New Roman"/>
          <w:sz w:val="24"/>
          <w:szCs w:val="24"/>
        </w:rPr>
        <w:t xml:space="preserve">Elaboração: </w:t>
      </w:r>
      <w:r w:rsidRPr="00D70398">
        <w:rPr>
          <w:rFonts w:ascii="Times New Roman" w:hAnsi="Times New Roman" w:cs="Times New Roman"/>
          <w:sz w:val="24"/>
          <w:szCs w:val="24"/>
        </w:rPr>
        <w:t xml:space="preserve">Seção de Auditoria </w:t>
      </w:r>
      <w:r w:rsidR="00872302" w:rsidRPr="00D70398">
        <w:rPr>
          <w:rFonts w:ascii="Times New Roman" w:hAnsi="Times New Roman" w:cs="Times New Roman"/>
          <w:sz w:val="24"/>
          <w:szCs w:val="24"/>
        </w:rPr>
        <w:t xml:space="preserve">de Governança e Gestão Organizacional </w:t>
      </w:r>
      <w:r w:rsidRPr="00D70398">
        <w:rPr>
          <w:rFonts w:ascii="Times New Roman" w:hAnsi="Times New Roman" w:cs="Times New Roman"/>
          <w:sz w:val="24"/>
          <w:szCs w:val="24"/>
        </w:rPr>
        <w:t>(</w:t>
      </w:r>
      <w:r w:rsidR="008F1C72" w:rsidRPr="00D70398">
        <w:rPr>
          <w:rFonts w:ascii="Times New Roman" w:hAnsi="Times New Roman" w:cs="Times New Roman"/>
          <w:sz w:val="24"/>
          <w:szCs w:val="24"/>
        </w:rPr>
        <w:t>SE</w:t>
      </w:r>
      <w:r w:rsidR="00872302" w:rsidRPr="00D70398">
        <w:rPr>
          <w:rFonts w:ascii="Times New Roman" w:hAnsi="Times New Roman" w:cs="Times New Roman"/>
          <w:sz w:val="24"/>
          <w:szCs w:val="24"/>
        </w:rPr>
        <w:t>AGO</w:t>
      </w:r>
      <w:r w:rsidRPr="00D70398">
        <w:rPr>
          <w:rFonts w:ascii="Times New Roman" w:hAnsi="Times New Roman" w:cs="Times New Roman"/>
          <w:sz w:val="24"/>
          <w:szCs w:val="24"/>
        </w:rPr>
        <w:t>)</w:t>
      </w:r>
      <w:r w:rsidR="008F1C72" w:rsidRPr="00872302">
        <w:rPr>
          <w:rFonts w:ascii="Times New Roman" w:hAnsi="Times New Roman" w:cs="Times New Roman"/>
          <w:color w:val="548DD4" w:themeColor="text2" w:themeTint="99"/>
          <w:sz w:val="24"/>
          <w:szCs w:val="24"/>
        </w:rPr>
        <w:t>.</w:t>
      </w:r>
    </w:p>
    <w:p w:rsidR="008F1C72" w:rsidRPr="006A4542" w:rsidRDefault="008F1C72" w:rsidP="008F1C72">
      <w:pPr>
        <w:autoSpaceDE w:val="0"/>
        <w:autoSpaceDN w:val="0"/>
        <w:adjustRightInd w:val="0"/>
        <w:spacing w:after="0" w:line="240" w:lineRule="auto"/>
        <w:ind w:left="4111" w:hanging="1843"/>
        <w:jc w:val="both"/>
        <w:rPr>
          <w:rFonts w:ascii="Times New Roman" w:hAnsi="Times New Roman" w:cs="Times New Roman"/>
          <w:sz w:val="24"/>
          <w:szCs w:val="24"/>
        </w:rPr>
      </w:pPr>
      <w:r w:rsidRPr="006A4542">
        <w:rPr>
          <w:rFonts w:ascii="Times New Roman" w:hAnsi="Times New Roman" w:cs="Times New Roman"/>
          <w:sz w:val="24"/>
          <w:szCs w:val="24"/>
        </w:rPr>
        <w:t>Auditores Internos:</w:t>
      </w:r>
      <w:r w:rsidR="00B10D19">
        <w:rPr>
          <w:rFonts w:ascii="Times New Roman" w:hAnsi="Times New Roman" w:cs="Times New Roman"/>
          <w:sz w:val="24"/>
          <w:szCs w:val="24"/>
        </w:rPr>
        <w:t xml:space="preserve"> </w:t>
      </w:r>
      <w:proofErr w:type="spellStart"/>
      <w:r w:rsidRPr="006A4542">
        <w:rPr>
          <w:rFonts w:ascii="Times New Roman" w:hAnsi="Times New Roman" w:cs="Times New Roman"/>
          <w:sz w:val="24"/>
          <w:szCs w:val="24"/>
        </w:rPr>
        <w:t>Antonio</w:t>
      </w:r>
      <w:proofErr w:type="spellEnd"/>
      <w:r w:rsidRPr="006A4542">
        <w:rPr>
          <w:rFonts w:ascii="Times New Roman" w:hAnsi="Times New Roman" w:cs="Times New Roman"/>
          <w:sz w:val="24"/>
          <w:szCs w:val="24"/>
        </w:rPr>
        <w:t xml:space="preserve"> Fernando dos </w:t>
      </w:r>
      <w:proofErr w:type="gramStart"/>
      <w:r w:rsidRPr="006A4542">
        <w:rPr>
          <w:rFonts w:ascii="Times New Roman" w:hAnsi="Times New Roman" w:cs="Times New Roman"/>
          <w:sz w:val="24"/>
          <w:szCs w:val="24"/>
        </w:rPr>
        <w:t>Santos Paixão</w:t>
      </w:r>
      <w:proofErr w:type="gramEnd"/>
      <w:r w:rsidR="00AA2503" w:rsidRPr="006A4542">
        <w:rPr>
          <w:rFonts w:ascii="Times New Roman" w:hAnsi="Times New Roman" w:cs="Times New Roman"/>
          <w:sz w:val="24"/>
          <w:szCs w:val="24"/>
        </w:rPr>
        <w:t>;</w:t>
      </w:r>
    </w:p>
    <w:p w:rsidR="008F1C72" w:rsidRDefault="00175653" w:rsidP="00F65175">
      <w:pPr>
        <w:autoSpaceDE w:val="0"/>
        <w:autoSpaceDN w:val="0"/>
        <w:adjustRightInd w:val="0"/>
        <w:spacing w:after="0" w:line="240" w:lineRule="auto"/>
        <w:ind w:left="4111"/>
        <w:jc w:val="both"/>
        <w:rPr>
          <w:rFonts w:ascii="Times New Roman" w:hAnsi="Times New Roman" w:cs="Times New Roman"/>
          <w:sz w:val="24"/>
          <w:szCs w:val="24"/>
        </w:rPr>
      </w:pPr>
      <w:r>
        <w:rPr>
          <w:rFonts w:ascii="Times New Roman" w:hAnsi="Times New Roman" w:cs="Times New Roman"/>
          <w:sz w:val="24"/>
          <w:szCs w:val="24"/>
        </w:rPr>
        <w:t xml:space="preserve"> </w:t>
      </w:r>
      <w:r w:rsidR="00A120D2">
        <w:rPr>
          <w:rFonts w:ascii="Times New Roman" w:hAnsi="Times New Roman" w:cs="Times New Roman"/>
          <w:sz w:val="24"/>
          <w:szCs w:val="24"/>
        </w:rPr>
        <w:t xml:space="preserve"> </w:t>
      </w:r>
      <w:r w:rsidR="008F1C72" w:rsidRPr="006A4542">
        <w:rPr>
          <w:rFonts w:ascii="Times New Roman" w:hAnsi="Times New Roman" w:cs="Times New Roman"/>
          <w:sz w:val="24"/>
          <w:szCs w:val="24"/>
        </w:rPr>
        <w:t>Mirela Rios Cruz de Jesus</w:t>
      </w:r>
      <w:r w:rsidR="00B10D19">
        <w:rPr>
          <w:rFonts w:ascii="Times New Roman" w:hAnsi="Times New Roman" w:cs="Times New Roman"/>
          <w:sz w:val="24"/>
          <w:szCs w:val="24"/>
        </w:rPr>
        <w:t>;</w:t>
      </w:r>
      <w:r w:rsidR="00CA3445">
        <w:rPr>
          <w:rFonts w:ascii="Times New Roman" w:hAnsi="Times New Roman" w:cs="Times New Roman"/>
          <w:sz w:val="24"/>
          <w:szCs w:val="24"/>
        </w:rPr>
        <w:t xml:space="preserve"> </w:t>
      </w:r>
      <w:proofErr w:type="gramStart"/>
      <w:r w:rsidR="00CA3445">
        <w:rPr>
          <w:rFonts w:ascii="Times New Roman" w:hAnsi="Times New Roman" w:cs="Times New Roman"/>
          <w:sz w:val="24"/>
          <w:szCs w:val="24"/>
        </w:rPr>
        <w:t>e</w:t>
      </w:r>
      <w:proofErr w:type="gramEnd"/>
    </w:p>
    <w:p w:rsidR="00B10D19" w:rsidRPr="006A4542" w:rsidRDefault="00F65175" w:rsidP="00F65175">
      <w:pPr>
        <w:autoSpaceDE w:val="0"/>
        <w:autoSpaceDN w:val="0"/>
        <w:adjustRightInd w:val="0"/>
        <w:spacing w:after="0" w:line="240" w:lineRule="auto"/>
        <w:ind w:left="4111"/>
        <w:jc w:val="both"/>
        <w:rPr>
          <w:rFonts w:ascii="Times New Roman" w:hAnsi="Times New Roman" w:cs="Times New Roman"/>
          <w:sz w:val="24"/>
          <w:szCs w:val="24"/>
        </w:rPr>
      </w:pPr>
      <w:r>
        <w:rPr>
          <w:rFonts w:ascii="Times New Roman" w:hAnsi="Times New Roman" w:cs="Times New Roman"/>
          <w:sz w:val="24"/>
          <w:szCs w:val="24"/>
        </w:rPr>
        <w:t xml:space="preserve"> </w:t>
      </w:r>
      <w:r w:rsidR="00A120D2">
        <w:rPr>
          <w:rFonts w:ascii="Times New Roman" w:hAnsi="Times New Roman" w:cs="Times New Roman"/>
          <w:sz w:val="24"/>
          <w:szCs w:val="24"/>
        </w:rPr>
        <w:t xml:space="preserve"> </w:t>
      </w:r>
      <w:r w:rsidR="00B10D19" w:rsidRPr="006A4542">
        <w:rPr>
          <w:rFonts w:ascii="Times New Roman" w:hAnsi="Times New Roman" w:cs="Times New Roman"/>
          <w:sz w:val="24"/>
          <w:szCs w:val="24"/>
        </w:rPr>
        <w:t xml:space="preserve">Ricardo Nascimento </w:t>
      </w:r>
      <w:proofErr w:type="spellStart"/>
      <w:r w:rsidR="00B10D19" w:rsidRPr="006A4542">
        <w:rPr>
          <w:rFonts w:ascii="Times New Roman" w:hAnsi="Times New Roman" w:cs="Times New Roman"/>
          <w:sz w:val="24"/>
          <w:szCs w:val="24"/>
        </w:rPr>
        <w:t>Cantharino</w:t>
      </w:r>
      <w:proofErr w:type="spellEnd"/>
      <w:r w:rsidR="00B10D19">
        <w:rPr>
          <w:rFonts w:ascii="Times New Roman" w:hAnsi="Times New Roman" w:cs="Times New Roman"/>
          <w:sz w:val="24"/>
          <w:szCs w:val="24"/>
        </w:rPr>
        <w:t>.</w:t>
      </w:r>
    </w:p>
    <w:p w:rsidR="008F1C72" w:rsidRPr="006A4542" w:rsidRDefault="008F1C72" w:rsidP="008F1C72">
      <w:pPr>
        <w:autoSpaceDE w:val="0"/>
        <w:autoSpaceDN w:val="0"/>
        <w:adjustRightInd w:val="0"/>
        <w:spacing w:after="0" w:line="240" w:lineRule="auto"/>
        <w:ind w:left="2268"/>
        <w:jc w:val="both"/>
        <w:rPr>
          <w:rFonts w:ascii="Times New Roman" w:hAnsi="Times New Roman" w:cs="Times New Roman"/>
        </w:rPr>
      </w:pPr>
    </w:p>
    <w:p w:rsidR="00AA2503" w:rsidRPr="006A4542" w:rsidRDefault="00AA2503" w:rsidP="008F1C72">
      <w:pPr>
        <w:autoSpaceDE w:val="0"/>
        <w:autoSpaceDN w:val="0"/>
        <w:adjustRightInd w:val="0"/>
        <w:spacing w:after="0" w:line="240" w:lineRule="auto"/>
        <w:ind w:left="2268"/>
        <w:jc w:val="both"/>
        <w:rPr>
          <w:rFonts w:ascii="Times New Roman" w:hAnsi="Times New Roman" w:cs="Times New Roman"/>
        </w:rPr>
      </w:pPr>
    </w:p>
    <w:p w:rsidR="00AA2503" w:rsidRPr="006A4542" w:rsidRDefault="00AA2503" w:rsidP="008F1C72">
      <w:pPr>
        <w:autoSpaceDE w:val="0"/>
        <w:autoSpaceDN w:val="0"/>
        <w:adjustRightInd w:val="0"/>
        <w:spacing w:after="0" w:line="240" w:lineRule="auto"/>
        <w:ind w:left="2268"/>
        <w:jc w:val="both"/>
        <w:rPr>
          <w:rFonts w:ascii="Times New Roman" w:hAnsi="Times New Roman" w:cs="Times New Roman"/>
        </w:rPr>
      </w:pPr>
    </w:p>
    <w:p w:rsidR="00AA2503" w:rsidRPr="006A4542" w:rsidRDefault="00AA2503" w:rsidP="008F1C72">
      <w:pPr>
        <w:autoSpaceDE w:val="0"/>
        <w:autoSpaceDN w:val="0"/>
        <w:adjustRightInd w:val="0"/>
        <w:spacing w:after="0" w:line="240" w:lineRule="auto"/>
        <w:ind w:left="2268"/>
        <w:jc w:val="both"/>
        <w:rPr>
          <w:rFonts w:ascii="Times New Roman" w:hAnsi="Times New Roman" w:cs="Times New Roman"/>
        </w:rPr>
      </w:pPr>
    </w:p>
    <w:p w:rsidR="00AA2503" w:rsidRPr="006A4542" w:rsidRDefault="00AA2503" w:rsidP="008F1C72">
      <w:pPr>
        <w:autoSpaceDE w:val="0"/>
        <w:autoSpaceDN w:val="0"/>
        <w:adjustRightInd w:val="0"/>
        <w:spacing w:after="0" w:line="240" w:lineRule="auto"/>
        <w:ind w:left="2268"/>
        <w:jc w:val="both"/>
        <w:rPr>
          <w:rFonts w:ascii="Times New Roman" w:hAnsi="Times New Roman" w:cs="Times New Roman"/>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B10D19" w:rsidRDefault="00B10D19" w:rsidP="008F1C72">
      <w:pPr>
        <w:widowControl w:val="0"/>
        <w:tabs>
          <w:tab w:val="left" w:pos="214"/>
        </w:tabs>
        <w:spacing w:after="0" w:line="240" w:lineRule="auto"/>
        <w:jc w:val="center"/>
        <w:rPr>
          <w:rFonts w:ascii="Times New Roman" w:hAnsi="Times New Roman" w:cs="Times New Roman"/>
          <w:sz w:val="24"/>
          <w:szCs w:val="24"/>
        </w:rPr>
      </w:pPr>
    </w:p>
    <w:p w:rsidR="008F1C72" w:rsidRPr="006A4542" w:rsidRDefault="008F1C72" w:rsidP="008F1C72">
      <w:pPr>
        <w:widowControl w:val="0"/>
        <w:tabs>
          <w:tab w:val="left" w:pos="214"/>
        </w:tabs>
        <w:spacing w:after="0" w:line="240" w:lineRule="auto"/>
        <w:jc w:val="center"/>
        <w:rPr>
          <w:rFonts w:ascii="Times New Roman" w:hAnsi="Times New Roman" w:cs="Times New Roman"/>
          <w:sz w:val="24"/>
          <w:szCs w:val="24"/>
        </w:rPr>
      </w:pPr>
      <w:r w:rsidRPr="006A4542">
        <w:rPr>
          <w:rFonts w:ascii="Times New Roman" w:hAnsi="Times New Roman" w:cs="Times New Roman"/>
          <w:sz w:val="24"/>
          <w:szCs w:val="24"/>
        </w:rPr>
        <w:t>Salvador – BA</w:t>
      </w:r>
    </w:p>
    <w:p w:rsidR="008F1C72" w:rsidRPr="006A4542" w:rsidRDefault="001A3D9E" w:rsidP="008F1C72">
      <w:pPr>
        <w:widowControl w:val="0"/>
        <w:tabs>
          <w:tab w:val="left" w:pos="214"/>
        </w:tabs>
        <w:spacing w:after="0" w:line="240" w:lineRule="auto"/>
        <w:jc w:val="center"/>
        <w:rPr>
          <w:rFonts w:ascii="Times New Roman" w:hAnsi="Times New Roman" w:cs="Times New Roman"/>
          <w:sz w:val="24"/>
          <w:szCs w:val="24"/>
        </w:rPr>
      </w:pPr>
      <w:r w:rsidRPr="00D70398">
        <w:rPr>
          <w:rFonts w:ascii="Times New Roman" w:hAnsi="Times New Roman" w:cs="Times New Roman"/>
          <w:sz w:val="24"/>
          <w:szCs w:val="24"/>
        </w:rPr>
        <w:t>Junho</w:t>
      </w:r>
      <w:r w:rsidR="008F1C72" w:rsidRPr="006A4542">
        <w:rPr>
          <w:rFonts w:ascii="Times New Roman" w:hAnsi="Times New Roman" w:cs="Times New Roman"/>
          <w:sz w:val="24"/>
          <w:szCs w:val="24"/>
        </w:rPr>
        <w:t>/201</w:t>
      </w:r>
      <w:r w:rsidR="005E18D8">
        <w:rPr>
          <w:rFonts w:ascii="Times New Roman" w:hAnsi="Times New Roman" w:cs="Times New Roman"/>
          <w:sz w:val="24"/>
          <w:szCs w:val="24"/>
        </w:rPr>
        <w:t>8</w:t>
      </w:r>
    </w:p>
    <w:p w:rsidR="008F1C72" w:rsidRPr="006A4542" w:rsidRDefault="008F1C72" w:rsidP="008F1C72">
      <w:pPr>
        <w:widowControl w:val="0"/>
        <w:tabs>
          <w:tab w:val="left" w:pos="214"/>
        </w:tabs>
        <w:spacing w:after="0" w:line="240" w:lineRule="auto"/>
        <w:jc w:val="center"/>
        <w:rPr>
          <w:rFonts w:ascii="Times New Roman" w:hAnsi="Times New Roman" w:cs="Times New Roman"/>
          <w:sz w:val="24"/>
          <w:szCs w:val="24"/>
        </w:rPr>
        <w:sectPr w:rsidR="008F1C72" w:rsidRPr="006A4542" w:rsidSect="00CC073A">
          <w:headerReference w:type="default" r:id="rId9"/>
          <w:footerReference w:type="default" r:id="rId10"/>
          <w:footerReference w:type="first" r:id="rId11"/>
          <w:pgSz w:w="11906" w:h="16838"/>
          <w:pgMar w:top="2100" w:right="1701" w:bottom="1417" w:left="1701" w:header="708" w:footer="708" w:gutter="0"/>
          <w:pgNumType w:start="3"/>
          <w:cols w:space="708"/>
          <w:docGrid w:linePitch="360"/>
        </w:sectPr>
      </w:pPr>
    </w:p>
    <w:p w:rsidR="008F1C72" w:rsidRPr="006A4542" w:rsidRDefault="008F1C72" w:rsidP="008459B7">
      <w:pPr>
        <w:pStyle w:val="PargrafodaLista"/>
        <w:numPr>
          <w:ilvl w:val="0"/>
          <w:numId w:val="0"/>
        </w:numPr>
        <w:tabs>
          <w:tab w:val="left" w:pos="-1985"/>
          <w:tab w:val="left" w:pos="0"/>
          <w:tab w:val="left" w:pos="1418"/>
        </w:tabs>
        <w:spacing w:before="0" w:after="240"/>
        <w:contextualSpacing w:val="0"/>
        <w:jc w:val="center"/>
        <w:rPr>
          <w:sz w:val="24"/>
          <w:szCs w:val="24"/>
        </w:rPr>
      </w:pPr>
      <w:bookmarkStart w:id="1" w:name="_Toc511288049"/>
      <w:r w:rsidRPr="006A4542">
        <w:rPr>
          <w:sz w:val="24"/>
          <w:szCs w:val="24"/>
        </w:rPr>
        <w:lastRenderedPageBreak/>
        <w:t>RE</w:t>
      </w:r>
      <w:bookmarkStart w:id="2" w:name="_GoBack"/>
      <w:bookmarkEnd w:id="2"/>
      <w:r w:rsidRPr="006A4542">
        <w:rPr>
          <w:sz w:val="24"/>
          <w:szCs w:val="24"/>
        </w:rPr>
        <w:t>SUMO</w:t>
      </w:r>
      <w:bookmarkEnd w:id="1"/>
    </w:p>
    <w:p w:rsidR="008F1C72" w:rsidRPr="00F65175" w:rsidRDefault="008F1C72" w:rsidP="00F65175">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pacing w:val="-2"/>
          <w:sz w:val="24"/>
          <w:szCs w:val="24"/>
        </w:rPr>
      </w:pPr>
      <w:bookmarkStart w:id="3" w:name="_Toc511288050"/>
      <w:r w:rsidRPr="00F65175">
        <w:rPr>
          <w:b w:val="0"/>
          <w:color w:val="000000" w:themeColor="text1"/>
          <w:spacing w:val="-2"/>
          <w:sz w:val="24"/>
          <w:szCs w:val="24"/>
        </w:rPr>
        <w:t>A Secretaria</w:t>
      </w:r>
      <w:r w:rsidR="00872302">
        <w:rPr>
          <w:b w:val="0"/>
          <w:color w:val="000000" w:themeColor="text1"/>
          <w:spacing w:val="-2"/>
          <w:sz w:val="24"/>
          <w:szCs w:val="24"/>
        </w:rPr>
        <w:t xml:space="preserve"> de</w:t>
      </w:r>
      <w:r w:rsidRPr="00F65175">
        <w:rPr>
          <w:b w:val="0"/>
          <w:color w:val="000000" w:themeColor="text1"/>
          <w:spacing w:val="-2"/>
          <w:sz w:val="24"/>
          <w:szCs w:val="24"/>
        </w:rPr>
        <w:t xml:space="preserve"> Auditoria</w:t>
      </w:r>
      <w:r w:rsidR="00872302">
        <w:rPr>
          <w:b w:val="0"/>
          <w:color w:val="000000" w:themeColor="text1"/>
          <w:spacing w:val="-2"/>
          <w:sz w:val="24"/>
          <w:szCs w:val="24"/>
        </w:rPr>
        <w:t xml:space="preserve"> Interna</w:t>
      </w:r>
      <w:r w:rsidRPr="00F65175">
        <w:rPr>
          <w:b w:val="0"/>
          <w:color w:val="000000" w:themeColor="text1"/>
          <w:spacing w:val="-2"/>
          <w:sz w:val="24"/>
          <w:szCs w:val="24"/>
        </w:rPr>
        <w:t xml:space="preserve"> (S</w:t>
      </w:r>
      <w:r w:rsidR="00872302">
        <w:rPr>
          <w:b w:val="0"/>
          <w:color w:val="000000" w:themeColor="text1"/>
          <w:spacing w:val="-2"/>
          <w:sz w:val="24"/>
          <w:szCs w:val="24"/>
        </w:rPr>
        <w:t>AU</w:t>
      </w:r>
      <w:r w:rsidRPr="00F65175">
        <w:rPr>
          <w:b w:val="0"/>
          <w:color w:val="000000" w:themeColor="text1"/>
          <w:spacing w:val="-2"/>
          <w:sz w:val="24"/>
          <w:szCs w:val="24"/>
        </w:rPr>
        <w:t>), por intermédio da Coordenadoria de Auditoria</w:t>
      </w:r>
      <w:r w:rsidR="00872302">
        <w:rPr>
          <w:b w:val="0"/>
          <w:color w:val="000000" w:themeColor="text1"/>
          <w:spacing w:val="-2"/>
          <w:sz w:val="24"/>
          <w:szCs w:val="24"/>
        </w:rPr>
        <w:t xml:space="preserve"> </w:t>
      </w:r>
      <w:r w:rsidRPr="00F65175">
        <w:rPr>
          <w:b w:val="0"/>
          <w:color w:val="000000" w:themeColor="text1"/>
          <w:spacing w:val="-2"/>
          <w:sz w:val="24"/>
          <w:szCs w:val="24"/>
        </w:rPr>
        <w:t>(CO</w:t>
      </w:r>
      <w:r w:rsidR="00872302">
        <w:rPr>
          <w:b w:val="0"/>
          <w:color w:val="000000" w:themeColor="text1"/>
          <w:spacing w:val="-2"/>
          <w:sz w:val="24"/>
          <w:szCs w:val="24"/>
        </w:rPr>
        <w:t>AUD</w:t>
      </w:r>
      <w:r w:rsidRPr="00F65175">
        <w:rPr>
          <w:b w:val="0"/>
          <w:color w:val="000000" w:themeColor="text1"/>
          <w:spacing w:val="-2"/>
          <w:sz w:val="24"/>
          <w:szCs w:val="24"/>
        </w:rPr>
        <w:t xml:space="preserve">) e da </w:t>
      </w:r>
      <w:r w:rsidRPr="00D70398">
        <w:rPr>
          <w:b w:val="0"/>
          <w:spacing w:val="-2"/>
          <w:sz w:val="24"/>
          <w:szCs w:val="24"/>
        </w:rPr>
        <w:t>Seção de Auditoria</w:t>
      </w:r>
      <w:r w:rsidR="00872302" w:rsidRPr="00D70398">
        <w:rPr>
          <w:b w:val="0"/>
          <w:spacing w:val="-2"/>
          <w:sz w:val="24"/>
          <w:szCs w:val="24"/>
        </w:rPr>
        <w:t xml:space="preserve"> de Governança e Gestão Organizacional</w:t>
      </w:r>
      <w:r w:rsidRPr="00D70398">
        <w:rPr>
          <w:b w:val="0"/>
          <w:spacing w:val="-2"/>
          <w:sz w:val="24"/>
          <w:szCs w:val="24"/>
        </w:rPr>
        <w:t xml:space="preserve"> (SEA</w:t>
      </w:r>
      <w:r w:rsidR="00872302" w:rsidRPr="00D70398">
        <w:rPr>
          <w:b w:val="0"/>
          <w:spacing w:val="-2"/>
          <w:sz w:val="24"/>
          <w:szCs w:val="24"/>
        </w:rPr>
        <w:t>GO</w:t>
      </w:r>
      <w:r w:rsidR="00CA3445" w:rsidRPr="00D70398">
        <w:rPr>
          <w:b w:val="0"/>
          <w:spacing w:val="-2"/>
          <w:sz w:val="24"/>
          <w:szCs w:val="24"/>
        </w:rPr>
        <w:t>)</w:t>
      </w:r>
      <w:r w:rsidRPr="00D70398">
        <w:rPr>
          <w:b w:val="0"/>
          <w:spacing w:val="-2"/>
          <w:sz w:val="24"/>
          <w:szCs w:val="24"/>
        </w:rPr>
        <w:t xml:space="preserve">, realizou, no período compreendido </w:t>
      </w:r>
      <w:r w:rsidR="003D27D1" w:rsidRPr="00D70398">
        <w:rPr>
          <w:b w:val="0"/>
          <w:spacing w:val="-2"/>
          <w:sz w:val="24"/>
          <w:szCs w:val="24"/>
        </w:rPr>
        <w:t xml:space="preserve">entre </w:t>
      </w:r>
      <w:r w:rsidR="00A35591" w:rsidRPr="00D70398">
        <w:rPr>
          <w:b w:val="0"/>
          <w:spacing w:val="-2"/>
          <w:sz w:val="24"/>
          <w:szCs w:val="24"/>
        </w:rPr>
        <w:t>1</w:t>
      </w:r>
      <w:r w:rsidR="00CA3445" w:rsidRPr="00D70398">
        <w:rPr>
          <w:b w:val="0"/>
          <w:spacing w:val="-2"/>
          <w:sz w:val="24"/>
          <w:szCs w:val="24"/>
        </w:rPr>
        <w:t>°</w:t>
      </w:r>
      <w:r w:rsidRPr="00D70398">
        <w:rPr>
          <w:b w:val="0"/>
          <w:spacing w:val="-2"/>
          <w:sz w:val="24"/>
          <w:szCs w:val="24"/>
        </w:rPr>
        <w:t>/</w:t>
      </w:r>
      <w:r w:rsidR="00A35591" w:rsidRPr="00D70398">
        <w:rPr>
          <w:b w:val="0"/>
          <w:spacing w:val="-2"/>
          <w:sz w:val="24"/>
          <w:szCs w:val="24"/>
        </w:rPr>
        <w:t>9</w:t>
      </w:r>
      <w:r w:rsidR="0062069E" w:rsidRPr="00D70398">
        <w:rPr>
          <w:b w:val="0"/>
          <w:spacing w:val="-2"/>
          <w:sz w:val="24"/>
          <w:szCs w:val="24"/>
        </w:rPr>
        <w:t>/2017</w:t>
      </w:r>
      <w:r w:rsidR="00AA2503" w:rsidRPr="00D70398">
        <w:rPr>
          <w:b w:val="0"/>
          <w:spacing w:val="-2"/>
          <w:sz w:val="24"/>
          <w:szCs w:val="24"/>
        </w:rPr>
        <w:t xml:space="preserve"> e</w:t>
      </w:r>
      <w:r w:rsidRPr="00D70398">
        <w:rPr>
          <w:b w:val="0"/>
          <w:spacing w:val="-2"/>
          <w:sz w:val="24"/>
          <w:szCs w:val="24"/>
        </w:rPr>
        <w:t xml:space="preserve"> </w:t>
      </w:r>
      <w:r w:rsidR="001F3A79" w:rsidRPr="00D70398">
        <w:rPr>
          <w:b w:val="0"/>
          <w:spacing w:val="-2"/>
          <w:sz w:val="24"/>
          <w:szCs w:val="24"/>
        </w:rPr>
        <w:t>2</w:t>
      </w:r>
      <w:r w:rsidR="00F65175" w:rsidRPr="00D70398">
        <w:rPr>
          <w:b w:val="0"/>
          <w:spacing w:val="-2"/>
          <w:sz w:val="24"/>
          <w:szCs w:val="24"/>
        </w:rPr>
        <w:t>6</w:t>
      </w:r>
      <w:r w:rsidR="00C50119" w:rsidRPr="00D70398">
        <w:rPr>
          <w:b w:val="0"/>
          <w:spacing w:val="-2"/>
          <w:sz w:val="24"/>
          <w:szCs w:val="24"/>
        </w:rPr>
        <w:t>/</w:t>
      </w:r>
      <w:r w:rsidR="0062069E" w:rsidRPr="00D70398">
        <w:rPr>
          <w:b w:val="0"/>
          <w:spacing w:val="-2"/>
          <w:sz w:val="24"/>
          <w:szCs w:val="24"/>
        </w:rPr>
        <w:t>3</w:t>
      </w:r>
      <w:r w:rsidRPr="00D70398">
        <w:rPr>
          <w:b w:val="0"/>
          <w:spacing w:val="-2"/>
          <w:sz w:val="24"/>
          <w:szCs w:val="24"/>
        </w:rPr>
        <w:t>/201</w:t>
      </w:r>
      <w:r w:rsidR="0062069E" w:rsidRPr="00D70398">
        <w:rPr>
          <w:b w:val="0"/>
          <w:spacing w:val="-2"/>
          <w:sz w:val="24"/>
          <w:szCs w:val="24"/>
        </w:rPr>
        <w:t>8</w:t>
      </w:r>
      <w:r w:rsidRPr="00D70398">
        <w:rPr>
          <w:b w:val="0"/>
          <w:spacing w:val="-2"/>
          <w:sz w:val="24"/>
          <w:szCs w:val="24"/>
        </w:rPr>
        <w:t>,</w:t>
      </w:r>
      <w:r w:rsidR="00A35591" w:rsidRPr="00D70398">
        <w:rPr>
          <w:b w:val="0"/>
          <w:spacing w:val="-2"/>
          <w:sz w:val="24"/>
          <w:szCs w:val="24"/>
        </w:rPr>
        <w:t xml:space="preserve"> a A</w:t>
      </w:r>
      <w:r w:rsidRPr="00D70398">
        <w:rPr>
          <w:b w:val="0"/>
          <w:spacing w:val="-2"/>
          <w:sz w:val="24"/>
          <w:szCs w:val="24"/>
        </w:rPr>
        <w:t>uditoria</w:t>
      </w:r>
      <w:r w:rsidR="00A35591" w:rsidRPr="00D70398">
        <w:rPr>
          <w:b w:val="0"/>
          <w:spacing w:val="-2"/>
          <w:sz w:val="24"/>
          <w:szCs w:val="24"/>
        </w:rPr>
        <w:t xml:space="preserve"> de Resultados – Exercício 2017, ação fiscalizatória prevista no Plano Anual de Atividades da CO</w:t>
      </w:r>
      <w:r w:rsidR="00872302" w:rsidRPr="00D70398">
        <w:rPr>
          <w:b w:val="0"/>
          <w:spacing w:val="-2"/>
          <w:sz w:val="24"/>
          <w:szCs w:val="24"/>
        </w:rPr>
        <w:t>AUD</w:t>
      </w:r>
      <w:r w:rsidR="00A35591" w:rsidRPr="00D70398">
        <w:rPr>
          <w:b w:val="0"/>
          <w:spacing w:val="-2"/>
          <w:sz w:val="24"/>
          <w:szCs w:val="24"/>
        </w:rPr>
        <w:t xml:space="preserve"> </w:t>
      </w:r>
      <w:r w:rsidR="00A35591" w:rsidRPr="00F65175">
        <w:rPr>
          <w:b w:val="0"/>
          <w:color w:val="000000" w:themeColor="text1"/>
          <w:spacing w:val="-2"/>
          <w:sz w:val="24"/>
          <w:szCs w:val="24"/>
        </w:rPr>
        <w:t xml:space="preserve">referente a 2017 (PAA2017), aprovado por meio da Portaria da Presidência desta Casa nº 707, de </w:t>
      </w:r>
      <w:proofErr w:type="gramStart"/>
      <w:r w:rsidR="00A35591" w:rsidRPr="00F65175">
        <w:rPr>
          <w:b w:val="0"/>
          <w:color w:val="000000" w:themeColor="text1"/>
          <w:spacing w:val="-2"/>
          <w:sz w:val="24"/>
          <w:szCs w:val="24"/>
        </w:rPr>
        <w:t>9</w:t>
      </w:r>
      <w:proofErr w:type="gramEnd"/>
      <w:r w:rsidR="00A35591" w:rsidRPr="00F65175">
        <w:rPr>
          <w:b w:val="0"/>
          <w:color w:val="000000" w:themeColor="text1"/>
          <w:spacing w:val="-2"/>
          <w:sz w:val="24"/>
          <w:szCs w:val="24"/>
        </w:rPr>
        <w:t xml:space="preserve"> de dezembro de 2016, alterad</w:t>
      </w:r>
      <w:r w:rsidR="00CA3445" w:rsidRPr="00F65175">
        <w:rPr>
          <w:b w:val="0"/>
          <w:color w:val="000000" w:themeColor="text1"/>
          <w:spacing w:val="-2"/>
          <w:sz w:val="24"/>
          <w:szCs w:val="24"/>
        </w:rPr>
        <w:t>o</w:t>
      </w:r>
      <w:r w:rsidR="00A35591" w:rsidRPr="00F65175">
        <w:rPr>
          <w:b w:val="0"/>
          <w:color w:val="000000" w:themeColor="text1"/>
          <w:spacing w:val="-2"/>
          <w:sz w:val="24"/>
          <w:szCs w:val="24"/>
        </w:rPr>
        <w:t xml:space="preserve"> pela Portaria nº 404, de 25 de julho de 2017, com o objetivo de avaliar a execução da estratégia do Tribunal Regional Eleitoral da Bahia (TRE-BA)</w:t>
      </w:r>
      <w:r w:rsidR="000713C7">
        <w:rPr>
          <w:b w:val="0"/>
          <w:color w:val="000000" w:themeColor="text1"/>
          <w:spacing w:val="-2"/>
          <w:sz w:val="24"/>
          <w:szCs w:val="24"/>
        </w:rPr>
        <w:t>,</w:t>
      </w:r>
      <w:r w:rsidR="00A35591" w:rsidRPr="00F65175">
        <w:rPr>
          <w:b w:val="0"/>
          <w:color w:val="000000" w:themeColor="text1"/>
          <w:spacing w:val="-2"/>
          <w:sz w:val="24"/>
          <w:szCs w:val="24"/>
        </w:rPr>
        <w:t xml:space="preserve"> com foco no acompanhamento do cumprimento das metas e objetivos organizacionais.</w:t>
      </w:r>
      <w:bookmarkEnd w:id="3"/>
      <w:r w:rsidR="00A35591" w:rsidRPr="00F65175">
        <w:rPr>
          <w:b w:val="0"/>
          <w:color w:val="000000" w:themeColor="text1"/>
          <w:spacing w:val="-2"/>
          <w:sz w:val="24"/>
          <w:szCs w:val="24"/>
        </w:rPr>
        <w:t xml:space="preserve">  </w:t>
      </w:r>
    </w:p>
    <w:p w:rsidR="008F1C72" w:rsidRPr="00CA3445" w:rsidRDefault="00CA3445" w:rsidP="008459B7">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pacing w:val="-2"/>
          <w:sz w:val="24"/>
          <w:szCs w:val="24"/>
        </w:rPr>
      </w:pPr>
      <w:bookmarkStart w:id="4" w:name="_Toc511288051"/>
      <w:r w:rsidRPr="00CA3445">
        <w:rPr>
          <w:b w:val="0"/>
          <w:color w:val="000000" w:themeColor="text1"/>
          <w:spacing w:val="-2"/>
          <w:sz w:val="24"/>
          <w:szCs w:val="24"/>
        </w:rPr>
        <w:t xml:space="preserve">Constituíram objetivos específicos </w:t>
      </w:r>
      <w:proofErr w:type="gramStart"/>
      <w:r w:rsidRPr="00CA3445">
        <w:rPr>
          <w:b w:val="0"/>
          <w:color w:val="000000" w:themeColor="text1"/>
          <w:spacing w:val="-2"/>
          <w:sz w:val="24"/>
          <w:szCs w:val="24"/>
        </w:rPr>
        <w:t xml:space="preserve">da sobredita </w:t>
      </w:r>
      <w:r w:rsidR="0044615C" w:rsidRPr="00CA3445">
        <w:rPr>
          <w:b w:val="0"/>
          <w:color w:val="000000" w:themeColor="text1"/>
          <w:spacing w:val="-2"/>
          <w:sz w:val="24"/>
          <w:szCs w:val="24"/>
        </w:rPr>
        <w:t xml:space="preserve">Auditoria </w:t>
      </w:r>
      <w:r w:rsidR="0029541A" w:rsidRPr="00CA3445">
        <w:rPr>
          <w:b w:val="0"/>
          <w:color w:val="000000" w:themeColor="text1"/>
          <w:spacing w:val="-2"/>
          <w:sz w:val="24"/>
          <w:szCs w:val="24"/>
        </w:rPr>
        <w:t>avaliar</w:t>
      </w:r>
      <w:proofErr w:type="gramEnd"/>
      <w:r w:rsidR="0029541A" w:rsidRPr="00CA3445">
        <w:rPr>
          <w:b w:val="0"/>
          <w:color w:val="000000" w:themeColor="text1"/>
          <w:spacing w:val="-2"/>
          <w:sz w:val="24"/>
          <w:szCs w:val="24"/>
        </w:rPr>
        <w:t>:</w:t>
      </w:r>
      <w:r w:rsidR="00D72F1B" w:rsidRPr="00CA3445">
        <w:rPr>
          <w:b w:val="0"/>
          <w:color w:val="000000" w:themeColor="text1"/>
          <w:spacing w:val="-2"/>
          <w:sz w:val="24"/>
          <w:szCs w:val="24"/>
        </w:rPr>
        <w:t xml:space="preserve"> aspectos de governança e gestão, consoante práticas de </w:t>
      </w:r>
      <w:r w:rsidR="002C68C5">
        <w:rPr>
          <w:b w:val="0"/>
          <w:color w:val="000000" w:themeColor="text1"/>
          <w:spacing w:val="-2"/>
          <w:sz w:val="24"/>
          <w:szCs w:val="24"/>
        </w:rPr>
        <w:t>l</w:t>
      </w:r>
      <w:r w:rsidR="00D72F1B" w:rsidRPr="00CA3445">
        <w:rPr>
          <w:b w:val="0"/>
          <w:color w:val="000000" w:themeColor="text1"/>
          <w:spacing w:val="-2"/>
          <w:sz w:val="24"/>
          <w:szCs w:val="24"/>
        </w:rPr>
        <w:t xml:space="preserve">iderança, </w:t>
      </w:r>
      <w:r w:rsidR="002C68C5">
        <w:rPr>
          <w:b w:val="0"/>
          <w:color w:val="000000" w:themeColor="text1"/>
          <w:spacing w:val="-2"/>
          <w:sz w:val="24"/>
          <w:szCs w:val="24"/>
        </w:rPr>
        <w:t>e</w:t>
      </w:r>
      <w:r w:rsidR="00D72F1B" w:rsidRPr="00CA3445">
        <w:rPr>
          <w:b w:val="0"/>
          <w:color w:val="000000" w:themeColor="text1"/>
          <w:spacing w:val="-2"/>
          <w:sz w:val="24"/>
          <w:szCs w:val="24"/>
        </w:rPr>
        <w:t xml:space="preserve">stratégia e </w:t>
      </w:r>
      <w:r w:rsidR="002C68C5">
        <w:rPr>
          <w:b w:val="0"/>
          <w:color w:val="000000" w:themeColor="text1"/>
          <w:spacing w:val="-2"/>
          <w:sz w:val="24"/>
          <w:szCs w:val="24"/>
        </w:rPr>
        <w:t>c</w:t>
      </w:r>
      <w:r w:rsidR="00D72F1B" w:rsidRPr="00CA3445">
        <w:rPr>
          <w:b w:val="0"/>
          <w:color w:val="000000" w:themeColor="text1"/>
          <w:spacing w:val="-2"/>
          <w:sz w:val="24"/>
          <w:szCs w:val="24"/>
        </w:rPr>
        <w:t>ontrole; observância aos princípios da eficiência, transparência e</w:t>
      </w:r>
      <w:r w:rsidR="00D72F1B" w:rsidRPr="00CA3445">
        <w:rPr>
          <w:b w:val="0"/>
          <w:i/>
          <w:color w:val="000000" w:themeColor="text1"/>
          <w:spacing w:val="-2"/>
          <w:sz w:val="24"/>
          <w:szCs w:val="24"/>
        </w:rPr>
        <w:t xml:space="preserve"> </w:t>
      </w:r>
      <w:proofErr w:type="spellStart"/>
      <w:r w:rsidR="00D72F1B" w:rsidRPr="00CA3445">
        <w:rPr>
          <w:b w:val="0"/>
          <w:i/>
          <w:color w:val="000000" w:themeColor="text1"/>
          <w:spacing w:val="-2"/>
          <w:sz w:val="24"/>
          <w:szCs w:val="24"/>
        </w:rPr>
        <w:t>accountability</w:t>
      </w:r>
      <w:proofErr w:type="spellEnd"/>
      <w:r w:rsidR="00D72F1B" w:rsidRPr="00CA3445">
        <w:rPr>
          <w:b w:val="0"/>
          <w:color w:val="000000" w:themeColor="text1"/>
          <w:spacing w:val="-2"/>
          <w:sz w:val="24"/>
          <w:szCs w:val="24"/>
        </w:rPr>
        <w:t>; efetividade da comunicação da estratégia; alinhamento organizacional de pessoas, recursos e processos de trabalho à estratégia definida pela instituição; definição e gestão de metas a serem alcançadas pela organização; qualidade dos indicadores instituídos;</w:t>
      </w:r>
      <w:r w:rsidR="0029541A" w:rsidRPr="00CA3445">
        <w:rPr>
          <w:b w:val="0"/>
          <w:color w:val="000000" w:themeColor="text1"/>
          <w:spacing w:val="-2"/>
          <w:sz w:val="24"/>
          <w:szCs w:val="24"/>
        </w:rPr>
        <w:t xml:space="preserve"> </w:t>
      </w:r>
      <w:r w:rsidR="00D72F1B" w:rsidRPr="00CA3445">
        <w:rPr>
          <w:b w:val="0"/>
          <w:color w:val="000000" w:themeColor="text1"/>
          <w:spacing w:val="-2"/>
          <w:sz w:val="24"/>
          <w:szCs w:val="24"/>
        </w:rPr>
        <w:t xml:space="preserve">iniciativas </w:t>
      </w:r>
      <w:r w:rsidRPr="00CA3445">
        <w:rPr>
          <w:b w:val="0"/>
          <w:color w:val="000000" w:themeColor="text1"/>
          <w:spacing w:val="-2"/>
          <w:sz w:val="24"/>
          <w:szCs w:val="24"/>
        </w:rPr>
        <w:t>elencadas</w:t>
      </w:r>
      <w:r w:rsidR="00D72F1B" w:rsidRPr="00CA3445">
        <w:rPr>
          <w:b w:val="0"/>
          <w:color w:val="000000" w:themeColor="text1"/>
          <w:spacing w:val="-2"/>
          <w:sz w:val="24"/>
          <w:szCs w:val="24"/>
        </w:rPr>
        <w:t xml:space="preserve"> para </w:t>
      </w:r>
      <w:r w:rsidRPr="00CA3445">
        <w:rPr>
          <w:b w:val="0"/>
          <w:color w:val="000000" w:themeColor="text1"/>
          <w:spacing w:val="-2"/>
          <w:sz w:val="24"/>
          <w:szCs w:val="24"/>
        </w:rPr>
        <w:t>viabilizar</w:t>
      </w:r>
      <w:r w:rsidR="00D72F1B" w:rsidRPr="00CA3445">
        <w:rPr>
          <w:b w:val="0"/>
          <w:color w:val="000000" w:themeColor="text1"/>
          <w:spacing w:val="-2"/>
          <w:sz w:val="24"/>
          <w:szCs w:val="24"/>
        </w:rPr>
        <w:t xml:space="preserve"> a execução da estratégia; monitoramento da execução da estratégia e seu suporte à tomada de decisão; aplicação das normas e procedimentos relacionados à execução da estratégia; a identificação, avaliação e dimensionamento de riscos associados</w:t>
      </w:r>
      <w:r w:rsidRPr="00CA3445">
        <w:rPr>
          <w:b w:val="0"/>
          <w:color w:val="000000" w:themeColor="text1"/>
          <w:spacing w:val="-2"/>
          <w:sz w:val="24"/>
          <w:szCs w:val="24"/>
        </w:rPr>
        <w:t>;</w:t>
      </w:r>
      <w:r w:rsidR="00D72F1B" w:rsidRPr="00CA3445">
        <w:rPr>
          <w:b w:val="0"/>
          <w:color w:val="000000" w:themeColor="text1"/>
          <w:spacing w:val="-2"/>
          <w:sz w:val="24"/>
          <w:szCs w:val="24"/>
        </w:rPr>
        <w:t xml:space="preserve"> e adequação, suficiência e efetividades dos controles internos instituídos</w:t>
      </w:r>
      <w:r w:rsidR="008F1C72" w:rsidRPr="00CA3445">
        <w:rPr>
          <w:b w:val="0"/>
          <w:color w:val="000000" w:themeColor="text1"/>
          <w:spacing w:val="-2"/>
          <w:sz w:val="24"/>
          <w:szCs w:val="24"/>
        </w:rPr>
        <w:t>.</w:t>
      </w:r>
      <w:bookmarkEnd w:id="4"/>
    </w:p>
    <w:p w:rsidR="008F1C72" w:rsidRPr="00F54A97" w:rsidRDefault="001230CF" w:rsidP="008459B7">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z w:val="24"/>
          <w:szCs w:val="24"/>
        </w:rPr>
      </w:pPr>
      <w:bookmarkStart w:id="5" w:name="_Toc511288052"/>
      <w:r w:rsidRPr="00F54A97">
        <w:rPr>
          <w:b w:val="0"/>
          <w:color w:val="000000" w:themeColor="text1"/>
          <w:sz w:val="24"/>
          <w:szCs w:val="24"/>
        </w:rPr>
        <w:t xml:space="preserve">Para delimitação do escopo e definição da natureza e extensão dos procedimentos aplicados, utilizou-se abordagem baseada em risco (ABR), de modo a revisar eventos potencialmente </w:t>
      </w:r>
      <w:proofErr w:type="spellStart"/>
      <w:r w:rsidRPr="00F54A97">
        <w:rPr>
          <w:b w:val="0"/>
          <w:color w:val="000000" w:themeColor="text1"/>
          <w:sz w:val="24"/>
          <w:szCs w:val="24"/>
        </w:rPr>
        <w:t>dificultadores</w:t>
      </w:r>
      <w:proofErr w:type="spellEnd"/>
      <w:r w:rsidRPr="00F54A97">
        <w:rPr>
          <w:b w:val="0"/>
          <w:color w:val="000000" w:themeColor="text1"/>
          <w:sz w:val="24"/>
          <w:szCs w:val="24"/>
        </w:rPr>
        <w:t xml:space="preserve"> e/ou impeditivos do alcance da execução da estratégia do Tribunal</w:t>
      </w:r>
      <w:r w:rsidR="00CA3445">
        <w:rPr>
          <w:b w:val="0"/>
          <w:color w:val="000000" w:themeColor="text1"/>
          <w:sz w:val="24"/>
          <w:szCs w:val="24"/>
        </w:rPr>
        <w:t xml:space="preserve"> e conduzir o enfoque dos trabalhos, durante a fase de execução, para aspectos de maior fragilidade e relevância</w:t>
      </w:r>
      <w:r w:rsidR="008F1C72" w:rsidRPr="00F54A97">
        <w:rPr>
          <w:b w:val="0"/>
          <w:color w:val="000000" w:themeColor="text1"/>
          <w:sz w:val="24"/>
          <w:szCs w:val="24"/>
        </w:rPr>
        <w:t>.</w:t>
      </w:r>
      <w:bookmarkEnd w:id="5"/>
    </w:p>
    <w:p w:rsidR="0044615C" w:rsidRPr="00F54A97" w:rsidRDefault="006A4D08" w:rsidP="0044615C">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z w:val="24"/>
          <w:szCs w:val="24"/>
        </w:rPr>
      </w:pPr>
      <w:bookmarkStart w:id="6" w:name="_Toc511288053"/>
      <w:r w:rsidRPr="00F54A97">
        <w:rPr>
          <w:b w:val="0"/>
          <w:color w:val="000000" w:themeColor="text1"/>
          <w:sz w:val="24"/>
          <w:szCs w:val="24"/>
        </w:rPr>
        <w:t xml:space="preserve">Para condução e fundamentação dos trabalhos, utilizou-se o referencial teórico/metodológico correspondente ao modelo COSO I – “Controle Interno – Estrutura Integrada” – em combinação com o COSO II – “Gerenciamento de Riscos Corporativos – Estrutura Integrada”, que dispõem sobre critérios práticos para o estabelecimento de controles internos administrativos e sua avaliação, observados aspectos relacionados aos componentes constituintes do “cubo” </w:t>
      </w:r>
      <w:proofErr w:type="gramStart"/>
      <w:r w:rsidRPr="00F54A97">
        <w:rPr>
          <w:b w:val="0"/>
          <w:color w:val="000000" w:themeColor="text1"/>
          <w:sz w:val="24"/>
          <w:szCs w:val="24"/>
        </w:rPr>
        <w:t>COSO</w:t>
      </w:r>
      <w:proofErr w:type="gramEnd"/>
      <w:r w:rsidRPr="00F54A97">
        <w:rPr>
          <w:b w:val="0"/>
          <w:color w:val="000000" w:themeColor="text1"/>
          <w:sz w:val="24"/>
          <w:szCs w:val="24"/>
        </w:rPr>
        <w:t xml:space="preserve"> – ambiente interno; avaliação de riscos; atividades de controle; informação e comunicação; e monitoramento –, além do quanto disposto na norma ABNT NBR </w:t>
      </w:r>
      <w:r w:rsidR="00CA3445">
        <w:rPr>
          <w:b w:val="0"/>
          <w:color w:val="000000" w:themeColor="text1"/>
          <w:sz w:val="24"/>
          <w:szCs w:val="24"/>
        </w:rPr>
        <w:t xml:space="preserve">ISO </w:t>
      </w:r>
      <w:r w:rsidRPr="00F54A97">
        <w:rPr>
          <w:b w:val="0"/>
          <w:color w:val="000000" w:themeColor="text1"/>
          <w:sz w:val="24"/>
          <w:szCs w:val="24"/>
        </w:rPr>
        <w:t>31000:2009, que institui princípios e diretrizes para o gerenciamento de riscos corporativos.</w:t>
      </w:r>
      <w:bookmarkEnd w:id="6"/>
      <w:r w:rsidRPr="00F54A97">
        <w:rPr>
          <w:b w:val="0"/>
          <w:color w:val="000000" w:themeColor="text1"/>
          <w:sz w:val="24"/>
          <w:szCs w:val="24"/>
        </w:rPr>
        <w:t xml:space="preserve"> </w:t>
      </w:r>
    </w:p>
    <w:p w:rsidR="008F1C72" w:rsidRPr="005D5927" w:rsidRDefault="008F1C72" w:rsidP="00E0068D">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z w:val="24"/>
          <w:szCs w:val="24"/>
        </w:rPr>
      </w:pPr>
      <w:bookmarkStart w:id="7" w:name="_Toc511288054"/>
      <w:r w:rsidRPr="00F54A97">
        <w:rPr>
          <w:b w:val="0"/>
          <w:color w:val="000000" w:themeColor="text1"/>
          <w:sz w:val="24"/>
          <w:szCs w:val="24"/>
        </w:rPr>
        <w:t xml:space="preserve">Constituíram </w:t>
      </w:r>
      <w:r w:rsidR="00D66AC2" w:rsidRPr="00F54A97">
        <w:rPr>
          <w:b w:val="0"/>
          <w:color w:val="000000" w:themeColor="text1"/>
          <w:sz w:val="24"/>
          <w:szCs w:val="24"/>
        </w:rPr>
        <w:t xml:space="preserve">principais </w:t>
      </w:r>
      <w:r w:rsidRPr="00F54A97">
        <w:rPr>
          <w:b w:val="0"/>
          <w:color w:val="000000" w:themeColor="text1"/>
          <w:sz w:val="24"/>
          <w:szCs w:val="24"/>
        </w:rPr>
        <w:t>critérios referenciais para delimitação de achados de auditoria</w:t>
      </w:r>
      <w:r w:rsidR="00E0068D">
        <w:rPr>
          <w:b w:val="0"/>
          <w:color w:val="000000" w:themeColor="text1"/>
          <w:sz w:val="24"/>
          <w:szCs w:val="24"/>
        </w:rPr>
        <w:t>:</w:t>
      </w:r>
      <w:r w:rsidRPr="00F54A97">
        <w:rPr>
          <w:b w:val="0"/>
          <w:color w:val="000000" w:themeColor="text1"/>
          <w:sz w:val="24"/>
          <w:szCs w:val="24"/>
        </w:rPr>
        <w:t xml:space="preserve"> a Resolução </w:t>
      </w:r>
      <w:r w:rsidR="00E0068D">
        <w:rPr>
          <w:b w:val="0"/>
          <w:color w:val="000000" w:themeColor="text1"/>
          <w:sz w:val="24"/>
          <w:szCs w:val="24"/>
        </w:rPr>
        <w:t>do Conselho Nacional de Justiça (CNJ)</w:t>
      </w:r>
      <w:r w:rsidRPr="00F54A97">
        <w:rPr>
          <w:b w:val="0"/>
          <w:color w:val="000000" w:themeColor="text1"/>
          <w:sz w:val="24"/>
          <w:szCs w:val="24"/>
        </w:rPr>
        <w:t xml:space="preserve"> nº </w:t>
      </w:r>
      <w:r w:rsidR="008B7581" w:rsidRPr="00F54A97">
        <w:rPr>
          <w:b w:val="0"/>
          <w:color w:val="000000" w:themeColor="text1"/>
          <w:sz w:val="24"/>
          <w:szCs w:val="24"/>
        </w:rPr>
        <w:t>198</w:t>
      </w:r>
      <w:r w:rsidRPr="00F54A97">
        <w:rPr>
          <w:b w:val="0"/>
          <w:color w:val="000000" w:themeColor="text1"/>
          <w:sz w:val="24"/>
          <w:szCs w:val="24"/>
        </w:rPr>
        <w:t xml:space="preserve">, de </w:t>
      </w:r>
      <w:r w:rsidR="008B7581" w:rsidRPr="00F54A97">
        <w:rPr>
          <w:b w:val="0"/>
          <w:color w:val="000000" w:themeColor="text1"/>
          <w:sz w:val="24"/>
          <w:szCs w:val="24"/>
        </w:rPr>
        <w:t>1º</w:t>
      </w:r>
      <w:r w:rsidRPr="00F54A97">
        <w:rPr>
          <w:b w:val="0"/>
          <w:color w:val="000000" w:themeColor="text1"/>
          <w:sz w:val="24"/>
          <w:szCs w:val="24"/>
        </w:rPr>
        <w:t xml:space="preserve"> de fevereiro de 20</w:t>
      </w:r>
      <w:r w:rsidR="008B7581" w:rsidRPr="00F54A97">
        <w:rPr>
          <w:b w:val="0"/>
          <w:color w:val="000000" w:themeColor="text1"/>
          <w:sz w:val="24"/>
          <w:szCs w:val="24"/>
        </w:rPr>
        <w:t>14</w:t>
      </w:r>
      <w:r w:rsidRPr="00F54A97">
        <w:rPr>
          <w:b w:val="0"/>
          <w:color w:val="000000" w:themeColor="text1"/>
          <w:sz w:val="24"/>
          <w:szCs w:val="24"/>
        </w:rPr>
        <w:t xml:space="preserve">, que </w:t>
      </w:r>
      <w:r w:rsidR="008B7581" w:rsidRPr="00F54A97">
        <w:rPr>
          <w:b w:val="0"/>
          <w:color w:val="000000" w:themeColor="text1"/>
          <w:sz w:val="24"/>
          <w:szCs w:val="24"/>
        </w:rPr>
        <w:t>dispõe</w:t>
      </w:r>
      <w:r w:rsidRPr="00F54A97">
        <w:rPr>
          <w:b w:val="0"/>
          <w:color w:val="000000" w:themeColor="text1"/>
          <w:sz w:val="24"/>
          <w:szCs w:val="24"/>
        </w:rPr>
        <w:t xml:space="preserve"> </w:t>
      </w:r>
      <w:r w:rsidR="008B7581" w:rsidRPr="00F54A97">
        <w:rPr>
          <w:b w:val="0"/>
          <w:color w:val="000000" w:themeColor="text1"/>
          <w:sz w:val="24"/>
          <w:szCs w:val="24"/>
        </w:rPr>
        <w:t>sobre</w:t>
      </w:r>
      <w:r w:rsidRPr="00F54A97">
        <w:rPr>
          <w:b w:val="0"/>
          <w:color w:val="000000" w:themeColor="text1"/>
          <w:sz w:val="24"/>
          <w:szCs w:val="24"/>
        </w:rPr>
        <w:t xml:space="preserve"> </w:t>
      </w:r>
      <w:r w:rsidR="008B7581" w:rsidRPr="00F54A97">
        <w:rPr>
          <w:b w:val="0"/>
          <w:color w:val="000000" w:themeColor="text1"/>
          <w:sz w:val="24"/>
          <w:szCs w:val="24"/>
        </w:rPr>
        <w:t>o Planejamento e a Gestão Estratégica no âmbito do Poder Judiciário</w:t>
      </w:r>
      <w:r w:rsidR="00E0068D">
        <w:rPr>
          <w:b w:val="0"/>
          <w:color w:val="000000" w:themeColor="text1"/>
          <w:sz w:val="24"/>
          <w:szCs w:val="24"/>
        </w:rPr>
        <w:t>;</w:t>
      </w:r>
      <w:r w:rsidRPr="00F54A97">
        <w:rPr>
          <w:b w:val="0"/>
          <w:color w:val="000000" w:themeColor="text1"/>
          <w:sz w:val="24"/>
          <w:szCs w:val="24"/>
        </w:rPr>
        <w:t xml:space="preserve"> </w:t>
      </w:r>
      <w:r w:rsidR="00AA2503" w:rsidRPr="00F54A97">
        <w:rPr>
          <w:b w:val="0"/>
          <w:color w:val="000000" w:themeColor="text1"/>
          <w:sz w:val="24"/>
          <w:szCs w:val="24"/>
        </w:rPr>
        <w:t xml:space="preserve">a </w:t>
      </w:r>
      <w:r w:rsidRPr="00F54A97">
        <w:rPr>
          <w:b w:val="0"/>
          <w:color w:val="000000" w:themeColor="text1"/>
          <w:sz w:val="24"/>
          <w:szCs w:val="24"/>
        </w:rPr>
        <w:t xml:space="preserve">Resolução </w:t>
      </w:r>
      <w:r w:rsidR="008B7581" w:rsidRPr="00F54A97">
        <w:rPr>
          <w:b w:val="0"/>
          <w:color w:val="000000" w:themeColor="text1"/>
          <w:sz w:val="24"/>
          <w:szCs w:val="24"/>
        </w:rPr>
        <w:t>TRE-BA</w:t>
      </w:r>
      <w:r w:rsidR="00557C75" w:rsidRPr="00F54A97">
        <w:rPr>
          <w:b w:val="0"/>
          <w:color w:val="000000" w:themeColor="text1"/>
          <w:sz w:val="24"/>
          <w:szCs w:val="24"/>
        </w:rPr>
        <w:t xml:space="preserve"> nº </w:t>
      </w:r>
      <w:r w:rsidR="008B7581" w:rsidRPr="00F54A97">
        <w:rPr>
          <w:b w:val="0"/>
          <w:color w:val="000000" w:themeColor="text1"/>
          <w:sz w:val="24"/>
          <w:szCs w:val="24"/>
        </w:rPr>
        <w:t>14</w:t>
      </w:r>
      <w:r w:rsidRPr="00F54A97">
        <w:rPr>
          <w:b w:val="0"/>
          <w:color w:val="000000" w:themeColor="text1"/>
          <w:sz w:val="24"/>
          <w:szCs w:val="24"/>
        </w:rPr>
        <w:t>, de 1</w:t>
      </w:r>
      <w:r w:rsidR="008B7581" w:rsidRPr="00F54A97">
        <w:rPr>
          <w:b w:val="0"/>
          <w:color w:val="000000" w:themeColor="text1"/>
          <w:sz w:val="24"/>
          <w:szCs w:val="24"/>
        </w:rPr>
        <w:t>4</w:t>
      </w:r>
      <w:r w:rsidRPr="00F54A97">
        <w:rPr>
          <w:b w:val="0"/>
          <w:color w:val="000000" w:themeColor="text1"/>
          <w:sz w:val="24"/>
          <w:szCs w:val="24"/>
        </w:rPr>
        <w:t xml:space="preserve"> de dezembro de 201</w:t>
      </w:r>
      <w:r w:rsidR="008B7581" w:rsidRPr="00F54A97">
        <w:rPr>
          <w:b w:val="0"/>
          <w:color w:val="000000" w:themeColor="text1"/>
          <w:sz w:val="24"/>
          <w:szCs w:val="24"/>
        </w:rPr>
        <w:t>5</w:t>
      </w:r>
      <w:r w:rsidRPr="00F54A97">
        <w:rPr>
          <w:b w:val="0"/>
          <w:color w:val="000000" w:themeColor="text1"/>
          <w:sz w:val="24"/>
          <w:szCs w:val="24"/>
        </w:rPr>
        <w:t>, que instituiu o</w:t>
      </w:r>
      <w:r w:rsidR="008B7581" w:rsidRPr="00F54A97">
        <w:rPr>
          <w:b w:val="0"/>
          <w:color w:val="000000" w:themeColor="text1"/>
          <w:sz w:val="24"/>
          <w:szCs w:val="24"/>
        </w:rPr>
        <w:t xml:space="preserve"> Planejamento Estratégico do TRE-BA para o período de 2016-2021</w:t>
      </w:r>
      <w:r w:rsidR="00E0068D">
        <w:rPr>
          <w:b w:val="0"/>
          <w:color w:val="000000" w:themeColor="text1"/>
          <w:sz w:val="24"/>
          <w:szCs w:val="24"/>
        </w:rPr>
        <w:t>;</w:t>
      </w:r>
      <w:r w:rsidRPr="00F54A97">
        <w:rPr>
          <w:b w:val="0"/>
          <w:color w:val="000000" w:themeColor="text1"/>
          <w:sz w:val="24"/>
          <w:szCs w:val="24"/>
        </w:rPr>
        <w:t xml:space="preserve"> </w:t>
      </w:r>
      <w:r w:rsidR="008B7581" w:rsidRPr="00F54A97">
        <w:rPr>
          <w:b w:val="0"/>
          <w:color w:val="000000" w:themeColor="text1"/>
          <w:sz w:val="24"/>
          <w:szCs w:val="24"/>
        </w:rPr>
        <w:t>a</w:t>
      </w:r>
      <w:r w:rsidR="00557C75" w:rsidRPr="00F54A97">
        <w:rPr>
          <w:b w:val="0"/>
          <w:color w:val="000000" w:themeColor="text1"/>
          <w:sz w:val="24"/>
          <w:szCs w:val="24"/>
        </w:rPr>
        <w:t xml:space="preserve"> </w:t>
      </w:r>
      <w:r w:rsidR="008B7581" w:rsidRPr="00F54A97">
        <w:rPr>
          <w:b w:val="0"/>
          <w:color w:val="000000" w:themeColor="text1"/>
          <w:sz w:val="24"/>
          <w:szCs w:val="24"/>
        </w:rPr>
        <w:t>Resolução Administrativa do TRE-BA nº 5</w:t>
      </w:r>
      <w:r w:rsidR="00E0068D">
        <w:rPr>
          <w:b w:val="0"/>
          <w:color w:val="000000" w:themeColor="text1"/>
          <w:sz w:val="24"/>
          <w:szCs w:val="24"/>
        </w:rPr>
        <w:t>, de 28 de ma</w:t>
      </w:r>
      <w:r w:rsidR="00985DD4">
        <w:rPr>
          <w:b w:val="0"/>
          <w:color w:val="000000" w:themeColor="text1"/>
          <w:sz w:val="24"/>
          <w:szCs w:val="24"/>
        </w:rPr>
        <w:t>io</w:t>
      </w:r>
      <w:r w:rsidR="00E0068D">
        <w:rPr>
          <w:b w:val="0"/>
          <w:color w:val="000000" w:themeColor="text1"/>
          <w:sz w:val="24"/>
          <w:szCs w:val="24"/>
        </w:rPr>
        <w:t xml:space="preserve"> de </w:t>
      </w:r>
      <w:r w:rsidR="008B7581" w:rsidRPr="00F54A97">
        <w:rPr>
          <w:b w:val="0"/>
          <w:color w:val="000000" w:themeColor="text1"/>
          <w:sz w:val="24"/>
          <w:szCs w:val="24"/>
        </w:rPr>
        <w:t>2013, que dispõe sobre a organização dos serviços administrativos do Tribunal</w:t>
      </w:r>
      <w:r w:rsidR="00E0068D">
        <w:rPr>
          <w:b w:val="0"/>
          <w:color w:val="000000" w:themeColor="text1"/>
          <w:sz w:val="24"/>
          <w:szCs w:val="24"/>
        </w:rPr>
        <w:t>;</w:t>
      </w:r>
      <w:r w:rsidR="008B7581" w:rsidRPr="00F54A97">
        <w:rPr>
          <w:b w:val="0"/>
          <w:color w:val="000000" w:themeColor="text1"/>
          <w:sz w:val="24"/>
          <w:szCs w:val="24"/>
        </w:rPr>
        <w:t xml:space="preserve"> o Referencial Básico de Governança do Tribunal de Contas </w:t>
      </w:r>
      <w:r w:rsidR="008B7581" w:rsidRPr="00F54A97">
        <w:rPr>
          <w:b w:val="0"/>
          <w:color w:val="000000" w:themeColor="text1"/>
          <w:sz w:val="24"/>
          <w:szCs w:val="24"/>
        </w:rPr>
        <w:lastRenderedPageBreak/>
        <w:t>da União</w:t>
      </w:r>
      <w:r w:rsidR="00312248">
        <w:rPr>
          <w:b w:val="0"/>
          <w:color w:val="000000" w:themeColor="text1"/>
          <w:sz w:val="24"/>
          <w:szCs w:val="24"/>
        </w:rPr>
        <w:t xml:space="preserve"> (TCU)</w:t>
      </w:r>
      <w:r w:rsidR="008B7581" w:rsidRPr="00F54A97">
        <w:rPr>
          <w:b w:val="0"/>
          <w:color w:val="000000" w:themeColor="text1"/>
          <w:sz w:val="24"/>
          <w:szCs w:val="24"/>
        </w:rPr>
        <w:t xml:space="preserve">, versão 2 – 2014, que </w:t>
      </w:r>
      <w:r w:rsidR="00E0068D">
        <w:rPr>
          <w:b w:val="0"/>
          <w:color w:val="000000" w:themeColor="text1"/>
          <w:sz w:val="24"/>
          <w:szCs w:val="24"/>
        </w:rPr>
        <w:t>define estrutura referencial de governança aplicável a órgãos e entidades da Administração Pública;</w:t>
      </w:r>
      <w:r w:rsidR="00202D83" w:rsidRPr="00F54A97">
        <w:rPr>
          <w:b w:val="0"/>
          <w:color w:val="000000" w:themeColor="text1"/>
          <w:sz w:val="24"/>
          <w:szCs w:val="24"/>
        </w:rPr>
        <w:t xml:space="preserve"> e a Lei nº 12.527</w:t>
      </w:r>
      <w:r w:rsidR="00412B5A">
        <w:rPr>
          <w:b w:val="0"/>
          <w:color w:val="000000" w:themeColor="text1"/>
          <w:sz w:val="24"/>
          <w:szCs w:val="24"/>
        </w:rPr>
        <w:t>,</w:t>
      </w:r>
      <w:r w:rsidR="00412B5A" w:rsidRPr="00412B5A">
        <w:rPr>
          <w:color w:val="000000" w:themeColor="text1"/>
          <w:sz w:val="24"/>
          <w:szCs w:val="24"/>
        </w:rPr>
        <w:t xml:space="preserve"> </w:t>
      </w:r>
      <w:r w:rsidR="00412B5A" w:rsidRPr="005D5927">
        <w:rPr>
          <w:b w:val="0"/>
          <w:color w:val="000000" w:themeColor="text1"/>
          <w:sz w:val="24"/>
          <w:szCs w:val="24"/>
        </w:rPr>
        <w:t xml:space="preserve">de 18 de novembro de 2011, </w:t>
      </w:r>
      <w:r w:rsidR="00202D83" w:rsidRPr="005D5927">
        <w:rPr>
          <w:b w:val="0"/>
          <w:color w:val="000000" w:themeColor="text1"/>
          <w:sz w:val="24"/>
          <w:szCs w:val="24"/>
        </w:rPr>
        <w:t>que regula</w:t>
      </w:r>
      <w:r w:rsidR="005D5927">
        <w:rPr>
          <w:b w:val="0"/>
          <w:color w:val="000000" w:themeColor="text1"/>
          <w:sz w:val="24"/>
          <w:szCs w:val="24"/>
        </w:rPr>
        <w:t xml:space="preserve">menta </w:t>
      </w:r>
      <w:r w:rsidR="00202D83" w:rsidRPr="005D5927">
        <w:rPr>
          <w:b w:val="0"/>
          <w:color w:val="000000" w:themeColor="text1"/>
          <w:sz w:val="24"/>
          <w:szCs w:val="24"/>
        </w:rPr>
        <w:t xml:space="preserve">o acesso </w:t>
      </w:r>
      <w:r w:rsidR="005D5927">
        <w:rPr>
          <w:b w:val="0"/>
          <w:color w:val="000000" w:themeColor="text1"/>
          <w:sz w:val="24"/>
          <w:szCs w:val="24"/>
        </w:rPr>
        <w:t>à informação, no âmbito da Administração Pública</w:t>
      </w:r>
      <w:r w:rsidR="00DB362E" w:rsidRPr="005D5927">
        <w:rPr>
          <w:b w:val="0"/>
          <w:color w:val="000000" w:themeColor="text1"/>
          <w:sz w:val="24"/>
          <w:szCs w:val="24"/>
        </w:rPr>
        <w:t>.</w:t>
      </w:r>
      <w:bookmarkEnd w:id="7"/>
      <w:r w:rsidR="00DB362E" w:rsidRPr="005D5927">
        <w:rPr>
          <w:b w:val="0"/>
          <w:color w:val="000000" w:themeColor="text1"/>
          <w:sz w:val="24"/>
          <w:szCs w:val="24"/>
        </w:rPr>
        <w:t xml:space="preserve"> </w:t>
      </w:r>
    </w:p>
    <w:p w:rsidR="00163BAF" w:rsidRPr="00A31E18" w:rsidRDefault="008F1C72" w:rsidP="008459B7">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z w:val="24"/>
          <w:szCs w:val="24"/>
        </w:rPr>
      </w:pPr>
      <w:bookmarkStart w:id="8" w:name="_Toc511288055"/>
      <w:r w:rsidRPr="00A31E18">
        <w:rPr>
          <w:b w:val="0"/>
          <w:color w:val="000000" w:themeColor="text1"/>
          <w:sz w:val="24"/>
          <w:szCs w:val="24"/>
        </w:rPr>
        <w:t>Ultimados os procedimentos e análises elencados na respectiva matriz de planejamento, restaram evidenciadas, dentre outras situações desconformes com os critérios referenciais considerados:</w:t>
      </w:r>
      <w:r w:rsidR="00DB362E" w:rsidRPr="00A31E18">
        <w:rPr>
          <w:b w:val="0"/>
          <w:color w:val="000000" w:themeColor="text1"/>
          <w:sz w:val="24"/>
          <w:szCs w:val="24"/>
        </w:rPr>
        <w:t xml:space="preserve"> </w:t>
      </w:r>
      <w:r w:rsidR="00A31E18" w:rsidRPr="00A31E18">
        <w:rPr>
          <w:b w:val="0"/>
          <w:color w:val="000000" w:themeColor="text1"/>
          <w:sz w:val="24"/>
          <w:szCs w:val="24"/>
        </w:rPr>
        <w:t>insufici</w:t>
      </w:r>
      <w:r w:rsidR="00D265EE" w:rsidRPr="00A31E18">
        <w:rPr>
          <w:b w:val="0"/>
          <w:color w:val="000000" w:themeColor="text1"/>
          <w:sz w:val="24"/>
          <w:szCs w:val="24"/>
        </w:rPr>
        <w:t>ência na disseminação do Código de Ética</w:t>
      </w:r>
      <w:r w:rsidR="00772933">
        <w:rPr>
          <w:b w:val="0"/>
          <w:color w:val="000000" w:themeColor="text1"/>
          <w:sz w:val="24"/>
          <w:szCs w:val="24"/>
        </w:rPr>
        <w:t>;</w:t>
      </w:r>
      <w:r w:rsidR="00EC5C7C" w:rsidRPr="00A31E18">
        <w:rPr>
          <w:b w:val="0"/>
          <w:color w:val="000000" w:themeColor="text1"/>
          <w:sz w:val="24"/>
          <w:szCs w:val="24"/>
        </w:rPr>
        <w:t xml:space="preserve"> </w:t>
      </w:r>
      <w:r w:rsidR="00772933" w:rsidRPr="00790E61">
        <w:rPr>
          <w:b w:val="0"/>
          <w:color w:val="000000" w:themeColor="text1"/>
          <w:sz w:val="24"/>
          <w:szCs w:val="24"/>
        </w:rPr>
        <w:t xml:space="preserve">deficiência na utilização </w:t>
      </w:r>
      <w:r w:rsidR="00D265EE" w:rsidRPr="00772933">
        <w:rPr>
          <w:b w:val="0"/>
          <w:sz w:val="24"/>
          <w:szCs w:val="24"/>
        </w:rPr>
        <w:t>de critérios para seleção de líderes envolvidos na gestão da execução da estratégia</w:t>
      </w:r>
      <w:r w:rsidR="0087682D" w:rsidRPr="00A31E18">
        <w:rPr>
          <w:b w:val="0"/>
          <w:color w:val="000000" w:themeColor="text1"/>
          <w:sz w:val="24"/>
          <w:szCs w:val="24"/>
        </w:rPr>
        <w:t>;</w:t>
      </w:r>
      <w:r w:rsidR="00D265EE" w:rsidRPr="00A31E18">
        <w:rPr>
          <w:b w:val="0"/>
          <w:color w:val="000000" w:themeColor="text1"/>
          <w:sz w:val="24"/>
          <w:szCs w:val="24"/>
        </w:rPr>
        <w:t xml:space="preserve"> cumprimento insufici</w:t>
      </w:r>
      <w:r w:rsidR="00EC5C7C" w:rsidRPr="00A31E18">
        <w:rPr>
          <w:b w:val="0"/>
          <w:color w:val="000000" w:themeColor="text1"/>
          <w:sz w:val="24"/>
          <w:szCs w:val="24"/>
        </w:rPr>
        <w:t>ente</w:t>
      </w:r>
      <w:r w:rsidR="00D265EE" w:rsidRPr="00A31E18">
        <w:rPr>
          <w:b w:val="0"/>
          <w:color w:val="000000" w:themeColor="text1"/>
          <w:sz w:val="24"/>
          <w:szCs w:val="24"/>
        </w:rPr>
        <w:t xml:space="preserve"> </w:t>
      </w:r>
      <w:r w:rsidR="0087682D" w:rsidRPr="00A31E18">
        <w:rPr>
          <w:b w:val="0"/>
          <w:color w:val="000000" w:themeColor="text1"/>
          <w:sz w:val="24"/>
          <w:szCs w:val="24"/>
        </w:rPr>
        <w:t>d</w:t>
      </w:r>
      <w:r w:rsidR="00EC5C7C" w:rsidRPr="00A31E18">
        <w:rPr>
          <w:b w:val="0"/>
          <w:color w:val="000000" w:themeColor="text1"/>
          <w:sz w:val="24"/>
          <w:szCs w:val="24"/>
        </w:rPr>
        <w:t>a</w:t>
      </w:r>
      <w:r w:rsidR="00D265EE" w:rsidRPr="00A31E18">
        <w:rPr>
          <w:b w:val="0"/>
          <w:color w:val="000000" w:themeColor="text1"/>
          <w:sz w:val="24"/>
          <w:szCs w:val="24"/>
        </w:rPr>
        <w:t xml:space="preserve"> sistemática de monitoramento da estratégia</w:t>
      </w:r>
      <w:r w:rsidR="0087682D" w:rsidRPr="00A31E18">
        <w:rPr>
          <w:b w:val="0"/>
          <w:color w:val="000000" w:themeColor="text1"/>
          <w:sz w:val="24"/>
          <w:szCs w:val="24"/>
        </w:rPr>
        <w:t>;</w:t>
      </w:r>
      <w:r w:rsidR="00EC5C7C" w:rsidRPr="00A31E18">
        <w:rPr>
          <w:b w:val="0"/>
          <w:color w:val="000000" w:themeColor="text1"/>
          <w:sz w:val="24"/>
          <w:szCs w:val="24"/>
        </w:rPr>
        <w:t xml:space="preserve"> </w:t>
      </w:r>
      <w:r w:rsidR="00D265EE" w:rsidRPr="00A31E18">
        <w:rPr>
          <w:b w:val="0"/>
          <w:color w:val="000000" w:themeColor="text1"/>
          <w:sz w:val="24"/>
          <w:szCs w:val="24"/>
        </w:rPr>
        <w:t xml:space="preserve">cumprimento </w:t>
      </w:r>
      <w:r w:rsidR="0087682D" w:rsidRPr="00A31E18">
        <w:rPr>
          <w:b w:val="0"/>
          <w:color w:val="000000" w:themeColor="text1"/>
          <w:sz w:val="24"/>
          <w:szCs w:val="24"/>
        </w:rPr>
        <w:t xml:space="preserve">insuficiente </w:t>
      </w:r>
      <w:r w:rsidR="00D265EE" w:rsidRPr="00A31E18">
        <w:rPr>
          <w:b w:val="0"/>
          <w:color w:val="000000" w:themeColor="text1"/>
          <w:sz w:val="24"/>
          <w:szCs w:val="24"/>
        </w:rPr>
        <w:t xml:space="preserve">das obrigações de </w:t>
      </w:r>
      <w:proofErr w:type="spellStart"/>
      <w:r w:rsidR="00D265EE" w:rsidRPr="00A31E18">
        <w:rPr>
          <w:b w:val="0"/>
          <w:i/>
          <w:color w:val="000000" w:themeColor="text1"/>
          <w:sz w:val="24"/>
          <w:szCs w:val="24"/>
        </w:rPr>
        <w:t>acco</w:t>
      </w:r>
      <w:r w:rsidR="002C68C5">
        <w:rPr>
          <w:b w:val="0"/>
          <w:i/>
          <w:color w:val="000000" w:themeColor="text1"/>
          <w:sz w:val="24"/>
          <w:szCs w:val="24"/>
        </w:rPr>
        <w:t>u</w:t>
      </w:r>
      <w:r w:rsidR="00D265EE" w:rsidRPr="00A31E18">
        <w:rPr>
          <w:b w:val="0"/>
          <w:i/>
          <w:color w:val="000000" w:themeColor="text1"/>
          <w:sz w:val="24"/>
          <w:szCs w:val="24"/>
        </w:rPr>
        <w:t>ntability</w:t>
      </w:r>
      <w:proofErr w:type="spellEnd"/>
      <w:r w:rsidR="0087682D" w:rsidRPr="00A31E18">
        <w:rPr>
          <w:b w:val="0"/>
          <w:color w:val="000000" w:themeColor="text1"/>
          <w:sz w:val="24"/>
          <w:szCs w:val="24"/>
        </w:rPr>
        <w:t>;</w:t>
      </w:r>
      <w:r w:rsidR="00D265EE" w:rsidRPr="00A31E18">
        <w:rPr>
          <w:b w:val="0"/>
          <w:color w:val="000000" w:themeColor="text1"/>
          <w:sz w:val="24"/>
          <w:szCs w:val="24"/>
        </w:rPr>
        <w:t xml:space="preserve"> deficiência no gerenciamento de riscos associados à gestão da execução da estratégia</w:t>
      </w:r>
      <w:r w:rsidR="0087682D" w:rsidRPr="00A31E18">
        <w:rPr>
          <w:b w:val="0"/>
          <w:color w:val="000000" w:themeColor="text1"/>
          <w:sz w:val="24"/>
          <w:szCs w:val="24"/>
        </w:rPr>
        <w:t>;</w:t>
      </w:r>
      <w:r w:rsidR="00D265EE" w:rsidRPr="00A31E18">
        <w:rPr>
          <w:b w:val="0"/>
          <w:color w:val="000000" w:themeColor="text1"/>
          <w:sz w:val="24"/>
          <w:szCs w:val="24"/>
        </w:rPr>
        <w:t xml:space="preserve"> </w:t>
      </w:r>
      <w:r w:rsidR="00A31E18" w:rsidRPr="00A31E18">
        <w:rPr>
          <w:b w:val="0"/>
          <w:color w:val="000000" w:themeColor="text1"/>
          <w:sz w:val="24"/>
          <w:szCs w:val="24"/>
        </w:rPr>
        <w:t>capacitação insuficiente de servidores na metodologia de gestão de projetos estratégicos</w:t>
      </w:r>
      <w:r w:rsidR="00772933">
        <w:rPr>
          <w:b w:val="0"/>
          <w:color w:val="000000" w:themeColor="text1"/>
          <w:sz w:val="24"/>
          <w:szCs w:val="24"/>
        </w:rPr>
        <w:t>;</w:t>
      </w:r>
      <w:r w:rsidR="00EC5C7C" w:rsidRPr="00A31E18">
        <w:rPr>
          <w:b w:val="0"/>
          <w:color w:val="000000" w:themeColor="text1"/>
          <w:sz w:val="24"/>
          <w:szCs w:val="24"/>
        </w:rPr>
        <w:t xml:space="preserve"> </w:t>
      </w:r>
      <w:r w:rsidR="0087682D" w:rsidRPr="00A31E18">
        <w:rPr>
          <w:b w:val="0"/>
          <w:color w:val="000000" w:themeColor="text1"/>
          <w:sz w:val="24"/>
          <w:szCs w:val="24"/>
        </w:rPr>
        <w:t xml:space="preserve">insuficiência </w:t>
      </w:r>
      <w:r w:rsidR="00EC5C7C" w:rsidRPr="00A31E18">
        <w:rPr>
          <w:b w:val="0"/>
          <w:color w:val="000000" w:themeColor="text1"/>
          <w:sz w:val="24"/>
          <w:szCs w:val="24"/>
        </w:rPr>
        <w:t>de</w:t>
      </w:r>
      <w:r w:rsidR="00D265EE" w:rsidRPr="00A31E18">
        <w:rPr>
          <w:b w:val="0"/>
          <w:color w:val="000000" w:themeColor="text1"/>
          <w:sz w:val="24"/>
          <w:szCs w:val="24"/>
        </w:rPr>
        <w:t xml:space="preserve"> ferramenta informatizada </w:t>
      </w:r>
      <w:r w:rsidR="0087682D" w:rsidRPr="00A31E18">
        <w:rPr>
          <w:b w:val="0"/>
          <w:color w:val="000000" w:themeColor="text1"/>
          <w:sz w:val="24"/>
          <w:szCs w:val="24"/>
        </w:rPr>
        <w:t>de suporte ao</w:t>
      </w:r>
      <w:r w:rsidR="00D265EE" w:rsidRPr="00A31E18">
        <w:rPr>
          <w:b w:val="0"/>
          <w:color w:val="000000" w:themeColor="text1"/>
          <w:sz w:val="24"/>
          <w:szCs w:val="24"/>
        </w:rPr>
        <w:t xml:space="preserve"> monitoramento de projetos</w:t>
      </w:r>
      <w:r w:rsidR="0087682D" w:rsidRPr="00A31E18">
        <w:rPr>
          <w:b w:val="0"/>
          <w:color w:val="000000" w:themeColor="text1"/>
          <w:sz w:val="24"/>
          <w:szCs w:val="24"/>
        </w:rPr>
        <w:t>;</w:t>
      </w:r>
      <w:r w:rsidR="00D265EE" w:rsidRPr="00A31E18">
        <w:rPr>
          <w:b w:val="0"/>
          <w:color w:val="000000" w:themeColor="text1"/>
          <w:sz w:val="24"/>
          <w:szCs w:val="24"/>
        </w:rPr>
        <w:t xml:space="preserve"> deficiência</w:t>
      </w:r>
      <w:r w:rsidR="00391210" w:rsidRPr="00A31E18">
        <w:rPr>
          <w:b w:val="0"/>
          <w:color w:val="000000" w:themeColor="text1"/>
          <w:sz w:val="24"/>
          <w:szCs w:val="24"/>
        </w:rPr>
        <w:t xml:space="preserve"> na comunicação</w:t>
      </w:r>
      <w:r w:rsidR="0087682D" w:rsidRPr="00A31E18">
        <w:rPr>
          <w:b w:val="0"/>
          <w:color w:val="000000" w:themeColor="text1"/>
          <w:sz w:val="24"/>
          <w:szCs w:val="24"/>
        </w:rPr>
        <w:t xml:space="preserve"> e</w:t>
      </w:r>
      <w:r w:rsidR="00391210" w:rsidRPr="00A31E18">
        <w:rPr>
          <w:b w:val="0"/>
          <w:color w:val="000000" w:themeColor="text1"/>
          <w:sz w:val="24"/>
          <w:szCs w:val="24"/>
        </w:rPr>
        <w:t xml:space="preserve"> no desdobramento </w:t>
      </w:r>
      <w:r w:rsidR="0087682D" w:rsidRPr="00A31E18">
        <w:rPr>
          <w:b w:val="0"/>
          <w:color w:val="000000" w:themeColor="text1"/>
          <w:sz w:val="24"/>
          <w:szCs w:val="24"/>
        </w:rPr>
        <w:t xml:space="preserve">da </w:t>
      </w:r>
      <w:r w:rsidR="00772933">
        <w:rPr>
          <w:b w:val="0"/>
          <w:color w:val="000000" w:themeColor="text1"/>
          <w:sz w:val="24"/>
          <w:szCs w:val="24"/>
        </w:rPr>
        <w:t>e</w:t>
      </w:r>
      <w:r w:rsidR="0087682D" w:rsidRPr="00A31E18">
        <w:rPr>
          <w:b w:val="0"/>
          <w:color w:val="000000" w:themeColor="text1"/>
          <w:sz w:val="24"/>
          <w:szCs w:val="24"/>
        </w:rPr>
        <w:t xml:space="preserve">stratégia; </w:t>
      </w:r>
      <w:r w:rsidR="0087682D" w:rsidRPr="00772933">
        <w:rPr>
          <w:b w:val="0"/>
          <w:sz w:val="24"/>
          <w:szCs w:val="24"/>
        </w:rPr>
        <w:t>deficiência</w:t>
      </w:r>
      <w:r w:rsidR="00391210" w:rsidRPr="00A31E18">
        <w:rPr>
          <w:b w:val="0"/>
          <w:color w:val="000000" w:themeColor="text1"/>
          <w:sz w:val="24"/>
          <w:szCs w:val="24"/>
        </w:rPr>
        <w:t xml:space="preserve"> no gerenciamento de projetos estratégicos</w:t>
      </w:r>
      <w:r w:rsidR="0087682D" w:rsidRPr="00A31E18">
        <w:rPr>
          <w:b w:val="0"/>
          <w:color w:val="000000" w:themeColor="text1"/>
          <w:sz w:val="24"/>
          <w:szCs w:val="24"/>
        </w:rPr>
        <w:t>;</w:t>
      </w:r>
      <w:r w:rsidR="00391210" w:rsidRPr="00A31E18">
        <w:rPr>
          <w:b w:val="0"/>
          <w:color w:val="000000" w:themeColor="text1"/>
          <w:sz w:val="24"/>
          <w:szCs w:val="24"/>
        </w:rPr>
        <w:t xml:space="preserve"> insuficiência na formalização da documentação de projetos</w:t>
      </w:r>
      <w:r w:rsidR="0087682D" w:rsidRPr="00A31E18">
        <w:rPr>
          <w:b w:val="0"/>
          <w:color w:val="000000" w:themeColor="text1"/>
          <w:sz w:val="24"/>
          <w:szCs w:val="24"/>
        </w:rPr>
        <w:t>;</w:t>
      </w:r>
      <w:r w:rsidR="00391210" w:rsidRPr="00A31E18">
        <w:rPr>
          <w:b w:val="0"/>
          <w:color w:val="000000" w:themeColor="text1"/>
          <w:sz w:val="24"/>
          <w:szCs w:val="24"/>
        </w:rPr>
        <w:t xml:space="preserve"> deficiência na formulação de planos</w:t>
      </w:r>
      <w:r w:rsidR="00A31E18" w:rsidRPr="00A31E18">
        <w:rPr>
          <w:b w:val="0"/>
          <w:color w:val="000000" w:themeColor="text1"/>
          <w:sz w:val="24"/>
          <w:szCs w:val="24"/>
        </w:rPr>
        <w:t xml:space="preserve"> de gestão para cumprimento da estratégia</w:t>
      </w:r>
      <w:r w:rsidR="00772933">
        <w:rPr>
          <w:b w:val="0"/>
          <w:color w:val="000000" w:themeColor="text1"/>
          <w:sz w:val="24"/>
          <w:szCs w:val="24"/>
        </w:rPr>
        <w:t>;</w:t>
      </w:r>
      <w:r w:rsidR="00391210" w:rsidRPr="00A31E18">
        <w:rPr>
          <w:b w:val="0"/>
          <w:color w:val="000000" w:themeColor="text1"/>
          <w:sz w:val="24"/>
          <w:szCs w:val="24"/>
        </w:rPr>
        <w:t xml:space="preserve"> </w:t>
      </w:r>
      <w:r w:rsidR="00772933" w:rsidRPr="00790E61">
        <w:rPr>
          <w:b w:val="0"/>
          <w:color w:val="000000" w:themeColor="text1"/>
          <w:sz w:val="24"/>
          <w:szCs w:val="24"/>
        </w:rPr>
        <w:t xml:space="preserve">insuficiência </w:t>
      </w:r>
      <w:r w:rsidR="00391210" w:rsidRPr="00790E61">
        <w:rPr>
          <w:b w:val="0"/>
          <w:color w:val="000000" w:themeColor="text1"/>
          <w:sz w:val="24"/>
          <w:szCs w:val="24"/>
        </w:rPr>
        <w:t>n</w:t>
      </w:r>
      <w:r w:rsidR="00391210" w:rsidRPr="00A31E18">
        <w:rPr>
          <w:b w:val="0"/>
          <w:color w:val="000000" w:themeColor="text1"/>
          <w:sz w:val="24"/>
          <w:szCs w:val="24"/>
        </w:rPr>
        <w:t xml:space="preserve">a </w:t>
      </w:r>
      <w:r w:rsidR="00A31E18" w:rsidRPr="00A31E18">
        <w:rPr>
          <w:b w:val="0"/>
          <w:color w:val="000000" w:themeColor="text1"/>
          <w:sz w:val="24"/>
          <w:szCs w:val="24"/>
        </w:rPr>
        <w:t>formulação</w:t>
      </w:r>
      <w:r w:rsidR="00391210" w:rsidRPr="00A31E18">
        <w:rPr>
          <w:b w:val="0"/>
          <w:color w:val="000000" w:themeColor="text1"/>
          <w:sz w:val="24"/>
          <w:szCs w:val="24"/>
        </w:rPr>
        <w:t xml:space="preserve"> de indicadores</w:t>
      </w:r>
      <w:r w:rsidR="009C15A7">
        <w:rPr>
          <w:b w:val="0"/>
          <w:color w:val="000000" w:themeColor="text1"/>
          <w:sz w:val="24"/>
          <w:szCs w:val="24"/>
        </w:rPr>
        <w:t>; insuficiente incorporação das Metas Nacionais do Poder Judiciário à estratégia</w:t>
      </w:r>
      <w:r w:rsidR="00772933">
        <w:rPr>
          <w:b w:val="0"/>
          <w:color w:val="000000" w:themeColor="text1"/>
          <w:sz w:val="24"/>
          <w:szCs w:val="24"/>
        </w:rPr>
        <w:t>;</w:t>
      </w:r>
      <w:r w:rsidR="009C15A7">
        <w:rPr>
          <w:b w:val="0"/>
          <w:color w:val="000000" w:themeColor="text1"/>
          <w:sz w:val="24"/>
          <w:szCs w:val="24"/>
        </w:rPr>
        <w:t xml:space="preserve"> e vinculação hierárquica da Unidade de Gestão Estratégica à Secretaria do Tribunal</w:t>
      </w:r>
      <w:r w:rsidRPr="00A31E18">
        <w:rPr>
          <w:b w:val="0"/>
          <w:color w:val="000000" w:themeColor="text1"/>
          <w:sz w:val="24"/>
          <w:szCs w:val="24"/>
        </w:rPr>
        <w:t>.</w:t>
      </w:r>
      <w:bookmarkEnd w:id="8"/>
    </w:p>
    <w:p w:rsidR="00791BF0" w:rsidRPr="009C13DE" w:rsidRDefault="008F1C72" w:rsidP="00766C52">
      <w:pPr>
        <w:pStyle w:val="PargrafodaLista"/>
        <w:numPr>
          <w:ilvl w:val="0"/>
          <w:numId w:val="3"/>
        </w:numPr>
        <w:tabs>
          <w:tab w:val="left" w:pos="-1985"/>
          <w:tab w:val="left" w:pos="0"/>
          <w:tab w:val="left" w:pos="1418"/>
        </w:tabs>
        <w:spacing w:before="0"/>
        <w:contextualSpacing w:val="0"/>
        <w:jc w:val="both"/>
        <w:rPr>
          <w:b w:val="0"/>
          <w:color w:val="000000" w:themeColor="text1"/>
          <w:sz w:val="24"/>
          <w:szCs w:val="24"/>
        </w:rPr>
      </w:pPr>
      <w:bookmarkStart w:id="9" w:name="_Toc511288056"/>
      <w:r w:rsidRPr="00772933">
        <w:rPr>
          <w:b w:val="0"/>
          <w:color w:val="000000" w:themeColor="text1"/>
          <w:sz w:val="24"/>
          <w:szCs w:val="24"/>
        </w:rPr>
        <w:t xml:space="preserve">Objetivando o saneamento das fragilidades detectadas, especialmente daquelas acima reportadas, </w:t>
      </w:r>
      <w:r w:rsidR="0087682D" w:rsidRPr="00772933">
        <w:rPr>
          <w:b w:val="0"/>
          <w:color w:val="000000" w:themeColor="text1"/>
          <w:sz w:val="24"/>
          <w:szCs w:val="24"/>
        </w:rPr>
        <w:t>restaram propostos encaminhamentos</w:t>
      </w:r>
      <w:r w:rsidR="00AB00D6" w:rsidRPr="00772933">
        <w:rPr>
          <w:b w:val="0"/>
          <w:color w:val="000000" w:themeColor="text1"/>
          <w:sz w:val="24"/>
          <w:szCs w:val="24"/>
        </w:rPr>
        <w:t xml:space="preserve"> visando à</w:t>
      </w:r>
      <w:r w:rsidR="009F1813" w:rsidRPr="00772933">
        <w:rPr>
          <w:b w:val="0"/>
          <w:color w:val="000000" w:themeColor="text1"/>
          <w:sz w:val="24"/>
          <w:szCs w:val="24"/>
        </w:rPr>
        <w:t>:</w:t>
      </w:r>
      <w:r w:rsidR="00766C52" w:rsidRPr="00772933">
        <w:t xml:space="preserve"> </w:t>
      </w:r>
      <w:r w:rsidR="00772933" w:rsidRPr="00790E61">
        <w:rPr>
          <w:b w:val="0"/>
          <w:color w:val="000000" w:themeColor="text1"/>
          <w:sz w:val="24"/>
          <w:szCs w:val="24"/>
        </w:rPr>
        <w:t>promoção de ações voltadas à disseminação da ética, no âmbito organizacional</w:t>
      </w:r>
      <w:r w:rsidR="0087682D" w:rsidRPr="00790E61">
        <w:rPr>
          <w:b w:val="0"/>
          <w:color w:val="000000" w:themeColor="text1"/>
          <w:sz w:val="24"/>
          <w:szCs w:val="24"/>
        </w:rPr>
        <w:t>;</w:t>
      </w:r>
      <w:r w:rsidR="00766C52" w:rsidRPr="00772933">
        <w:rPr>
          <w:b w:val="0"/>
          <w:color w:val="000000" w:themeColor="text1"/>
          <w:sz w:val="24"/>
          <w:szCs w:val="24"/>
        </w:rPr>
        <w:t xml:space="preserve"> </w:t>
      </w:r>
      <w:r w:rsidR="00D01530" w:rsidRPr="00772933">
        <w:rPr>
          <w:b w:val="0"/>
          <w:color w:val="000000" w:themeColor="text1"/>
          <w:sz w:val="24"/>
          <w:szCs w:val="24"/>
        </w:rPr>
        <w:t xml:space="preserve">observância às </w:t>
      </w:r>
      <w:r w:rsidR="004231FA" w:rsidRPr="00772933">
        <w:rPr>
          <w:b w:val="0"/>
          <w:color w:val="000000" w:themeColor="text1"/>
          <w:sz w:val="24"/>
          <w:szCs w:val="24"/>
        </w:rPr>
        <w:t xml:space="preserve">competências técnicas e comportamentais </w:t>
      </w:r>
      <w:r w:rsidR="00D01530" w:rsidRPr="00772933">
        <w:rPr>
          <w:b w:val="0"/>
          <w:color w:val="000000" w:themeColor="text1"/>
          <w:sz w:val="24"/>
          <w:szCs w:val="24"/>
        </w:rPr>
        <w:t>definidas pelo Projeto Gestão por Competências, quando da designação de servidores para o exercício de cargo em comissão ou função comissionada integrante da estrutura orgânica da COPEG;</w:t>
      </w:r>
      <w:r w:rsidR="0087682D" w:rsidRPr="00772933">
        <w:rPr>
          <w:b w:val="0"/>
          <w:color w:val="000000" w:themeColor="text1"/>
          <w:sz w:val="24"/>
          <w:szCs w:val="24"/>
        </w:rPr>
        <w:t xml:space="preserve"> instituição de</w:t>
      </w:r>
      <w:r w:rsidR="004231FA" w:rsidRPr="00772933">
        <w:rPr>
          <w:b w:val="0"/>
          <w:color w:val="000000" w:themeColor="text1"/>
          <w:sz w:val="24"/>
          <w:szCs w:val="24"/>
        </w:rPr>
        <w:t xml:space="preserve"> ro</w:t>
      </w:r>
      <w:r w:rsidR="00B72A0A" w:rsidRPr="00772933">
        <w:rPr>
          <w:b w:val="0"/>
          <w:color w:val="000000" w:themeColor="text1"/>
          <w:sz w:val="24"/>
          <w:szCs w:val="24"/>
        </w:rPr>
        <w:t>tina de publicação e atualização de conteúdos atinentes à estratégia</w:t>
      </w:r>
      <w:r w:rsidR="0087682D" w:rsidRPr="00772933">
        <w:rPr>
          <w:b w:val="0"/>
          <w:color w:val="000000" w:themeColor="text1"/>
          <w:sz w:val="24"/>
          <w:szCs w:val="24"/>
        </w:rPr>
        <w:t>,</w:t>
      </w:r>
      <w:r w:rsidR="00B72A0A" w:rsidRPr="00772933">
        <w:rPr>
          <w:b w:val="0"/>
          <w:color w:val="000000" w:themeColor="text1"/>
          <w:sz w:val="24"/>
          <w:szCs w:val="24"/>
        </w:rPr>
        <w:t xml:space="preserve"> no Portal da Internet e Intranet do Tribunal</w:t>
      </w:r>
      <w:r w:rsidR="0087682D" w:rsidRPr="00772933">
        <w:rPr>
          <w:b w:val="0"/>
          <w:color w:val="000000" w:themeColor="text1"/>
          <w:sz w:val="24"/>
          <w:szCs w:val="24"/>
        </w:rPr>
        <w:t>;</w:t>
      </w:r>
      <w:r w:rsidR="00D01530" w:rsidRPr="00772933">
        <w:rPr>
          <w:b w:val="0"/>
          <w:color w:val="000000" w:themeColor="text1"/>
          <w:sz w:val="24"/>
          <w:szCs w:val="24"/>
        </w:rPr>
        <w:t xml:space="preserve"> </w:t>
      </w:r>
      <w:r w:rsidR="00B72A0A" w:rsidRPr="00772933">
        <w:rPr>
          <w:b w:val="0"/>
          <w:color w:val="000000" w:themeColor="text1"/>
          <w:sz w:val="24"/>
          <w:szCs w:val="24"/>
        </w:rPr>
        <w:t>gerenciamento de riscos associados à execução da estratégia</w:t>
      </w:r>
      <w:r w:rsidR="0087682D" w:rsidRPr="00772933">
        <w:rPr>
          <w:b w:val="0"/>
          <w:color w:val="000000" w:themeColor="text1"/>
          <w:sz w:val="24"/>
          <w:szCs w:val="24"/>
        </w:rPr>
        <w:t>;</w:t>
      </w:r>
      <w:r w:rsidR="00B72A0A" w:rsidRPr="00772933">
        <w:rPr>
          <w:b w:val="0"/>
          <w:color w:val="000000" w:themeColor="text1"/>
          <w:sz w:val="24"/>
          <w:szCs w:val="24"/>
        </w:rPr>
        <w:t xml:space="preserve"> capacitação de servidores </w:t>
      </w:r>
      <w:r w:rsidR="0087682D" w:rsidRPr="00772933">
        <w:rPr>
          <w:b w:val="0"/>
          <w:color w:val="000000" w:themeColor="text1"/>
          <w:sz w:val="24"/>
          <w:szCs w:val="24"/>
        </w:rPr>
        <w:t>designados</w:t>
      </w:r>
      <w:r w:rsidR="00B72A0A" w:rsidRPr="00772933">
        <w:rPr>
          <w:b w:val="0"/>
          <w:color w:val="000000" w:themeColor="text1"/>
          <w:sz w:val="24"/>
          <w:szCs w:val="24"/>
        </w:rPr>
        <w:t xml:space="preserve"> gerentes de projetos</w:t>
      </w:r>
      <w:r w:rsidR="0087682D" w:rsidRPr="00772933">
        <w:rPr>
          <w:b w:val="0"/>
          <w:color w:val="000000" w:themeColor="text1"/>
          <w:sz w:val="24"/>
          <w:szCs w:val="24"/>
        </w:rPr>
        <w:t>;</w:t>
      </w:r>
      <w:r w:rsidR="00B72A0A" w:rsidRPr="00772933">
        <w:rPr>
          <w:b w:val="0"/>
          <w:color w:val="000000" w:themeColor="text1"/>
          <w:sz w:val="24"/>
          <w:szCs w:val="24"/>
        </w:rPr>
        <w:t xml:space="preserve"> realização de eventos de promoção da estratégia</w:t>
      </w:r>
      <w:r w:rsidR="0087682D" w:rsidRPr="00772933">
        <w:rPr>
          <w:b w:val="0"/>
          <w:color w:val="000000" w:themeColor="text1"/>
          <w:sz w:val="24"/>
          <w:szCs w:val="24"/>
        </w:rPr>
        <w:t>, bem como</w:t>
      </w:r>
      <w:r w:rsidR="00816B63" w:rsidRPr="00772933">
        <w:rPr>
          <w:b w:val="0"/>
          <w:color w:val="000000" w:themeColor="text1"/>
          <w:sz w:val="24"/>
          <w:szCs w:val="24"/>
        </w:rPr>
        <w:t xml:space="preserve"> </w:t>
      </w:r>
      <w:r w:rsidR="00B72A0A" w:rsidRPr="00772933">
        <w:rPr>
          <w:b w:val="0"/>
          <w:color w:val="000000" w:themeColor="text1"/>
          <w:sz w:val="24"/>
          <w:szCs w:val="24"/>
        </w:rPr>
        <w:t>de estudos para assegurar o desdobramento da estratégia</w:t>
      </w:r>
      <w:r w:rsidR="0087682D" w:rsidRPr="00772933">
        <w:rPr>
          <w:b w:val="0"/>
          <w:color w:val="000000" w:themeColor="text1"/>
          <w:sz w:val="24"/>
          <w:szCs w:val="24"/>
        </w:rPr>
        <w:t xml:space="preserve"> </w:t>
      </w:r>
      <w:r w:rsidR="00DC02F5" w:rsidRPr="00772933">
        <w:rPr>
          <w:b w:val="0"/>
          <w:color w:val="000000" w:themeColor="text1"/>
          <w:sz w:val="24"/>
          <w:szCs w:val="24"/>
        </w:rPr>
        <w:t>nos demais extratos organizacionais</w:t>
      </w:r>
      <w:r w:rsidR="0087682D" w:rsidRPr="00772933">
        <w:rPr>
          <w:b w:val="0"/>
          <w:color w:val="000000" w:themeColor="text1"/>
          <w:sz w:val="24"/>
          <w:szCs w:val="24"/>
        </w:rPr>
        <w:t>;</w:t>
      </w:r>
      <w:r w:rsidR="00DC02F5" w:rsidRPr="00772933">
        <w:rPr>
          <w:b w:val="0"/>
          <w:color w:val="000000" w:themeColor="text1"/>
          <w:sz w:val="24"/>
          <w:szCs w:val="24"/>
        </w:rPr>
        <w:t xml:space="preserve"> aperfeiçoamento da</w:t>
      </w:r>
      <w:r w:rsidR="00816B63" w:rsidRPr="00772933">
        <w:rPr>
          <w:b w:val="0"/>
          <w:color w:val="000000" w:themeColor="text1"/>
          <w:sz w:val="24"/>
          <w:szCs w:val="24"/>
        </w:rPr>
        <w:t xml:space="preserve"> orientação e suporte aos gerentes de projetos no que tange à metodologia de gestão de projetos</w:t>
      </w:r>
      <w:r w:rsidR="00DC02F5" w:rsidRPr="00772933">
        <w:rPr>
          <w:b w:val="0"/>
          <w:color w:val="000000" w:themeColor="text1"/>
          <w:sz w:val="24"/>
          <w:szCs w:val="24"/>
        </w:rPr>
        <w:t>;</w:t>
      </w:r>
      <w:r w:rsidR="00816B63" w:rsidRPr="00772933">
        <w:rPr>
          <w:b w:val="0"/>
          <w:color w:val="000000" w:themeColor="text1"/>
          <w:sz w:val="24"/>
          <w:szCs w:val="24"/>
        </w:rPr>
        <w:t xml:space="preserve"> formalização de planos de gestão anua</w:t>
      </w:r>
      <w:r w:rsidR="00DC02F5" w:rsidRPr="00772933">
        <w:rPr>
          <w:b w:val="0"/>
          <w:color w:val="000000" w:themeColor="text1"/>
          <w:sz w:val="24"/>
          <w:szCs w:val="24"/>
        </w:rPr>
        <w:t xml:space="preserve">is; </w:t>
      </w:r>
      <w:r w:rsidR="00816B63" w:rsidRPr="00772933">
        <w:rPr>
          <w:b w:val="0"/>
          <w:color w:val="000000" w:themeColor="text1"/>
          <w:sz w:val="24"/>
          <w:szCs w:val="24"/>
        </w:rPr>
        <w:t>revisão d</w:t>
      </w:r>
      <w:r w:rsidR="00DC02F5" w:rsidRPr="00772933">
        <w:rPr>
          <w:b w:val="0"/>
          <w:color w:val="000000" w:themeColor="text1"/>
          <w:sz w:val="24"/>
          <w:szCs w:val="24"/>
        </w:rPr>
        <w:t>a</w:t>
      </w:r>
      <w:r w:rsidR="00816B63" w:rsidRPr="00772933">
        <w:rPr>
          <w:b w:val="0"/>
          <w:color w:val="000000" w:themeColor="text1"/>
          <w:sz w:val="24"/>
          <w:szCs w:val="24"/>
        </w:rPr>
        <w:t xml:space="preserve"> forma de cálculo e criação de indicador</w:t>
      </w:r>
      <w:r w:rsidR="00DC02F5" w:rsidRPr="00772933">
        <w:rPr>
          <w:b w:val="0"/>
          <w:color w:val="000000" w:themeColor="text1"/>
          <w:sz w:val="24"/>
          <w:szCs w:val="24"/>
        </w:rPr>
        <w:t>;</w:t>
      </w:r>
      <w:r w:rsidR="00816B63" w:rsidRPr="00772933">
        <w:rPr>
          <w:b w:val="0"/>
          <w:color w:val="000000" w:themeColor="text1"/>
          <w:sz w:val="24"/>
          <w:szCs w:val="24"/>
        </w:rPr>
        <w:t xml:space="preserve"> capacitação de servidores </w:t>
      </w:r>
      <w:r w:rsidR="00DC02F5" w:rsidRPr="00772933">
        <w:rPr>
          <w:b w:val="0"/>
          <w:color w:val="000000" w:themeColor="text1"/>
          <w:sz w:val="24"/>
          <w:szCs w:val="24"/>
        </w:rPr>
        <w:t>em</w:t>
      </w:r>
      <w:r w:rsidR="00816B63" w:rsidRPr="00772933">
        <w:rPr>
          <w:b w:val="0"/>
          <w:color w:val="000000" w:themeColor="text1"/>
          <w:sz w:val="24"/>
          <w:szCs w:val="24"/>
        </w:rPr>
        <w:t xml:space="preserve"> formulação de indicadores</w:t>
      </w:r>
      <w:r w:rsidR="00766C52" w:rsidRPr="00772933">
        <w:rPr>
          <w:b w:val="0"/>
          <w:color w:val="000000" w:themeColor="text1"/>
          <w:sz w:val="24"/>
          <w:szCs w:val="24"/>
        </w:rPr>
        <w:t xml:space="preserve"> e em planejamento operacional</w:t>
      </w:r>
      <w:r w:rsidR="00DC02F5" w:rsidRPr="00772933">
        <w:rPr>
          <w:b w:val="0"/>
          <w:color w:val="000000" w:themeColor="text1"/>
          <w:sz w:val="24"/>
          <w:szCs w:val="24"/>
        </w:rPr>
        <w:t>;</w:t>
      </w:r>
      <w:r w:rsidR="00790E61">
        <w:rPr>
          <w:b w:val="0"/>
          <w:color w:val="000000" w:themeColor="text1"/>
          <w:sz w:val="24"/>
          <w:szCs w:val="24"/>
        </w:rPr>
        <w:t xml:space="preserve"> e</w:t>
      </w:r>
      <w:r w:rsidR="00816B63" w:rsidRPr="00772933">
        <w:rPr>
          <w:b w:val="0"/>
          <w:color w:val="000000" w:themeColor="text1"/>
          <w:sz w:val="24"/>
          <w:szCs w:val="24"/>
        </w:rPr>
        <w:t xml:space="preserve"> incorporação </w:t>
      </w:r>
      <w:r w:rsidR="00DC02F5" w:rsidRPr="00772933">
        <w:rPr>
          <w:b w:val="0"/>
          <w:color w:val="000000" w:themeColor="text1"/>
          <w:sz w:val="24"/>
          <w:szCs w:val="24"/>
        </w:rPr>
        <w:t xml:space="preserve">formal </w:t>
      </w:r>
      <w:r w:rsidR="00816B63" w:rsidRPr="00772933">
        <w:rPr>
          <w:b w:val="0"/>
          <w:color w:val="000000" w:themeColor="text1"/>
          <w:sz w:val="24"/>
          <w:szCs w:val="24"/>
        </w:rPr>
        <w:t xml:space="preserve">de metas </w:t>
      </w:r>
      <w:r w:rsidR="00816B63" w:rsidRPr="009C13DE">
        <w:rPr>
          <w:b w:val="0"/>
          <w:color w:val="000000" w:themeColor="text1"/>
          <w:sz w:val="24"/>
          <w:szCs w:val="24"/>
        </w:rPr>
        <w:t xml:space="preserve">nacionais </w:t>
      </w:r>
      <w:r w:rsidR="00772933" w:rsidRPr="009C13DE">
        <w:rPr>
          <w:b w:val="0"/>
          <w:color w:val="000000" w:themeColor="text1"/>
          <w:sz w:val="24"/>
          <w:szCs w:val="24"/>
        </w:rPr>
        <w:t xml:space="preserve">e específicas </w:t>
      </w:r>
      <w:r w:rsidR="00DC02F5" w:rsidRPr="009C13DE">
        <w:rPr>
          <w:b w:val="0"/>
          <w:color w:val="000000" w:themeColor="text1"/>
          <w:sz w:val="24"/>
          <w:szCs w:val="24"/>
        </w:rPr>
        <w:t xml:space="preserve">à </w:t>
      </w:r>
      <w:r w:rsidR="00772933" w:rsidRPr="009C13DE">
        <w:rPr>
          <w:b w:val="0"/>
          <w:color w:val="000000" w:themeColor="text1"/>
          <w:sz w:val="24"/>
          <w:szCs w:val="24"/>
        </w:rPr>
        <w:t>e</w:t>
      </w:r>
      <w:r w:rsidR="00DC02F5" w:rsidRPr="009C13DE">
        <w:rPr>
          <w:b w:val="0"/>
          <w:color w:val="000000" w:themeColor="text1"/>
          <w:sz w:val="24"/>
          <w:szCs w:val="24"/>
        </w:rPr>
        <w:t>stratégia</w:t>
      </w:r>
      <w:r w:rsidR="00766C52" w:rsidRPr="009C13DE">
        <w:rPr>
          <w:b w:val="0"/>
          <w:color w:val="000000" w:themeColor="text1"/>
          <w:sz w:val="24"/>
          <w:szCs w:val="24"/>
        </w:rPr>
        <w:t xml:space="preserve"> do Tribunal</w:t>
      </w:r>
      <w:r w:rsidR="00790E61" w:rsidRPr="009C13DE">
        <w:rPr>
          <w:b w:val="0"/>
          <w:color w:val="000000" w:themeColor="text1"/>
          <w:sz w:val="24"/>
          <w:szCs w:val="24"/>
        </w:rPr>
        <w:t>.</w:t>
      </w:r>
      <w:bookmarkEnd w:id="9"/>
    </w:p>
    <w:p w:rsidR="008F1C72" w:rsidRPr="00DC02F5" w:rsidRDefault="00791BF0" w:rsidP="00DC02F5">
      <w:pPr>
        <w:pStyle w:val="PargrafodaLista"/>
        <w:numPr>
          <w:ilvl w:val="0"/>
          <w:numId w:val="3"/>
        </w:numPr>
        <w:tabs>
          <w:tab w:val="left" w:pos="-1985"/>
          <w:tab w:val="left" w:pos="0"/>
          <w:tab w:val="left" w:pos="1418"/>
        </w:tabs>
        <w:spacing w:before="0"/>
        <w:ind w:left="284" w:hanging="284"/>
        <w:contextualSpacing w:val="0"/>
        <w:jc w:val="both"/>
        <w:rPr>
          <w:b w:val="0"/>
          <w:color w:val="000000" w:themeColor="text1"/>
          <w:sz w:val="24"/>
          <w:szCs w:val="24"/>
        </w:rPr>
      </w:pPr>
      <w:bookmarkStart w:id="10" w:name="_Toc511288057"/>
      <w:r w:rsidRPr="00DC02F5">
        <w:rPr>
          <w:b w:val="0"/>
          <w:color w:val="000000" w:themeColor="text1"/>
          <w:sz w:val="24"/>
          <w:szCs w:val="24"/>
        </w:rPr>
        <w:t xml:space="preserve">A apresentação </w:t>
      </w:r>
      <w:r w:rsidR="009F1813" w:rsidRPr="00DC02F5">
        <w:rPr>
          <w:b w:val="0"/>
          <w:color w:val="000000" w:themeColor="text1"/>
          <w:sz w:val="24"/>
          <w:szCs w:val="24"/>
        </w:rPr>
        <w:t>dos resultados da presente Auditoria</w:t>
      </w:r>
      <w:r w:rsidRPr="00DC02F5">
        <w:rPr>
          <w:b w:val="0"/>
          <w:color w:val="000000" w:themeColor="text1"/>
          <w:sz w:val="24"/>
          <w:szCs w:val="24"/>
        </w:rPr>
        <w:t xml:space="preserve"> representa</w:t>
      </w:r>
      <w:r w:rsidR="00DC02F5">
        <w:rPr>
          <w:b w:val="0"/>
          <w:color w:val="000000" w:themeColor="text1"/>
          <w:sz w:val="24"/>
          <w:szCs w:val="24"/>
        </w:rPr>
        <w:t>,</w:t>
      </w:r>
      <w:r w:rsidRPr="00DC02F5">
        <w:rPr>
          <w:b w:val="0"/>
          <w:color w:val="000000" w:themeColor="text1"/>
          <w:sz w:val="24"/>
          <w:szCs w:val="24"/>
        </w:rPr>
        <w:t xml:space="preserve"> para </w:t>
      </w:r>
      <w:r w:rsidR="00DC02F5">
        <w:rPr>
          <w:b w:val="0"/>
          <w:color w:val="000000" w:themeColor="text1"/>
          <w:sz w:val="24"/>
          <w:szCs w:val="24"/>
        </w:rPr>
        <w:t>a Alta Administração do TRE-BA, relevante</w:t>
      </w:r>
      <w:r w:rsidRPr="00DC02F5">
        <w:rPr>
          <w:b w:val="0"/>
          <w:color w:val="000000" w:themeColor="text1"/>
          <w:sz w:val="24"/>
          <w:szCs w:val="24"/>
        </w:rPr>
        <w:t xml:space="preserve"> oportunidade de aperfeiçoamento da gestão </w:t>
      </w:r>
      <w:r w:rsidR="00DC02F5">
        <w:rPr>
          <w:b w:val="0"/>
          <w:color w:val="000000" w:themeColor="text1"/>
          <w:sz w:val="24"/>
          <w:szCs w:val="24"/>
        </w:rPr>
        <w:t>d</w:t>
      </w:r>
      <w:r w:rsidRPr="00DC02F5">
        <w:rPr>
          <w:b w:val="0"/>
          <w:color w:val="000000" w:themeColor="text1"/>
          <w:sz w:val="24"/>
          <w:szCs w:val="24"/>
        </w:rPr>
        <w:t xml:space="preserve">o processo de trabalho auditado e instituição ou aprimoramento das respectivas sistemáticas de controle, a fim de assegurar maior eficiência, eficácia e economicidade </w:t>
      </w:r>
      <w:r w:rsidR="00DC02F5">
        <w:rPr>
          <w:b w:val="0"/>
          <w:color w:val="000000" w:themeColor="text1"/>
          <w:sz w:val="24"/>
          <w:szCs w:val="24"/>
        </w:rPr>
        <w:t>a</w:t>
      </w:r>
      <w:r w:rsidRPr="00DC02F5">
        <w:rPr>
          <w:b w:val="0"/>
          <w:color w:val="000000" w:themeColor="text1"/>
          <w:sz w:val="24"/>
          <w:szCs w:val="24"/>
        </w:rPr>
        <w:t xml:space="preserve">o uso da coisa pública, maximizando, assim, as potencialidades de concretização de objetivos e metas </w:t>
      </w:r>
      <w:r w:rsidR="002C68C5">
        <w:rPr>
          <w:b w:val="0"/>
          <w:color w:val="000000" w:themeColor="text1"/>
          <w:sz w:val="24"/>
          <w:szCs w:val="24"/>
        </w:rPr>
        <w:t>estabelecidos</w:t>
      </w:r>
      <w:r w:rsidRPr="00DC02F5">
        <w:rPr>
          <w:b w:val="0"/>
          <w:color w:val="000000" w:themeColor="text1"/>
          <w:sz w:val="24"/>
          <w:szCs w:val="24"/>
        </w:rPr>
        <w:t>.</w:t>
      </w:r>
      <w:bookmarkEnd w:id="10"/>
      <w:r w:rsidR="008F1C72" w:rsidRPr="00DC02F5">
        <w:rPr>
          <w:b w:val="0"/>
          <w:color w:val="000000" w:themeColor="text1"/>
          <w:sz w:val="24"/>
          <w:szCs w:val="24"/>
        </w:rPr>
        <w:t xml:space="preserve"> </w:t>
      </w:r>
    </w:p>
    <w:p w:rsidR="008F1C72" w:rsidRPr="006A4542" w:rsidRDefault="008F1C72" w:rsidP="008459B7">
      <w:pPr>
        <w:widowControl w:val="0"/>
        <w:tabs>
          <w:tab w:val="left" w:pos="214"/>
        </w:tabs>
        <w:spacing w:after="120" w:line="240" w:lineRule="auto"/>
        <w:jc w:val="center"/>
        <w:rPr>
          <w:rFonts w:ascii="Times New Roman" w:hAnsi="Times New Roman" w:cs="Times New Roman"/>
          <w:b/>
          <w:sz w:val="24"/>
          <w:szCs w:val="24"/>
        </w:rPr>
        <w:sectPr w:rsidR="008F1C72" w:rsidRPr="006A4542" w:rsidSect="00163BAF">
          <w:headerReference w:type="default" r:id="rId12"/>
          <w:footerReference w:type="default" r:id="rId13"/>
          <w:headerReference w:type="first" r:id="rId14"/>
          <w:footerReference w:type="first" r:id="rId15"/>
          <w:type w:val="continuous"/>
          <w:pgSz w:w="11906" w:h="16838" w:code="9"/>
          <w:pgMar w:top="1701" w:right="1418" w:bottom="1418" w:left="1701" w:header="709" w:footer="709" w:gutter="0"/>
          <w:pgNumType w:start="3"/>
          <w:cols w:space="708"/>
          <w:titlePg/>
          <w:docGrid w:linePitch="360"/>
        </w:sectPr>
      </w:pPr>
    </w:p>
    <w:sdt>
      <w:sdtPr>
        <w:rPr>
          <w:rFonts w:asciiTheme="minorHAnsi" w:eastAsiaTheme="minorHAnsi" w:hAnsiTheme="minorHAnsi" w:cstheme="minorBidi"/>
          <w:b w:val="0"/>
          <w:bCs w:val="0"/>
          <w:color w:val="auto"/>
          <w:sz w:val="22"/>
          <w:szCs w:val="22"/>
          <w:lang w:eastAsia="en-US"/>
        </w:rPr>
        <w:id w:val="1800568564"/>
        <w:docPartObj>
          <w:docPartGallery w:val="Table of Contents"/>
          <w:docPartUnique/>
        </w:docPartObj>
      </w:sdtPr>
      <w:sdtEndPr/>
      <w:sdtContent>
        <w:p w:rsidR="008F1C72" w:rsidRPr="006A4542" w:rsidRDefault="008F1C72" w:rsidP="008F1C72">
          <w:pPr>
            <w:pStyle w:val="CabealhodoSumrio"/>
            <w:rPr>
              <w:rFonts w:ascii="Times New Roman" w:hAnsi="Times New Roman" w:cs="Times New Roman"/>
              <w:caps/>
              <w:color w:val="auto"/>
              <w:sz w:val="24"/>
              <w:szCs w:val="24"/>
            </w:rPr>
          </w:pPr>
          <w:r w:rsidRPr="00772933">
            <w:rPr>
              <w:rFonts w:ascii="Times New Roman" w:hAnsi="Times New Roman" w:cs="Times New Roman"/>
              <w:caps/>
              <w:color w:val="auto"/>
              <w:sz w:val="24"/>
              <w:szCs w:val="24"/>
            </w:rPr>
            <w:t>Sumário</w:t>
          </w:r>
        </w:p>
        <w:p w:rsidR="008F1C72" w:rsidRPr="006A4542" w:rsidRDefault="008F1C72" w:rsidP="008F1C72">
          <w:pPr>
            <w:pStyle w:val="Sumrio1"/>
          </w:pPr>
        </w:p>
        <w:p w:rsidR="00A31F42" w:rsidRDefault="008F1C72">
          <w:pPr>
            <w:pStyle w:val="Sumrio1"/>
            <w:rPr>
              <w:rFonts w:asciiTheme="minorHAnsi" w:eastAsiaTheme="minorEastAsia" w:hAnsiTheme="minorHAnsi" w:cstheme="minorBidi"/>
              <w:sz w:val="22"/>
              <w:szCs w:val="22"/>
              <w:lang w:eastAsia="pt-BR"/>
            </w:rPr>
          </w:pPr>
          <w:r w:rsidRPr="006A4542">
            <w:fldChar w:fldCharType="begin"/>
          </w:r>
          <w:r w:rsidRPr="006A4542">
            <w:instrText xml:space="preserve"> TOC \o "1-3" \h \z \u </w:instrText>
          </w:r>
          <w:r w:rsidRPr="006A4542">
            <w:fldChar w:fldCharType="separate"/>
          </w:r>
          <w:hyperlink w:anchor="_Toc511288058" w:history="1">
            <w:r w:rsidR="00A31F42" w:rsidRPr="004920CF">
              <w:rPr>
                <w:rStyle w:val="Hyperlink"/>
              </w:rPr>
              <w:t>1</w:t>
            </w:r>
            <w:r w:rsidR="00A31F42">
              <w:rPr>
                <w:rFonts w:asciiTheme="minorHAnsi" w:eastAsiaTheme="minorEastAsia" w:hAnsiTheme="minorHAnsi" w:cstheme="minorBidi"/>
                <w:sz w:val="22"/>
                <w:szCs w:val="22"/>
                <w:lang w:eastAsia="pt-BR"/>
              </w:rPr>
              <w:tab/>
            </w:r>
            <w:r w:rsidR="00A31F42" w:rsidRPr="004920CF">
              <w:rPr>
                <w:rStyle w:val="Hyperlink"/>
              </w:rPr>
              <w:t>INTRODUÇÃO</w:t>
            </w:r>
            <w:r w:rsidR="00A31F42">
              <w:rPr>
                <w:webHidden/>
              </w:rPr>
              <w:tab/>
            </w:r>
            <w:r w:rsidR="00A31F42">
              <w:rPr>
                <w:webHidden/>
              </w:rPr>
              <w:fldChar w:fldCharType="begin"/>
            </w:r>
            <w:r w:rsidR="00A31F42">
              <w:rPr>
                <w:webHidden/>
              </w:rPr>
              <w:instrText xml:space="preserve"> PAGEREF _Toc511288058 \h </w:instrText>
            </w:r>
            <w:r w:rsidR="00A31F42">
              <w:rPr>
                <w:webHidden/>
              </w:rPr>
            </w:r>
            <w:r w:rsidR="00A31F42">
              <w:rPr>
                <w:webHidden/>
              </w:rPr>
              <w:fldChar w:fldCharType="separate"/>
            </w:r>
            <w:r w:rsidR="001A3D9E">
              <w:rPr>
                <w:webHidden/>
              </w:rPr>
              <w:t>6</w:t>
            </w:r>
            <w:r w:rsidR="00A31F42">
              <w:rPr>
                <w:webHidden/>
              </w:rPr>
              <w:fldChar w:fldCharType="end"/>
            </w:r>
          </w:hyperlink>
        </w:p>
        <w:p w:rsidR="00A31F42" w:rsidRDefault="00B96D6D">
          <w:pPr>
            <w:pStyle w:val="Sumrio1"/>
            <w:rPr>
              <w:rFonts w:asciiTheme="minorHAnsi" w:eastAsiaTheme="minorEastAsia" w:hAnsiTheme="minorHAnsi" w:cstheme="minorBidi"/>
              <w:sz w:val="22"/>
              <w:szCs w:val="22"/>
              <w:lang w:eastAsia="pt-BR"/>
            </w:rPr>
          </w:pPr>
          <w:hyperlink w:anchor="_Toc511288059" w:history="1">
            <w:r w:rsidR="00A31F42" w:rsidRPr="004920CF">
              <w:rPr>
                <w:rStyle w:val="Hyperlink"/>
              </w:rPr>
              <w:t>2</w:t>
            </w:r>
            <w:r w:rsidR="00A31F42">
              <w:rPr>
                <w:rFonts w:asciiTheme="minorHAnsi" w:eastAsiaTheme="minorEastAsia" w:hAnsiTheme="minorHAnsi" w:cstheme="minorBidi"/>
                <w:sz w:val="22"/>
                <w:szCs w:val="22"/>
                <w:lang w:eastAsia="pt-BR"/>
              </w:rPr>
              <w:tab/>
            </w:r>
            <w:r w:rsidR="00A31F42" w:rsidRPr="004920CF">
              <w:rPr>
                <w:rStyle w:val="Hyperlink"/>
              </w:rPr>
              <w:t>ACHADOS DE AUDITORIA</w:t>
            </w:r>
            <w:r w:rsidR="00A31F42">
              <w:rPr>
                <w:webHidden/>
              </w:rPr>
              <w:tab/>
            </w:r>
            <w:r w:rsidR="00A31F42">
              <w:rPr>
                <w:webHidden/>
              </w:rPr>
              <w:fldChar w:fldCharType="begin"/>
            </w:r>
            <w:r w:rsidR="00A31F42">
              <w:rPr>
                <w:webHidden/>
              </w:rPr>
              <w:instrText xml:space="preserve"> PAGEREF _Toc511288059 \h </w:instrText>
            </w:r>
            <w:r w:rsidR="00A31F42">
              <w:rPr>
                <w:webHidden/>
              </w:rPr>
            </w:r>
            <w:r w:rsidR="00A31F42">
              <w:rPr>
                <w:webHidden/>
              </w:rPr>
              <w:fldChar w:fldCharType="separate"/>
            </w:r>
            <w:r w:rsidR="001A3D9E">
              <w:rPr>
                <w:webHidden/>
              </w:rPr>
              <w:t>9</w:t>
            </w:r>
            <w:r w:rsidR="00A31F42">
              <w:rPr>
                <w:webHidden/>
              </w:rPr>
              <w:fldChar w:fldCharType="end"/>
            </w:r>
          </w:hyperlink>
        </w:p>
        <w:p w:rsidR="00A31F42" w:rsidRDefault="00B96D6D">
          <w:pPr>
            <w:pStyle w:val="Sumrio1"/>
            <w:rPr>
              <w:rFonts w:asciiTheme="minorHAnsi" w:eastAsiaTheme="minorEastAsia" w:hAnsiTheme="minorHAnsi" w:cstheme="minorBidi"/>
              <w:sz w:val="22"/>
              <w:szCs w:val="22"/>
              <w:lang w:eastAsia="pt-BR"/>
            </w:rPr>
          </w:pPr>
          <w:hyperlink w:anchor="_Toc511288067" w:history="1">
            <w:r w:rsidR="00A31F42" w:rsidRPr="004920CF">
              <w:rPr>
                <w:rStyle w:val="Hyperlink"/>
              </w:rPr>
              <w:t>3</w:t>
            </w:r>
            <w:r w:rsidR="00A31F42">
              <w:rPr>
                <w:rFonts w:asciiTheme="minorHAnsi" w:eastAsiaTheme="minorEastAsia" w:hAnsiTheme="minorHAnsi" w:cstheme="minorBidi"/>
                <w:sz w:val="22"/>
                <w:szCs w:val="22"/>
                <w:lang w:eastAsia="pt-BR"/>
              </w:rPr>
              <w:tab/>
            </w:r>
            <w:r w:rsidR="00A31F42" w:rsidRPr="007B3FB7">
              <w:rPr>
                <w:rStyle w:val="Hyperlink"/>
                <w:color w:val="000000" w:themeColor="text1"/>
              </w:rPr>
              <w:t>ACHADO NÃO DECORRENTE DO ESCOPO DA AUDITORIA</w:t>
            </w:r>
            <w:r w:rsidR="00A31F42">
              <w:rPr>
                <w:webHidden/>
              </w:rPr>
              <w:tab/>
            </w:r>
            <w:r w:rsidR="0088633B">
              <w:rPr>
                <w:webHidden/>
              </w:rPr>
              <w:t>46</w:t>
            </w:r>
          </w:hyperlink>
        </w:p>
        <w:p w:rsidR="00A31F42" w:rsidRDefault="00B96D6D">
          <w:pPr>
            <w:pStyle w:val="Sumrio1"/>
            <w:rPr>
              <w:rFonts w:asciiTheme="minorHAnsi" w:eastAsiaTheme="minorEastAsia" w:hAnsiTheme="minorHAnsi" w:cstheme="minorBidi"/>
              <w:sz w:val="22"/>
              <w:szCs w:val="22"/>
              <w:lang w:eastAsia="pt-BR"/>
            </w:rPr>
          </w:pPr>
          <w:hyperlink w:anchor="_Toc511288069" w:history="1">
            <w:r w:rsidR="00A31F42" w:rsidRPr="004920CF">
              <w:rPr>
                <w:rStyle w:val="Hyperlink"/>
              </w:rPr>
              <w:t>4</w:t>
            </w:r>
            <w:r w:rsidR="00A31F42">
              <w:rPr>
                <w:rFonts w:asciiTheme="minorHAnsi" w:eastAsiaTheme="minorEastAsia" w:hAnsiTheme="minorHAnsi" w:cstheme="minorBidi"/>
                <w:sz w:val="22"/>
                <w:szCs w:val="22"/>
                <w:lang w:eastAsia="pt-BR"/>
              </w:rPr>
              <w:tab/>
            </w:r>
            <w:r w:rsidR="00A31F42" w:rsidRPr="004920CF">
              <w:rPr>
                <w:rStyle w:val="Hyperlink"/>
              </w:rPr>
              <w:t>BOAS PRÁTICAS DE GESTÃO</w:t>
            </w:r>
            <w:r w:rsidR="00A31F42">
              <w:rPr>
                <w:webHidden/>
              </w:rPr>
              <w:tab/>
            </w:r>
            <w:r w:rsidR="0088633B">
              <w:rPr>
                <w:webHidden/>
              </w:rPr>
              <w:t>47</w:t>
            </w:r>
          </w:hyperlink>
        </w:p>
        <w:p w:rsidR="00A31F42" w:rsidRDefault="00B96D6D">
          <w:pPr>
            <w:pStyle w:val="Sumrio1"/>
            <w:rPr>
              <w:rFonts w:asciiTheme="minorHAnsi" w:eastAsiaTheme="minorEastAsia" w:hAnsiTheme="minorHAnsi" w:cstheme="minorBidi"/>
              <w:sz w:val="22"/>
              <w:szCs w:val="22"/>
              <w:lang w:eastAsia="pt-BR"/>
            </w:rPr>
          </w:pPr>
          <w:hyperlink w:anchor="_Toc511288070" w:history="1">
            <w:r w:rsidR="00A31F42" w:rsidRPr="004920CF">
              <w:rPr>
                <w:rStyle w:val="Hyperlink"/>
              </w:rPr>
              <w:t>5</w:t>
            </w:r>
            <w:r w:rsidR="00A31F42">
              <w:rPr>
                <w:rFonts w:asciiTheme="minorHAnsi" w:eastAsiaTheme="minorEastAsia" w:hAnsiTheme="minorHAnsi" w:cstheme="minorBidi"/>
                <w:sz w:val="22"/>
                <w:szCs w:val="22"/>
                <w:lang w:eastAsia="pt-BR"/>
              </w:rPr>
              <w:tab/>
            </w:r>
            <w:r w:rsidR="00A31F42" w:rsidRPr="004920CF">
              <w:rPr>
                <w:rStyle w:val="Hyperlink"/>
              </w:rPr>
              <w:t>CONCLUSÕES</w:t>
            </w:r>
            <w:r w:rsidR="00A31F42">
              <w:rPr>
                <w:webHidden/>
              </w:rPr>
              <w:tab/>
            </w:r>
            <w:r w:rsidR="0088633B">
              <w:rPr>
                <w:webHidden/>
              </w:rPr>
              <w:t>47</w:t>
            </w:r>
          </w:hyperlink>
        </w:p>
        <w:p w:rsidR="00A31F42" w:rsidRDefault="00B96D6D">
          <w:pPr>
            <w:pStyle w:val="Sumrio1"/>
            <w:rPr>
              <w:rFonts w:asciiTheme="minorHAnsi" w:eastAsiaTheme="minorEastAsia" w:hAnsiTheme="minorHAnsi" w:cstheme="minorBidi"/>
              <w:sz w:val="22"/>
              <w:szCs w:val="22"/>
              <w:lang w:eastAsia="pt-BR"/>
            </w:rPr>
          </w:pPr>
          <w:hyperlink w:anchor="_Toc511288071" w:history="1">
            <w:r w:rsidR="00A31F42" w:rsidRPr="004920CF">
              <w:rPr>
                <w:rStyle w:val="Hyperlink"/>
              </w:rPr>
              <w:t>6</w:t>
            </w:r>
            <w:r w:rsidR="00A31F42">
              <w:rPr>
                <w:rFonts w:asciiTheme="minorHAnsi" w:eastAsiaTheme="minorEastAsia" w:hAnsiTheme="minorHAnsi" w:cstheme="minorBidi"/>
                <w:sz w:val="22"/>
                <w:szCs w:val="22"/>
                <w:lang w:eastAsia="pt-BR"/>
              </w:rPr>
              <w:tab/>
            </w:r>
            <w:r w:rsidR="00A31F42" w:rsidRPr="004920CF">
              <w:rPr>
                <w:rStyle w:val="Hyperlink"/>
              </w:rPr>
              <w:t>PROPOSTAS DE ENCAMINHAMENTO</w:t>
            </w:r>
            <w:r w:rsidR="00A31F42">
              <w:rPr>
                <w:webHidden/>
              </w:rPr>
              <w:tab/>
            </w:r>
            <w:r w:rsidR="0088633B">
              <w:rPr>
                <w:webHidden/>
              </w:rPr>
              <w:t>48</w:t>
            </w:r>
          </w:hyperlink>
        </w:p>
        <w:p w:rsidR="008F1C72" w:rsidRPr="006A4542" w:rsidRDefault="008F1C72" w:rsidP="008F1C72">
          <w:r w:rsidRPr="006A4542">
            <w:rPr>
              <w:b/>
              <w:bCs/>
            </w:rPr>
            <w:fldChar w:fldCharType="end"/>
          </w:r>
        </w:p>
      </w:sdtContent>
    </w:sdt>
    <w:p w:rsidR="00D1766F" w:rsidRPr="006A4542" w:rsidRDefault="00D1766F">
      <w:pPr>
        <w:rPr>
          <w:sz w:val="24"/>
          <w:szCs w:val="24"/>
        </w:rPr>
        <w:sectPr w:rsidR="00D1766F" w:rsidRPr="006A4542" w:rsidSect="004B46F4">
          <w:headerReference w:type="default" r:id="rId16"/>
          <w:footerReference w:type="default" r:id="rId17"/>
          <w:pgSz w:w="11906" w:h="16838"/>
          <w:pgMar w:top="1532" w:right="1701" w:bottom="1701" w:left="1701" w:header="283" w:footer="181" w:gutter="0"/>
          <w:cols w:space="708"/>
          <w:docGrid w:linePitch="360"/>
        </w:sectPr>
      </w:pPr>
    </w:p>
    <w:p w:rsidR="00A76F7A" w:rsidRPr="006A4542" w:rsidRDefault="00A76F7A" w:rsidP="0080171E">
      <w:pPr>
        <w:pStyle w:val="PargrafodaLista"/>
        <w:spacing w:before="0" w:after="240"/>
        <w:ind w:left="357" w:hanging="357"/>
        <w:rPr>
          <w:sz w:val="24"/>
          <w:szCs w:val="24"/>
        </w:rPr>
      </w:pPr>
      <w:bookmarkStart w:id="11" w:name="_Toc511288058"/>
      <w:r w:rsidRPr="006A4542">
        <w:rPr>
          <w:sz w:val="24"/>
          <w:szCs w:val="24"/>
        </w:rPr>
        <w:lastRenderedPageBreak/>
        <w:t>INTRODUÇÃO</w:t>
      </w:r>
      <w:bookmarkEnd w:id="11"/>
    </w:p>
    <w:p w:rsidR="00082920" w:rsidRPr="00F54A97" w:rsidRDefault="00082920" w:rsidP="00414DB8">
      <w:pPr>
        <w:numPr>
          <w:ilvl w:val="1"/>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D</w:t>
      </w:r>
      <w:r w:rsidRPr="007C3F0D">
        <w:rPr>
          <w:rFonts w:ascii="Times New Roman" w:hAnsi="Times New Roman" w:cs="Times New Roman"/>
          <w:strike/>
          <w:color w:val="000000" w:themeColor="text1"/>
          <w:sz w:val="24"/>
          <w:szCs w:val="24"/>
        </w:rPr>
        <w:t>e</w:t>
      </w:r>
      <w:r w:rsidRPr="00F54A97">
        <w:rPr>
          <w:rFonts w:ascii="Times New Roman" w:hAnsi="Times New Roman" w:cs="Times New Roman"/>
          <w:color w:val="000000" w:themeColor="text1"/>
          <w:sz w:val="24"/>
          <w:szCs w:val="24"/>
        </w:rPr>
        <w:t>liberação originária:</w:t>
      </w:r>
    </w:p>
    <w:p w:rsidR="00160939" w:rsidRPr="00F54A97" w:rsidRDefault="00160939" w:rsidP="00160939">
      <w:pPr>
        <w:numPr>
          <w:ilvl w:val="2"/>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 xml:space="preserve">A Auditoria </w:t>
      </w:r>
      <w:r w:rsidR="008B370E" w:rsidRPr="00F54A97">
        <w:rPr>
          <w:rFonts w:ascii="Times New Roman" w:hAnsi="Times New Roman" w:cs="Times New Roman"/>
          <w:color w:val="000000" w:themeColor="text1"/>
          <w:sz w:val="24"/>
          <w:szCs w:val="24"/>
        </w:rPr>
        <w:t>de Resultados</w:t>
      </w:r>
      <w:r w:rsidR="00DC02F5">
        <w:rPr>
          <w:rFonts w:ascii="Times New Roman" w:hAnsi="Times New Roman" w:cs="Times New Roman"/>
          <w:color w:val="000000" w:themeColor="text1"/>
          <w:sz w:val="24"/>
          <w:szCs w:val="24"/>
        </w:rPr>
        <w:t xml:space="preserve"> </w:t>
      </w:r>
      <w:r w:rsidRPr="00F54A97">
        <w:rPr>
          <w:rFonts w:ascii="Times New Roman" w:hAnsi="Times New Roman" w:cs="Times New Roman"/>
          <w:color w:val="000000" w:themeColor="text1"/>
          <w:sz w:val="24"/>
          <w:szCs w:val="24"/>
        </w:rPr>
        <w:t xml:space="preserve">– Exercício 2017 </w:t>
      </w:r>
      <w:r w:rsidR="00DC02F5">
        <w:rPr>
          <w:rFonts w:ascii="Times New Roman" w:hAnsi="Times New Roman" w:cs="Times New Roman"/>
          <w:color w:val="000000" w:themeColor="text1"/>
          <w:sz w:val="24"/>
          <w:szCs w:val="24"/>
        </w:rPr>
        <w:t>restou</w:t>
      </w:r>
      <w:r w:rsidRPr="00F54A97">
        <w:rPr>
          <w:rFonts w:ascii="Times New Roman" w:hAnsi="Times New Roman" w:cs="Times New Roman"/>
          <w:color w:val="000000" w:themeColor="text1"/>
          <w:sz w:val="24"/>
          <w:szCs w:val="24"/>
        </w:rPr>
        <w:t xml:space="preserve"> previst</w:t>
      </w:r>
      <w:r w:rsidR="00F7255B" w:rsidRPr="00F54A97">
        <w:rPr>
          <w:rFonts w:ascii="Times New Roman" w:hAnsi="Times New Roman" w:cs="Times New Roman"/>
          <w:color w:val="000000" w:themeColor="text1"/>
          <w:sz w:val="24"/>
          <w:szCs w:val="24"/>
        </w:rPr>
        <w:t>a</w:t>
      </w:r>
      <w:r w:rsidRPr="00F54A97">
        <w:rPr>
          <w:rFonts w:ascii="Times New Roman" w:hAnsi="Times New Roman" w:cs="Times New Roman"/>
          <w:color w:val="000000" w:themeColor="text1"/>
          <w:sz w:val="24"/>
          <w:szCs w:val="24"/>
        </w:rPr>
        <w:t xml:space="preserve"> n</w:t>
      </w:r>
      <w:r w:rsidR="008B370E" w:rsidRPr="00F54A97">
        <w:rPr>
          <w:rFonts w:ascii="Times New Roman" w:hAnsi="Times New Roman" w:cs="Times New Roman"/>
          <w:color w:val="000000" w:themeColor="text1"/>
          <w:sz w:val="24"/>
          <w:szCs w:val="24"/>
        </w:rPr>
        <w:t xml:space="preserve">o </w:t>
      </w:r>
      <w:r w:rsidRPr="00F54A97">
        <w:rPr>
          <w:rFonts w:ascii="Times New Roman" w:hAnsi="Times New Roman" w:cs="Times New Roman"/>
          <w:color w:val="000000" w:themeColor="text1"/>
          <w:sz w:val="24"/>
          <w:szCs w:val="24"/>
        </w:rPr>
        <w:t xml:space="preserve">Plano Anual de Atividades da </w:t>
      </w:r>
      <w:r w:rsidRPr="00D70398">
        <w:rPr>
          <w:rFonts w:ascii="Times New Roman" w:hAnsi="Times New Roman" w:cs="Times New Roman"/>
          <w:sz w:val="24"/>
          <w:szCs w:val="24"/>
        </w:rPr>
        <w:t>Coordenadoria de Auditoria</w:t>
      </w:r>
      <w:r w:rsidR="00872302" w:rsidRPr="00D70398">
        <w:rPr>
          <w:rFonts w:ascii="Times New Roman" w:hAnsi="Times New Roman" w:cs="Times New Roman"/>
          <w:sz w:val="24"/>
          <w:szCs w:val="24"/>
        </w:rPr>
        <w:t xml:space="preserve"> </w:t>
      </w:r>
      <w:r w:rsidRPr="00D70398">
        <w:rPr>
          <w:rFonts w:ascii="Times New Roman" w:hAnsi="Times New Roman" w:cs="Times New Roman"/>
          <w:sz w:val="24"/>
          <w:szCs w:val="24"/>
        </w:rPr>
        <w:t>(CO</w:t>
      </w:r>
      <w:r w:rsidR="00872302" w:rsidRPr="00D70398">
        <w:rPr>
          <w:rFonts w:ascii="Times New Roman" w:hAnsi="Times New Roman" w:cs="Times New Roman"/>
          <w:sz w:val="24"/>
          <w:szCs w:val="24"/>
        </w:rPr>
        <w:t>AUD</w:t>
      </w:r>
      <w:r w:rsidRPr="00D70398">
        <w:rPr>
          <w:rFonts w:ascii="Times New Roman" w:hAnsi="Times New Roman" w:cs="Times New Roman"/>
          <w:sz w:val="24"/>
          <w:szCs w:val="24"/>
        </w:rPr>
        <w:t>) referente a 2017 (PAA2017), aprovado por meio da</w:t>
      </w:r>
      <w:r w:rsidR="0032037B" w:rsidRPr="00D70398">
        <w:rPr>
          <w:rFonts w:ascii="Times New Roman" w:hAnsi="Times New Roman" w:cs="Times New Roman"/>
          <w:sz w:val="24"/>
          <w:szCs w:val="24"/>
        </w:rPr>
        <w:t xml:space="preserve"> Portaria da Presidência do </w:t>
      </w:r>
      <w:r w:rsidR="00DC02F5" w:rsidRPr="00D70398">
        <w:rPr>
          <w:rFonts w:ascii="Times New Roman" w:hAnsi="Times New Roman" w:cs="Times New Roman"/>
          <w:sz w:val="24"/>
          <w:szCs w:val="24"/>
        </w:rPr>
        <w:t>Tribunal Regional Eleitoral da Bahia (</w:t>
      </w:r>
      <w:r w:rsidR="0032037B" w:rsidRPr="00D70398">
        <w:rPr>
          <w:rFonts w:ascii="Times New Roman" w:hAnsi="Times New Roman" w:cs="Times New Roman"/>
          <w:sz w:val="24"/>
          <w:szCs w:val="24"/>
        </w:rPr>
        <w:t>TRE-</w:t>
      </w:r>
      <w:r w:rsidRPr="00D70398">
        <w:rPr>
          <w:rFonts w:ascii="Times New Roman" w:hAnsi="Times New Roman" w:cs="Times New Roman"/>
          <w:sz w:val="24"/>
          <w:szCs w:val="24"/>
        </w:rPr>
        <w:t>BA</w:t>
      </w:r>
      <w:r w:rsidR="00DC02F5" w:rsidRPr="00D70398">
        <w:rPr>
          <w:rFonts w:ascii="Times New Roman" w:hAnsi="Times New Roman" w:cs="Times New Roman"/>
          <w:sz w:val="24"/>
          <w:szCs w:val="24"/>
        </w:rPr>
        <w:t>)</w:t>
      </w:r>
      <w:r w:rsidRPr="00D70398">
        <w:rPr>
          <w:rFonts w:ascii="Times New Roman" w:hAnsi="Times New Roman" w:cs="Times New Roman"/>
          <w:sz w:val="24"/>
          <w:szCs w:val="24"/>
        </w:rPr>
        <w:t xml:space="preserve"> nº 707, de </w:t>
      </w:r>
      <w:proofErr w:type="gramStart"/>
      <w:r w:rsidRPr="00D70398">
        <w:rPr>
          <w:rFonts w:ascii="Times New Roman" w:hAnsi="Times New Roman" w:cs="Times New Roman"/>
          <w:sz w:val="24"/>
          <w:szCs w:val="24"/>
        </w:rPr>
        <w:t>9</w:t>
      </w:r>
      <w:proofErr w:type="gramEnd"/>
      <w:r w:rsidRPr="00D70398">
        <w:rPr>
          <w:rFonts w:ascii="Times New Roman" w:hAnsi="Times New Roman" w:cs="Times New Roman"/>
          <w:sz w:val="24"/>
          <w:szCs w:val="24"/>
        </w:rPr>
        <w:t xml:space="preserve"> de dezembro de 2016, alterad</w:t>
      </w:r>
      <w:r w:rsidR="00DC02F5" w:rsidRPr="00D70398">
        <w:rPr>
          <w:rFonts w:ascii="Times New Roman" w:hAnsi="Times New Roman" w:cs="Times New Roman"/>
          <w:sz w:val="24"/>
          <w:szCs w:val="24"/>
        </w:rPr>
        <w:t>o</w:t>
      </w:r>
      <w:r w:rsidRPr="00D70398">
        <w:rPr>
          <w:rFonts w:ascii="Times New Roman" w:hAnsi="Times New Roman" w:cs="Times New Roman"/>
          <w:sz w:val="24"/>
          <w:szCs w:val="24"/>
        </w:rPr>
        <w:t xml:space="preserve"> pela Portaria nº 404</w:t>
      </w:r>
      <w:r w:rsidR="00F7255B" w:rsidRPr="00D70398">
        <w:rPr>
          <w:rFonts w:ascii="Times New Roman" w:hAnsi="Times New Roman" w:cs="Times New Roman"/>
          <w:sz w:val="24"/>
          <w:szCs w:val="24"/>
        </w:rPr>
        <w:t xml:space="preserve">, </w:t>
      </w:r>
      <w:r w:rsidRPr="00D70398">
        <w:rPr>
          <w:rFonts w:ascii="Times New Roman" w:hAnsi="Times New Roman" w:cs="Times New Roman"/>
          <w:sz w:val="24"/>
          <w:szCs w:val="24"/>
        </w:rPr>
        <w:t xml:space="preserve">de 25 de julho de 2017, </w:t>
      </w:r>
      <w:r w:rsidR="008B370E" w:rsidRPr="00D70398">
        <w:rPr>
          <w:rFonts w:ascii="Times New Roman" w:hAnsi="Times New Roman" w:cs="Times New Roman"/>
          <w:sz w:val="24"/>
          <w:szCs w:val="24"/>
        </w:rPr>
        <w:t xml:space="preserve"> </w:t>
      </w:r>
      <w:r w:rsidR="00DC02F5" w:rsidRPr="00D70398">
        <w:rPr>
          <w:rFonts w:ascii="Times New Roman" w:hAnsi="Times New Roman" w:cs="Times New Roman"/>
          <w:sz w:val="24"/>
          <w:szCs w:val="24"/>
        </w:rPr>
        <w:t xml:space="preserve">e foi </w:t>
      </w:r>
      <w:r w:rsidR="008B370E" w:rsidRPr="00D70398">
        <w:rPr>
          <w:rFonts w:ascii="Times New Roman" w:hAnsi="Times New Roman" w:cs="Times New Roman"/>
          <w:sz w:val="24"/>
          <w:szCs w:val="24"/>
        </w:rPr>
        <w:t>realizada pela Seção de Auditoria</w:t>
      </w:r>
      <w:r w:rsidR="00872302" w:rsidRPr="00D70398">
        <w:rPr>
          <w:rFonts w:ascii="Times New Roman" w:hAnsi="Times New Roman" w:cs="Times New Roman"/>
          <w:sz w:val="24"/>
          <w:szCs w:val="24"/>
        </w:rPr>
        <w:t xml:space="preserve"> de Governança e Gestão Organizacional</w:t>
      </w:r>
      <w:r w:rsidR="008B370E" w:rsidRPr="00D70398">
        <w:rPr>
          <w:rFonts w:ascii="Times New Roman" w:hAnsi="Times New Roman" w:cs="Times New Roman"/>
          <w:sz w:val="24"/>
          <w:szCs w:val="24"/>
        </w:rPr>
        <w:t xml:space="preserve"> (SE</w:t>
      </w:r>
      <w:r w:rsidR="00872302" w:rsidRPr="00D70398">
        <w:rPr>
          <w:rFonts w:ascii="Times New Roman" w:hAnsi="Times New Roman" w:cs="Times New Roman"/>
          <w:sz w:val="24"/>
          <w:szCs w:val="24"/>
        </w:rPr>
        <w:t>AGO</w:t>
      </w:r>
      <w:r w:rsidR="008B370E" w:rsidRPr="00D70398">
        <w:rPr>
          <w:rFonts w:ascii="Times New Roman" w:hAnsi="Times New Roman" w:cs="Times New Roman"/>
          <w:sz w:val="24"/>
          <w:szCs w:val="24"/>
        </w:rPr>
        <w:t xml:space="preserve">) </w:t>
      </w:r>
      <w:r w:rsidRPr="00D70398">
        <w:rPr>
          <w:rFonts w:ascii="Times New Roman" w:hAnsi="Times New Roman" w:cs="Times New Roman"/>
          <w:sz w:val="24"/>
          <w:szCs w:val="24"/>
        </w:rPr>
        <w:t>com o objetivo de avaliar</w:t>
      </w:r>
      <w:r w:rsidR="008B370E" w:rsidRPr="00D70398">
        <w:rPr>
          <w:rFonts w:ascii="Times New Roman" w:hAnsi="Times New Roman" w:cs="Times New Roman"/>
          <w:sz w:val="24"/>
          <w:szCs w:val="24"/>
        </w:rPr>
        <w:t xml:space="preserve"> a execução da estratégia do TRE-BA com foco no acompanhamento </w:t>
      </w:r>
      <w:r w:rsidR="008B370E" w:rsidRPr="00F54A97">
        <w:rPr>
          <w:rFonts w:ascii="Times New Roman" w:hAnsi="Times New Roman" w:cs="Times New Roman"/>
          <w:color w:val="000000" w:themeColor="text1"/>
          <w:sz w:val="24"/>
          <w:szCs w:val="24"/>
        </w:rPr>
        <w:t>do cumprimento das metas e objetivos organizacionais</w:t>
      </w:r>
      <w:r w:rsidRPr="00F54A97">
        <w:rPr>
          <w:rFonts w:ascii="Times New Roman" w:hAnsi="Times New Roman" w:cs="Times New Roman"/>
          <w:color w:val="000000" w:themeColor="text1"/>
          <w:sz w:val="24"/>
          <w:szCs w:val="24"/>
        </w:rPr>
        <w:t>.</w:t>
      </w:r>
    </w:p>
    <w:p w:rsidR="00160939" w:rsidRPr="00F54A97" w:rsidRDefault="00160939" w:rsidP="00160939">
      <w:pPr>
        <w:autoSpaceDE w:val="0"/>
        <w:autoSpaceDN w:val="0"/>
        <w:adjustRightInd w:val="0"/>
        <w:spacing w:after="0" w:line="240" w:lineRule="auto"/>
        <w:ind w:left="720"/>
        <w:jc w:val="both"/>
        <w:rPr>
          <w:rFonts w:ascii="Times New Roman" w:hAnsi="Times New Roman" w:cs="Times New Roman"/>
          <w:color w:val="000000" w:themeColor="text1"/>
          <w:sz w:val="24"/>
          <w:szCs w:val="24"/>
        </w:rPr>
      </w:pPr>
    </w:p>
    <w:p w:rsidR="00082920" w:rsidRPr="00F54A97" w:rsidRDefault="00082920" w:rsidP="00414DB8">
      <w:pPr>
        <w:numPr>
          <w:ilvl w:val="1"/>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Visão geral do objeto:</w:t>
      </w:r>
    </w:p>
    <w:p w:rsidR="000577D8" w:rsidRPr="00F54A97" w:rsidRDefault="00CB4A14" w:rsidP="000577D8">
      <w:pPr>
        <w:numPr>
          <w:ilvl w:val="2"/>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No âmbito do TRE-B</w:t>
      </w:r>
      <w:r w:rsidR="0032037B" w:rsidRPr="00F54A97">
        <w:rPr>
          <w:rFonts w:ascii="Times New Roman" w:hAnsi="Times New Roman" w:cs="Times New Roman"/>
          <w:color w:val="000000" w:themeColor="text1"/>
          <w:sz w:val="24"/>
          <w:szCs w:val="24"/>
        </w:rPr>
        <w:t>A</w:t>
      </w:r>
      <w:r w:rsidRPr="00F54A97">
        <w:rPr>
          <w:rFonts w:ascii="Times New Roman" w:hAnsi="Times New Roman" w:cs="Times New Roman"/>
          <w:color w:val="000000" w:themeColor="text1"/>
          <w:sz w:val="24"/>
          <w:szCs w:val="24"/>
        </w:rPr>
        <w:t xml:space="preserve">, o </w:t>
      </w:r>
      <w:r w:rsidR="00C940AE" w:rsidRPr="00F54A97">
        <w:rPr>
          <w:rFonts w:ascii="Times New Roman" w:hAnsi="Times New Roman" w:cs="Times New Roman"/>
          <w:color w:val="000000" w:themeColor="text1"/>
          <w:sz w:val="24"/>
          <w:szCs w:val="24"/>
        </w:rPr>
        <w:t>P</w:t>
      </w:r>
      <w:r w:rsidRPr="00F54A97">
        <w:rPr>
          <w:rFonts w:ascii="Times New Roman" w:hAnsi="Times New Roman" w:cs="Times New Roman"/>
          <w:color w:val="000000" w:themeColor="text1"/>
          <w:sz w:val="24"/>
          <w:szCs w:val="24"/>
        </w:rPr>
        <w:t xml:space="preserve">lanejamento </w:t>
      </w:r>
      <w:r w:rsidR="00C940AE" w:rsidRPr="00F54A97">
        <w:rPr>
          <w:rFonts w:ascii="Times New Roman" w:hAnsi="Times New Roman" w:cs="Times New Roman"/>
          <w:color w:val="000000" w:themeColor="text1"/>
          <w:sz w:val="24"/>
          <w:szCs w:val="24"/>
        </w:rPr>
        <w:t>E</w:t>
      </w:r>
      <w:r w:rsidRPr="00F54A97">
        <w:rPr>
          <w:rFonts w:ascii="Times New Roman" w:hAnsi="Times New Roman" w:cs="Times New Roman"/>
          <w:color w:val="000000" w:themeColor="text1"/>
          <w:sz w:val="24"/>
          <w:szCs w:val="24"/>
        </w:rPr>
        <w:t xml:space="preserve">stratégico </w:t>
      </w:r>
      <w:r w:rsidR="00C940AE" w:rsidRPr="00F54A97">
        <w:rPr>
          <w:rFonts w:ascii="Times New Roman" w:hAnsi="Times New Roman" w:cs="Times New Roman"/>
          <w:color w:val="000000" w:themeColor="text1"/>
          <w:sz w:val="24"/>
          <w:szCs w:val="24"/>
        </w:rPr>
        <w:t>I</w:t>
      </w:r>
      <w:r w:rsidRPr="00F54A97">
        <w:rPr>
          <w:rFonts w:ascii="Times New Roman" w:hAnsi="Times New Roman" w:cs="Times New Roman"/>
          <w:color w:val="000000" w:themeColor="text1"/>
          <w:sz w:val="24"/>
          <w:szCs w:val="24"/>
        </w:rPr>
        <w:t xml:space="preserve">nstitucional </w:t>
      </w:r>
      <w:r w:rsidR="00BA358D" w:rsidRPr="00F54A97">
        <w:rPr>
          <w:rFonts w:ascii="Times New Roman" w:hAnsi="Times New Roman" w:cs="Times New Roman"/>
          <w:color w:val="000000" w:themeColor="text1"/>
          <w:sz w:val="24"/>
          <w:szCs w:val="24"/>
        </w:rPr>
        <w:t xml:space="preserve">(PEI) </w:t>
      </w:r>
      <w:r w:rsidRPr="00F54A97">
        <w:rPr>
          <w:rFonts w:ascii="Times New Roman" w:hAnsi="Times New Roman" w:cs="Times New Roman"/>
          <w:color w:val="000000" w:themeColor="text1"/>
          <w:sz w:val="24"/>
          <w:szCs w:val="24"/>
        </w:rPr>
        <w:t>para o período 2016-2021 foi aprovado pela Resolução</w:t>
      </w:r>
      <w:r w:rsidR="00BA358D" w:rsidRPr="00F54A97">
        <w:rPr>
          <w:rFonts w:ascii="Times New Roman" w:hAnsi="Times New Roman" w:cs="Times New Roman"/>
          <w:color w:val="000000" w:themeColor="text1"/>
          <w:sz w:val="24"/>
          <w:szCs w:val="24"/>
        </w:rPr>
        <w:t xml:space="preserve"> Administrativa</w:t>
      </w:r>
      <w:r w:rsidRPr="00F54A97">
        <w:rPr>
          <w:rFonts w:ascii="Times New Roman" w:hAnsi="Times New Roman" w:cs="Times New Roman"/>
          <w:color w:val="000000" w:themeColor="text1"/>
          <w:sz w:val="24"/>
          <w:szCs w:val="24"/>
        </w:rPr>
        <w:t xml:space="preserve"> nº 14</w:t>
      </w:r>
      <w:r w:rsidR="00DC02F5">
        <w:rPr>
          <w:rFonts w:ascii="Times New Roman" w:hAnsi="Times New Roman" w:cs="Times New Roman"/>
          <w:color w:val="000000" w:themeColor="text1"/>
          <w:sz w:val="24"/>
          <w:szCs w:val="24"/>
        </w:rPr>
        <w:t xml:space="preserve">, de 14 de dezembro de </w:t>
      </w:r>
      <w:r w:rsidRPr="00F54A97">
        <w:rPr>
          <w:rFonts w:ascii="Times New Roman" w:hAnsi="Times New Roman" w:cs="Times New Roman"/>
          <w:color w:val="000000" w:themeColor="text1"/>
          <w:sz w:val="24"/>
          <w:szCs w:val="24"/>
        </w:rPr>
        <w:t xml:space="preserve">2015. A Coordenadoria de Planejamento, Estratégia e Gestão </w:t>
      </w:r>
      <w:r w:rsidR="00BA358D"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COPEG</w:t>
      </w:r>
      <w:r w:rsidR="00BA358D"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é a unidade responsável </w:t>
      </w:r>
      <w:r w:rsidR="00C940AE" w:rsidRPr="00F54A97">
        <w:rPr>
          <w:rFonts w:ascii="Times New Roman" w:hAnsi="Times New Roman" w:cs="Times New Roman"/>
          <w:color w:val="000000" w:themeColor="text1"/>
          <w:sz w:val="24"/>
          <w:szCs w:val="24"/>
        </w:rPr>
        <w:t xml:space="preserve">por </w:t>
      </w:r>
      <w:proofErr w:type="gramStart"/>
      <w:r w:rsidR="00C940AE" w:rsidRPr="00F54A97">
        <w:rPr>
          <w:rFonts w:ascii="Times New Roman" w:hAnsi="Times New Roman" w:cs="Times New Roman"/>
          <w:color w:val="000000" w:themeColor="text1"/>
          <w:sz w:val="24"/>
          <w:szCs w:val="24"/>
        </w:rPr>
        <w:t>implementar</w:t>
      </w:r>
      <w:proofErr w:type="gramEnd"/>
      <w:r w:rsidR="00C940AE" w:rsidRPr="00F54A97">
        <w:rPr>
          <w:rFonts w:ascii="Times New Roman" w:hAnsi="Times New Roman" w:cs="Times New Roman"/>
          <w:color w:val="000000" w:themeColor="text1"/>
          <w:sz w:val="24"/>
          <w:szCs w:val="24"/>
        </w:rPr>
        <w:t xml:space="preserve">, coordenar, operacionalizar e gerir o planejamento do Tribunal, incluindo o </w:t>
      </w:r>
      <w:r w:rsidR="00545218" w:rsidRPr="00D70398">
        <w:rPr>
          <w:rFonts w:ascii="Times New Roman" w:hAnsi="Times New Roman" w:cs="Times New Roman"/>
          <w:sz w:val="24"/>
          <w:szCs w:val="24"/>
        </w:rPr>
        <w:t>acompanhamento</w:t>
      </w:r>
      <w:r w:rsidR="00545218" w:rsidRPr="00867F91">
        <w:rPr>
          <w:rFonts w:ascii="Times New Roman" w:hAnsi="Times New Roman" w:cs="Times New Roman"/>
          <w:color w:val="000099"/>
          <w:sz w:val="24"/>
          <w:szCs w:val="24"/>
        </w:rPr>
        <w:t xml:space="preserve"> </w:t>
      </w:r>
      <w:r w:rsidR="00C940AE" w:rsidRPr="00F54A97">
        <w:rPr>
          <w:rFonts w:ascii="Times New Roman" w:hAnsi="Times New Roman" w:cs="Times New Roman"/>
          <w:color w:val="000000" w:themeColor="text1"/>
          <w:sz w:val="24"/>
          <w:szCs w:val="24"/>
        </w:rPr>
        <w:t xml:space="preserve">de projetos e </w:t>
      </w:r>
      <w:r w:rsidR="00545218">
        <w:rPr>
          <w:rFonts w:ascii="Times New Roman" w:hAnsi="Times New Roman" w:cs="Times New Roman"/>
          <w:color w:val="000000" w:themeColor="text1"/>
          <w:sz w:val="24"/>
          <w:szCs w:val="24"/>
        </w:rPr>
        <w:t xml:space="preserve">a </w:t>
      </w:r>
      <w:r w:rsidR="00C940AE" w:rsidRPr="00F54A97">
        <w:rPr>
          <w:rFonts w:ascii="Times New Roman" w:hAnsi="Times New Roman" w:cs="Times New Roman"/>
          <w:color w:val="000000" w:themeColor="text1"/>
          <w:sz w:val="24"/>
          <w:szCs w:val="24"/>
        </w:rPr>
        <w:t>avaliação do cumprimento das metas estratégicas da organização</w:t>
      </w:r>
      <w:r w:rsidR="00284EA3" w:rsidRPr="00F54A97">
        <w:rPr>
          <w:rFonts w:ascii="Times New Roman" w:hAnsi="Times New Roman" w:cs="Times New Roman"/>
          <w:color w:val="000000" w:themeColor="text1"/>
          <w:sz w:val="24"/>
          <w:szCs w:val="24"/>
        </w:rPr>
        <w:t xml:space="preserve">. A COPEG </w:t>
      </w:r>
      <w:r w:rsidR="00DC02F5" w:rsidRPr="00D70398">
        <w:rPr>
          <w:rFonts w:ascii="Times New Roman" w:hAnsi="Times New Roman" w:cs="Times New Roman"/>
          <w:sz w:val="24"/>
          <w:szCs w:val="24"/>
        </w:rPr>
        <w:t>encontra</w:t>
      </w:r>
      <w:r w:rsidR="00867F91" w:rsidRPr="00D70398">
        <w:rPr>
          <w:rFonts w:ascii="Times New Roman" w:hAnsi="Times New Roman" w:cs="Times New Roman"/>
          <w:sz w:val="24"/>
          <w:szCs w:val="24"/>
        </w:rPr>
        <w:t>va</w:t>
      </w:r>
      <w:r w:rsidR="00DC02F5" w:rsidRPr="00D70398">
        <w:rPr>
          <w:rFonts w:ascii="Times New Roman" w:hAnsi="Times New Roman" w:cs="Times New Roman"/>
          <w:sz w:val="24"/>
          <w:szCs w:val="24"/>
        </w:rPr>
        <w:t>-se</w:t>
      </w:r>
      <w:r w:rsidR="00872302" w:rsidRPr="00D70398">
        <w:rPr>
          <w:rFonts w:ascii="Times New Roman" w:hAnsi="Times New Roman" w:cs="Times New Roman"/>
          <w:sz w:val="24"/>
          <w:szCs w:val="24"/>
        </w:rPr>
        <w:t xml:space="preserve"> hierarquicamente vinculada à</w:t>
      </w:r>
      <w:r w:rsidR="00867F91" w:rsidRPr="00D70398">
        <w:rPr>
          <w:rFonts w:ascii="Times New Roman" w:hAnsi="Times New Roman" w:cs="Times New Roman"/>
          <w:sz w:val="24"/>
          <w:szCs w:val="24"/>
        </w:rPr>
        <w:t xml:space="preserve"> </w:t>
      </w:r>
      <w:r w:rsidR="006D7FC1" w:rsidRPr="00D70398">
        <w:rPr>
          <w:rFonts w:ascii="Times New Roman" w:hAnsi="Times New Roman" w:cs="Times New Roman"/>
          <w:sz w:val="24"/>
          <w:szCs w:val="24"/>
        </w:rPr>
        <w:t>Diretoria</w:t>
      </w:r>
      <w:r w:rsidR="00867F91" w:rsidRPr="00D70398">
        <w:rPr>
          <w:rFonts w:ascii="Times New Roman" w:hAnsi="Times New Roman" w:cs="Times New Roman"/>
          <w:sz w:val="24"/>
          <w:szCs w:val="24"/>
        </w:rPr>
        <w:t>-Geral, passando, contudo, a vincular-se à</w:t>
      </w:r>
      <w:r w:rsidR="00872302" w:rsidRPr="00D70398">
        <w:rPr>
          <w:rFonts w:ascii="Times New Roman" w:hAnsi="Times New Roman" w:cs="Times New Roman"/>
          <w:sz w:val="24"/>
          <w:szCs w:val="24"/>
        </w:rPr>
        <w:t xml:space="preserve"> Presidência</w:t>
      </w:r>
      <w:r w:rsidR="00284EA3" w:rsidRPr="00D70398">
        <w:rPr>
          <w:rFonts w:ascii="Times New Roman" w:hAnsi="Times New Roman" w:cs="Times New Roman"/>
          <w:sz w:val="24"/>
          <w:szCs w:val="24"/>
        </w:rPr>
        <w:t xml:space="preserve"> do Tribunal</w:t>
      </w:r>
      <w:r w:rsidR="00DC02F5">
        <w:rPr>
          <w:rFonts w:ascii="Times New Roman" w:hAnsi="Times New Roman" w:cs="Times New Roman"/>
          <w:color w:val="000000" w:themeColor="text1"/>
          <w:sz w:val="24"/>
          <w:szCs w:val="24"/>
        </w:rPr>
        <w:t>,</w:t>
      </w:r>
      <w:r w:rsidR="00284EA3" w:rsidRPr="00F54A97">
        <w:rPr>
          <w:rFonts w:ascii="Times New Roman" w:hAnsi="Times New Roman" w:cs="Times New Roman"/>
          <w:color w:val="000000" w:themeColor="text1"/>
          <w:sz w:val="24"/>
          <w:szCs w:val="24"/>
        </w:rPr>
        <w:t xml:space="preserve"> na condição de unidade de apoio </w:t>
      </w:r>
      <w:r w:rsidR="002C68C5" w:rsidRPr="00D70398">
        <w:rPr>
          <w:rFonts w:ascii="Times New Roman" w:hAnsi="Times New Roman" w:cs="Times New Roman"/>
          <w:sz w:val="24"/>
          <w:szCs w:val="24"/>
        </w:rPr>
        <w:t>à</w:t>
      </w:r>
      <w:r w:rsidR="00872302" w:rsidRPr="00D70398">
        <w:rPr>
          <w:rFonts w:ascii="Times New Roman" w:hAnsi="Times New Roman" w:cs="Times New Roman"/>
          <w:sz w:val="24"/>
          <w:szCs w:val="24"/>
        </w:rPr>
        <w:t xml:space="preserve"> Alta Administração</w:t>
      </w:r>
      <w:r w:rsidR="00545218" w:rsidRPr="00D70398">
        <w:rPr>
          <w:rFonts w:ascii="Times New Roman" w:hAnsi="Times New Roman" w:cs="Times New Roman"/>
          <w:sz w:val="24"/>
          <w:szCs w:val="24"/>
        </w:rPr>
        <w:t xml:space="preserve">, </w:t>
      </w:r>
      <w:r w:rsidR="00867F91" w:rsidRPr="00D70398">
        <w:rPr>
          <w:rFonts w:ascii="Times New Roman" w:hAnsi="Times New Roman" w:cs="Times New Roman"/>
          <w:sz w:val="24"/>
          <w:szCs w:val="24"/>
        </w:rPr>
        <w:t>a partir de</w:t>
      </w:r>
      <w:r w:rsidR="00545218" w:rsidRPr="00D70398">
        <w:rPr>
          <w:rFonts w:ascii="Times New Roman" w:hAnsi="Times New Roman" w:cs="Times New Roman"/>
          <w:sz w:val="24"/>
          <w:szCs w:val="24"/>
        </w:rPr>
        <w:t xml:space="preserve"> reestruturação administrativa processada por meio da Resolução Administrativa do TRE-BA n</w:t>
      </w:r>
      <w:r w:rsidR="00867F91" w:rsidRPr="00D70398">
        <w:rPr>
          <w:rFonts w:ascii="Times New Roman" w:hAnsi="Times New Roman" w:cs="Times New Roman"/>
          <w:sz w:val="24"/>
          <w:szCs w:val="24"/>
        </w:rPr>
        <w:t xml:space="preserve">º 12, de </w:t>
      </w:r>
      <w:r w:rsidR="00175653" w:rsidRPr="00D70398">
        <w:rPr>
          <w:rFonts w:ascii="Times New Roman" w:hAnsi="Times New Roman" w:cs="Times New Roman"/>
          <w:sz w:val="24"/>
          <w:szCs w:val="24"/>
        </w:rPr>
        <w:t>30</w:t>
      </w:r>
      <w:r w:rsidR="00867F91" w:rsidRPr="00D70398">
        <w:rPr>
          <w:rFonts w:ascii="Times New Roman" w:hAnsi="Times New Roman" w:cs="Times New Roman"/>
          <w:sz w:val="24"/>
          <w:szCs w:val="24"/>
        </w:rPr>
        <w:t xml:space="preserve"> de </w:t>
      </w:r>
      <w:r w:rsidR="00175653" w:rsidRPr="00D70398">
        <w:rPr>
          <w:rFonts w:ascii="Times New Roman" w:hAnsi="Times New Roman" w:cs="Times New Roman"/>
          <w:sz w:val="24"/>
          <w:szCs w:val="24"/>
        </w:rPr>
        <w:t>abril</w:t>
      </w:r>
      <w:r w:rsidR="00867F91" w:rsidRPr="00D70398">
        <w:rPr>
          <w:rFonts w:ascii="Times New Roman" w:hAnsi="Times New Roman" w:cs="Times New Roman"/>
          <w:sz w:val="24"/>
          <w:szCs w:val="24"/>
        </w:rPr>
        <w:t xml:space="preserve"> de 2018.</w:t>
      </w:r>
      <w:r w:rsidR="000577D8" w:rsidRPr="00D70398">
        <w:rPr>
          <w:rFonts w:ascii="Times New Roman" w:hAnsi="Times New Roman" w:cs="Times New Roman"/>
          <w:sz w:val="24"/>
          <w:szCs w:val="24"/>
        </w:rPr>
        <w:t xml:space="preserve"> </w:t>
      </w:r>
    </w:p>
    <w:p w:rsidR="00BA358D" w:rsidRDefault="00DC02F5" w:rsidP="000577D8">
      <w:pPr>
        <w:numPr>
          <w:ilvl w:val="2"/>
          <w:numId w:val="1"/>
        </w:numPr>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r w:rsidR="004B7673" w:rsidRPr="00F54A97">
        <w:rPr>
          <w:rFonts w:ascii="Times New Roman" w:hAnsi="Times New Roman" w:cs="Times New Roman"/>
          <w:color w:val="000000" w:themeColor="text1"/>
          <w:sz w:val="24"/>
          <w:szCs w:val="24"/>
        </w:rPr>
        <w:t xml:space="preserve"> </w:t>
      </w:r>
      <w:r w:rsidR="00BA358D" w:rsidRPr="00F54A97">
        <w:rPr>
          <w:rFonts w:ascii="Times New Roman" w:hAnsi="Times New Roman" w:cs="Times New Roman"/>
          <w:color w:val="000000" w:themeColor="text1"/>
          <w:sz w:val="24"/>
          <w:szCs w:val="24"/>
        </w:rPr>
        <w:t>PEI 2016-2021</w:t>
      </w:r>
      <w:r w:rsidR="004B7673" w:rsidRPr="00F54A9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definiu</w:t>
      </w:r>
      <w:r w:rsidR="004B7673" w:rsidRPr="00F54A9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m</w:t>
      </w:r>
      <w:r w:rsidR="004B7673" w:rsidRPr="00F54A97">
        <w:rPr>
          <w:rFonts w:ascii="Times New Roman" w:hAnsi="Times New Roman" w:cs="Times New Roman"/>
          <w:color w:val="000000" w:themeColor="text1"/>
          <w:sz w:val="24"/>
          <w:szCs w:val="24"/>
        </w:rPr>
        <w:t>issão</w:t>
      </w:r>
      <w:r>
        <w:rPr>
          <w:rFonts w:ascii="Times New Roman" w:hAnsi="Times New Roman" w:cs="Times New Roman"/>
          <w:color w:val="000000" w:themeColor="text1"/>
          <w:sz w:val="24"/>
          <w:szCs w:val="24"/>
        </w:rPr>
        <w:t>,</w:t>
      </w:r>
      <w:r w:rsidR="004B7673" w:rsidRPr="00F54A9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v</w:t>
      </w:r>
      <w:r w:rsidR="004B7673" w:rsidRPr="00F54A97">
        <w:rPr>
          <w:rFonts w:ascii="Times New Roman" w:hAnsi="Times New Roman" w:cs="Times New Roman"/>
          <w:color w:val="000000" w:themeColor="text1"/>
          <w:sz w:val="24"/>
          <w:szCs w:val="24"/>
        </w:rPr>
        <w:t>isão</w:t>
      </w:r>
      <w:r w:rsidR="00FB20C5" w:rsidRPr="00F54A97">
        <w:rPr>
          <w:rFonts w:ascii="Times New Roman" w:hAnsi="Times New Roman" w:cs="Times New Roman"/>
          <w:color w:val="000000" w:themeColor="text1"/>
          <w:sz w:val="24"/>
          <w:szCs w:val="24"/>
        </w:rPr>
        <w:t>, valores organizacionais e atributos de valor para a sociedade</w:t>
      </w:r>
      <w:r>
        <w:rPr>
          <w:rFonts w:ascii="Times New Roman" w:hAnsi="Times New Roman" w:cs="Times New Roman"/>
          <w:color w:val="000000" w:themeColor="text1"/>
          <w:sz w:val="24"/>
          <w:szCs w:val="24"/>
        </w:rPr>
        <w:t xml:space="preserve">, bem como 15 objetivos estratégicos a serem alcançados no </w:t>
      </w:r>
      <w:r w:rsidR="0029039C" w:rsidRPr="00D70398">
        <w:rPr>
          <w:rFonts w:ascii="Times New Roman" w:hAnsi="Times New Roman" w:cs="Times New Roman"/>
          <w:sz w:val="24"/>
          <w:szCs w:val="24"/>
        </w:rPr>
        <w:t>ciclo</w:t>
      </w:r>
      <w:r w:rsidR="0029039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de referência, sendo </w:t>
      </w:r>
      <w:proofErr w:type="gramStart"/>
      <w:r>
        <w:rPr>
          <w:rFonts w:ascii="Times New Roman" w:hAnsi="Times New Roman" w:cs="Times New Roman"/>
          <w:color w:val="000000" w:themeColor="text1"/>
          <w:sz w:val="24"/>
          <w:szCs w:val="24"/>
        </w:rPr>
        <w:t>1</w:t>
      </w:r>
      <w:proofErr w:type="gramEnd"/>
      <w:r w:rsidR="00BA358D" w:rsidRPr="00F54A97">
        <w:rPr>
          <w:rFonts w:ascii="Times New Roman" w:hAnsi="Times New Roman" w:cs="Times New Roman"/>
          <w:color w:val="000000" w:themeColor="text1"/>
          <w:sz w:val="24"/>
          <w:szCs w:val="24"/>
        </w:rPr>
        <w:t xml:space="preserve"> vinculado </w:t>
      </w:r>
      <w:r w:rsidR="00B74F1D" w:rsidRPr="00F54A97">
        <w:rPr>
          <w:rFonts w:ascii="Times New Roman" w:hAnsi="Times New Roman" w:cs="Times New Roman"/>
          <w:color w:val="000000" w:themeColor="text1"/>
          <w:sz w:val="24"/>
          <w:szCs w:val="24"/>
        </w:rPr>
        <w:t>à</w:t>
      </w:r>
      <w:r w:rsidR="00BA358D" w:rsidRPr="00F54A97">
        <w:rPr>
          <w:rFonts w:ascii="Times New Roman" w:hAnsi="Times New Roman" w:cs="Times New Roman"/>
          <w:color w:val="000000" w:themeColor="text1"/>
          <w:sz w:val="24"/>
          <w:szCs w:val="24"/>
        </w:rPr>
        <w:t xml:space="preserve"> perspectiva </w:t>
      </w:r>
      <w:r w:rsidR="004B7673" w:rsidRPr="00F54A97">
        <w:rPr>
          <w:rFonts w:ascii="Times New Roman" w:hAnsi="Times New Roman" w:cs="Times New Roman"/>
          <w:color w:val="000000" w:themeColor="text1"/>
          <w:sz w:val="24"/>
          <w:szCs w:val="24"/>
        </w:rPr>
        <w:t xml:space="preserve">“Sociedade”, </w:t>
      </w:r>
      <w:r>
        <w:rPr>
          <w:rFonts w:ascii="Times New Roman" w:hAnsi="Times New Roman" w:cs="Times New Roman"/>
          <w:color w:val="000000" w:themeColor="text1"/>
          <w:sz w:val="24"/>
          <w:szCs w:val="24"/>
        </w:rPr>
        <w:t>7</w:t>
      </w:r>
      <w:r w:rsidR="004B7673" w:rsidRPr="00F54A9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à dimensão</w:t>
      </w:r>
      <w:r w:rsidR="004B7673" w:rsidRPr="00F54A97">
        <w:rPr>
          <w:rFonts w:ascii="Times New Roman" w:hAnsi="Times New Roman" w:cs="Times New Roman"/>
          <w:color w:val="000000" w:themeColor="text1"/>
          <w:sz w:val="24"/>
          <w:szCs w:val="24"/>
        </w:rPr>
        <w:t xml:space="preserve"> “Processos Internos” e </w:t>
      </w:r>
      <w:r>
        <w:rPr>
          <w:rFonts w:ascii="Times New Roman" w:hAnsi="Times New Roman" w:cs="Times New Roman"/>
          <w:color w:val="000000" w:themeColor="text1"/>
          <w:sz w:val="24"/>
          <w:szCs w:val="24"/>
        </w:rPr>
        <w:t>7</w:t>
      </w:r>
      <w:r w:rsidR="004B7673" w:rsidRPr="00F54A9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à perspectiva</w:t>
      </w:r>
      <w:r w:rsidR="004B7673" w:rsidRPr="00F54A97">
        <w:rPr>
          <w:rFonts w:ascii="Times New Roman" w:hAnsi="Times New Roman" w:cs="Times New Roman"/>
          <w:color w:val="000000" w:themeColor="text1"/>
          <w:sz w:val="24"/>
          <w:szCs w:val="24"/>
        </w:rPr>
        <w:t xml:space="preserve"> “Aprendizado e Crescimento”. Com a finalidade de </w:t>
      </w:r>
      <w:r>
        <w:rPr>
          <w:rFonts w:ascii="Times New Roman" w:hAnsi="Times New Roman" w:cs="Times New Roman"/>
          <w:color w:val="000000" w:themeColor="text1"/>
          <w:sz w:val="24"/>
          <w:szCs w:val="24"/>
        </w:rPr>
        <w:t>monitorar o desempenho da gestão na persecução dos referidos</w:t>
      </w:r>
      <w:r w:rsidR="004B7673" w:rsidRPr="00F54A97">
        <w:rPr>
          <w:rFonts w:ascii="Times New Roman" w:hAnsi="Times New Roman" w:cs="Times New Roman"/>
          <w:color w:val="000000" w:themeColor="text1"/>
          <w:sz w:val="24"/>
          <w:szCs w:val="24"/>
        </w:rPr>
        <w:t xml:space="preserve"> objetivos foram </w:t>
      </w:r>
      <w:r>
        <w:rPr>
          <w:rFonts w:ascii="Times New Roman" w:hAnsi="Times New Roman" w:cs="Times New Roman"/>
          <w:color w:val="000000" w:themeColor="text1"/>
          <w:sz w:val="24"/>
          <w:szCs w:val="24"/>
        </w:rPr>
        <w:t>instituídos</w:t>
      </w:r>
      <w:r w:rsidR="004B7673" w:rsidRPr="00F54A97">
        <w:rPr>
          <w:rFonts w:ascii="Times New Roman" w:hAnsi="Times New Roman" w:cs="Times New Roman"/>
          <w:color w:val="000000" w:themeColor="text1"/>
          <w:sz w:val="24"/>
          <w:szCs w:val="24"/>
        </w:rPr>
        <w:t xml:space="preserve"> 29 indicadores e </w:t>
      </w:r>
      <w:r>
        <w:rPr>
          <w:rFonts w:ascii="Times New Roman" w:hAnsi="Times New Roman" w:cs="Times New Roman"/>
          <w:color w:val="000000" w:themeColor="text1"/>
          <w:sz w:val="24"/>
          <w:szCs w:val="24"/>
        </w:rPr>
        <w:t xml:space="preserve">priorizados </w:t>
      </w:r>
      <w:r w:rsidR="004B7673" w:rsidRPr="00F54A97">
        <w:rPr>
          <w:rFonts w:ascii="Times New Roman" w:hAnsi="Times New Roman" w:cs="Times New Roman"/>
          <w:color w:val="000000" w:themeColor="text1"/>
          <w:sz w:val="24"/>
          <w:szCs w:val="24"/>
        </w:rPr>
        <w:t>30 projetos estratégicos</w:t>
      </w:r>
      <w:r w:rsidR="00FB20C5" w:rsidRPr="00F54A97">
        <w:rPr>
          <w:rFonts w:ascii="Times New Roman" w:hAnsi="Times New Roman" w:cs="Times New Roman"/>
          <w:color w:val="000000" w:themeColor="text1"/>
          <w:sz w:val="24"/>
          <w:szCs w:val="24"/>
        </w:rPr>
        <w:t>.</w:t>
      </w:r>
    </w:p>
    <w:p w:rsidR="00447395" w:rsidRPr="00437350" w:rsidRDefault="00884808" w:rsidP="000577D8">
      <w:pPr>
        <w:numPr>
          <w:ilvl w:val="2"/>
          <w:numId w:val="1"/>
        </w:numPr>
        <w:spacing w:after="120" w:line="240" w:lineRule="auto"/>
        <w:jc w:val="both"/>
        <w:rPr>
          <w:rFonts w:ascii="Times New Roman" w:hAnsi="Times New Roman" w:cs="Times New Roman"/>
          <w:color w:val="000000" w:themeColor="text1"/>
          <w:sz w:val="24"/>
          <w:szCs w:val="24"/>
        </w:rPr>
      </w:pPr>
      <w:r w:rsidRPr="00437350">
        <w:rPr>
          <w:rFonts w:ascii="Times New Roman" w:hAnsi="Times New Roman" w:cs="Times New Roman"/>
          <w:color w:val="000000" w:themeColor="text1"/>
          <w:sz w:val="24"/>
          <w:szCs w:val="24"/>
        </w:rPr>
        <w:t xml:space="preserve">Paralelamente, o Comitê Gestor do </w:t>
      </w:r>
      <w:r w:rsidRPr="00D70398">
        <w:rPr>
          <w:rFonts w:ascii="Times New Roman" w:hAnsi="Times New Roman" w:cs="Times New Roman"/>
          <w:sz w:val="24"/>
          <w:szCs w:val="24"/>
        </w:rPr>
        <w:t xml:space="preserve">Planejamento Estratégico </w:t>
      </w:r>
      <w:r w:rsidRPr="00437350">
        <w:rPr>
          <w:rFonts w:ascii="Times New Roman" w:hAnsi="Times New Roman" w:cs="Times New Roman"/>
          <w:color w:val="000000" w:themeColor="text1"/>
          <w:sz w:val="24"/>
          <w:szCs w:val="24"/>
        </w:rPr>
        <w:t xml:space="preserve">(CGPE) para o período 2016-2021 foi instituído </w:t>
      </w:r>
      <w:r w:rsidR="00966E0D">
        <w:rPr>
          <w:rFonts w:ascii="Times New Roman" w:hAnsi="Times New Roman" w:cs="Times New Roman"/>
          <w:color w:val="000000" w:themeColor="text1"/>
          <w:sz w:val="24"/>
          <w:szCs w:val="24"/>
        </w:rPr>
        <w:t>por meio da</w:t>
      </w:r>
      <w:r w:rsidRPr="00437350">
        <w:rPr>
          <w:rFonts w:ascii="Times New Roman" w:hAnsi="Times New Roman" w:cs="Times New Roman"/>
          <w:color w:val="000000" w:themeColor="text1"/>
          <w:sz w:val="24"/>
          <w:szCs w:val="24"/>
        </w:rPr>
        <w:t xml:space="preserve"> Portaria da Presidência nº 331</w:t>
      </w:r>
      <w:r w:rsidR="009C6E69">
        <w:rPr>
          <w:rFonts w:ascii="Times New Roman" w:hAnsi="Times New Roman" w:cs="Times New Roman"/>
          <w:color w:val="000000" w:themeColor="text1"/>
          <w:sz w:val="24"/>
          <w:szCs w:val="24"/>
        </w:rPr>
        <w:t>,</w:t>
      </w:r>
      <w:r w:rsidRPr="00437350">
        <w:rPr>
          <w:rFonts w:ascii="Times New Roman" w:hAnsi="Times New Roman" w:cs="Times New Roman"/>
          <w:color w:val="000000" w:themeColor="text1"/>
          <w:sz w:val="24"/>
          <w:szCs w:val="24"/>
        </w:rPr>
        <w:t xml:space="preserve"> de 31 de agosto de 2015</w:t>
      </w:r>
      <w:r w:rsidR="009C6E69">
        <w:rPr>
          <w:rFonts w:ascii="Times New Roman" w:hAnsi="Times New Roman" w:cs="Times New Roman"/>
          <w:color w:val="000000" w:themeColor="text1"/>
          <w:sz w:val="24"/>
          <w:szCs w:val="24"/>
        </w:rPr>
        <w:t>,</w:t>
      </w:r>
      <w:r w:rsidRPr="00437350">
        <w:rPr>
          <w:rFonts w:ascii="Times New Roman" w:hAnsi="Times New Roman" w:cs="Times New Roman"/>
          <w:color w:val="000000" w:themeColor="text1"/>
          <w:sz w:val="24"/>
          <w:szCs w:val="24"/>
        </w:rPr>
        <w:t xml:space="preserve"> com a finalidade de acompanhar a execução </w:t>
      </w:r>
      <w:r w:rsidR="00966E0D" w:rsidRPr="00D70398">
        <w:rPr>
          <w:rFonts w:ascii="Times New Roman" w:hAnsi="Times New Roman" w:cs="Times New Roman"/>
          <w:sz w:val="24"/>
          <w:szCs w:val="24"/>
        </w:rPr>
        <w:t>da estratégia definida</w:t>
      </w:r>
      <w:r w:rsidRPr="00437350">
        <w:rPr>
          <w:rFonts w:ascii="Times New Roman" w:hAnsi="Times New Roman" w:cs="Times New Roman"/>
          <w:color w:val="000000" w:themeColor="text1"/>
          <w:sz w:val="24"/>
          <w:szCs w:val="24"/>
        </w:rPr>
        <w:t>, adotando as providências cabíveis para o cumprimento de suas metas.</w:t>
      </w:r>
      <w:r w:rsidR="00DB3A79" w:rsidRPr="00437350">
        <w:rPr>
          <w:rFonts w:ascii="Times New Roman" w:hAnsi="Times New Roman" w:cs="Times New Roman"/>
          <w:color w:val="000000" w:themeColor="text1"/>
          <w:sz w:val="24"/>
          <w:szCs w:val="24"/>
        </w:rPr>
        <w:t xml:space="preserve"> Compõem o CGPE, além do Presidente do TRE-</w:t>
      </w:r>
      <w:r w:rsidR="006F2133" w:rsidRPr="00437350">
        <w:rPr>
          <w:rFonts w:ascii="Times New Roman" w:hAnsi="Times New Roman" w:cs="Times New Roman"/>
          <w:color w:val="000000" w:themeColor="text1"/>
          <w:sz w:val="24"/>
          <w:szCs w:val="24"/>
        </w:rPr>
        <w:t>BA, o Ouvidor Regional Eleitoral</w:t>
      </w:r>
      <w:r w:rsidR="00966E0D">
        <w:rPr>
          <w:rFonts w:ascii="Times New Roman" w:hAnsi="Times New Roman" w:cs="Times New Roman"/>
          <w:color w:val="000000" w:themeColor="text1"/>
          <w:sz w:val="24"/>
          <w:szCs w:val="24"/>
        </w:rPr>
        <w:t xml:space="preserve">, </w:t>
      </w:r>
      <w:r w:rsidR="00966E0D" w:rsidRPr="00D70398">
        <w:rPr>
          <w:rFonts w:ascii="Times New Roman" w:hAnsi="Times New Roman" w:cs="Times New Roman"/>
          <w:sz w:val="24"/>
          <w:szCs w:val="24"/>
        </w:rPr>
        <w:t xml:space="preserve">os titulares da </w:t>
      </w:r>
      <w:r w:rsidR="006F2133" w:rsidRPr="00437350">
        <w:rPr>
          <w:rFonts w:ascii="Times New Roman" w:hAnsi="Times New Roman" w:cs="Times New Roman"/>
          <w:color w:val="000000" w:themeColor="text1"/>
          <w:sz w:val="24"/>
          <w:szCs w:val="24"/>
        </w:rPr>
        <w:t>Dire</w:t>
      </w:r>
      <w:r w:rsidR="00175653" w:rsidRPr="00D70398">
        <w:rPr>
          <w:rFonts w:ascii="Times New Roman" w:hAnsi="Times New Roman" w:cs="Times New Roman"/>
          <w:sz w:val="24"/>
          <w:szCs w:val="24"/>
        </w:rPr>
        <w:t>toria</w:t>
      </w:r>
      <w:r w:rsidR="006F2133" w:rsidRPr="00437350">
        <w:rPr>
          <w:rFonts w:ascii="Times New Roman" w:hAnsi="Times New Roman" w:cs="Times New Roman"/>
          <w:color w:val="000000" w:themeColor="text1"/>
          <w:sz w:val="24"/>
          <w:szCs w:val="24"/>
        </w:rPr>
        <w:t>-Geral;</w:t>
      </w:r>
      <w:r w:rsidR="00DB3A79" w:rsidRPr="00437350">
        <w:rPr>
          <w:rFonts w:ascii="Times New Roman" w:hAnsi="Times New Roman" w:cs="Times New Roman"/>
          <w:color w:val="000000" w:themeColor="text1"/>
          <w:sz w:val="24"/>
          <w:szCs w:val="24"/>
        </w:rPr>
        <w:t xml:space="preserve"> </w:t>
      </w:r>
      <w:r w:rsidR="00966E0D" w:rsidRPr="00D70398">
        <w:rPr>
          <w:rFonts w:ascii="Times New Roman" w:hAnsi="Times New Roman" w:cs="Times New Roman"/>
          <w:sz w:val="24"/>
          <w:szCs w:val="24"/>
        </w:rPr>
        <w:t>d</w:t>
      </w:r>
      <w:r w:rsidR="00DB3A79" w:rsidRPr="00D70398">
        <w:rPr>
          <w:rFonts w:ascii="Times New Roman" w:hAnsi="Times New Roman" w:cs="Times New Roman"/>
          <w:sz w:val="24"/>
          <w:szCs w:val="24"/>
        </w:rPr>
        <w:t>a As</w:t>
      </w:r>
      <w:r w:rsidR="006F2133" w:rsidRPr="00D70398">
        <w:rPr>
          <w:rFonts w:ascii="Times New Roman" w:hAnsi="Times New Roman" w:cs="Times New Roman"/>
          <w:sz w:val="24"/>
          <w:szCs w:val="24"/>
        </w:rPr>
        <w:t>sessor</w:t>
      </w:r>
      <w:r w:rsidR="00966E0D" w:rsidRPr="00D70398">
        <w:rPr>
          <w:rFonts w:ascii="Times New Roman" w:hAnsi="Times New Roman" w:cs="Times New Roman"/>
          <w:sz w:val="24"/>
          <w:szCs w:val="24"/>
        </w:rPr>
        <w:t>i</w:t>
      </w:r>
      <w:r w:rsidR="006F2133" w:rsidRPr="00D70398">
        <w:rPr>
          <w:rFonts w:ascii="Times New Roman" w:hAnsi="Times New Roman" w:cs="Times New Roman"/>
          <w:sz w:val="24"/>
          <w:szCs w:val="24"/>
        </w:rPr>
        <w:t>a Especial da Presidência;</w:t>
      </w:r>
      <w:r w:rsidR="00DB3A79" w:rsidRPr="00D70398">
        <w:rPr>
          <w:rFonts w:ascii="Times New Roman" w:hAnsi="Times New Roman" w:cs="Times New Roman"/>
          <w:sz w:val="24"/>
          <w:szCs w:val="24"/>
        </w:rPr>
        <w:t xml:space="preserve"> </w:t>
      </w:r>
      <w:r w:rsidR="00966E0D" w:rsidRPr="00D70398">
        <w:rPr>
          <w:rFonts w:ascii="Times New Roman" w:hAnsi="Times New Roman" w:cs="Times New Roman"/>
          <w:sz w:val="24"/>
          <w:szCs w:val="24"/>
        </w:rPr>
        <w:t>d</w:t>
      </w:r>
      <w:r w:rsidR="00DB3A79" w:rsidRPr="00D70398">
        <w:rPr>
          <w:rFonts w:ascii="Times New Roman" w:hAnsi="Times New Roman" w:cs="Times New Roman"/>
          <w:sz w:val="24"/>
          <w:szCs w:val="24"/>
        </w:rPr>
        <w:t>a Asse</w:t>
      </w:r>
      <w:r w:rsidR="006F2133" w:rsidRPr="00D70398">
        <w:rPr>
          <w:rFonts w:ascii="Times New Roman" w:hAnsi="Times New Roman" w:cs="Times New Roman"/>
          <w:sz w:val="24"/>
          <w:szCs w:val="24"/>
        </w:rPr>
        <w:t>ssor</w:t>
      </w:r>
      <w:r w:rsidR="00966E0D" w:rsidRPr="00D70398">
        <w:rPr>
          <w:rFonts w:ascii="Times New Roman" w:hAnsi="Times New Roman" w:cs="Times New Roman"/>
          <w:sz w:val="24"/>
          <w:szCs w:val="24"/>
        </w:rPr>
        <w:t>i</w:t>
      </w:r>
      <w:r w:rsidR="006F2133" w:rsidRPr="00D70398">
        <w:rPr>
          <w:rFonts w:ascii="Times New Roman" w:hAnsi="Times New Roman" w:cs="Times New Roman"/>
          <w:sz w:val="24"/>
          <w:szCs w:val="24"/>
        </w:rPr>
        <w:t>a Especial da Dire</w:t>
      </w:r>
      <w:r w:rsidR="00175653" w:rsidRPr="00D70398">
        <w:rPr>
          <w:rFonts w:ascii="Times New Roman" w:hAnsi="Times New Roman" w:cs="Times New Roman"/>
          <w:sz w:val="24"/>
          <w:szCs w:val="24"/>
        </w:rPr>
        <w:t>toria</w:t>
      </w:r>
      <w:r w:rsidR="006F2133" w:rsidRPr="00D70398">
        <w:rPr>
          <w:rFonts w:ascii="Times New Roman" w:hAnsi="Times New Roman" w:cs="Times New Roman"/>
          <w:sz w:val="24"/>
          <w:szCs w:val="24"/>
        </w:rPr>
        <w:t>-Geral;</w:t>
      </w:r>
      <w:r w:rsidR="001A126F" w:rsidRPr="00D70398">
        <w:rPr>
          <w:rFonts w:ascii="Times New Roman" w:hAnsi="Times New Roman" w:cs="Times New Roman"/>
          <w:sz w:val="24"/>
          <w:szCs w:val="24"/>
        </w:rPr>
        <w:t xml:space="preserve"> </w:t>
      </w:r>
      <w:r w:rsidR="00966E0D" w:rsidRPr="00D70398">
        <w:rPr>
          <w:rFonts w:ascii="Times New Roman" w:hAnsi="Times New Roman" w:cs="Times New Roman"/>
          <w:sz w:val="24"/>
          <w:szCs w:val="24"/>
        </w:rPr>
        <w:t>das</w:t>
      </w:r>
      <w:r w:rsidR="001A126F" w:rsidRPr="00D70398">
        <w:rPr>
          <w:rFonts w:ascii="Times New Roman" w:hAnsi="Times New Roman" w:cs="Times New Roman"/>
          <w:sz w:val="24"/>
          <w:szCs w:val="24"/>
        </w:rPr>
        <w:t xml:space="preserve"> Secret</w:t>
      </w:r>
      <w:r w:rsidR="00966E0D" w:rsidRPr="00D70398">
        <w:rPr>
          <w:rFonts w:ascii="Times New Roman" w:hAnsi="Times New Roman" w:cs="Times New Roman"/>
          <w:sz w:val="24"/>
          <w:szCs w:val="24"/>
        </w:rPr>
        <w:t>arias</w:t>
      </w:r>
      <w:r w:rsidR="00DB3A79" w:rsidRPr="00D70398">
        <w:rPr>
          <w:rFonts w:ascii="Times New Roman" w:hAnsi="Times New Roman" w:cs="Times New Roman"/>
          <w:sz w:val="24"/>
          <w:szCs w:val="24"/>
        </w:rPr>
        <w:t xml:space="preserve"> da Corregedoria </w:t>
      </w:r>
      <w:r w:rsidR="00DB3A79" w:rsidRPr="00437350">
        <w:rPr>
          <w:rFonts w:ascii="Times New Roman" w:hAnsi="Times New Roman" w:cs="Times New Roman"/>
          <w:color w:val="000000" w:themeColor="text1"/>
          <w:sz w:val="24"/>
          <w:szCs w:val="24"/>
        </w:rPr>
        <w:t>Regional Eleitora</w:t>
      </w:r>
      <w:r w:rsidR="006F2133" w:rsidRPr="00437350">
        <w:rPr>
          <w:rFonts w:ascii="Times New Roman" w:hAnsi="Times New Roman" w:cs="Times New Roman"/>
          <w:color w:val="000000" w:themeColor="text1"/>
          <w:sz w:val="24"/>
          <w:szCs w:val="24"/>
        </w:rPr>
        <w:t>l;</w:t>
      </w:r>
      <w:r w:rsidR="00DB3A79" w:rsidRPr="00437350">
        <w:rPr>
          <w:rFonts w:ascii="Times New Roman" w:hAnsi="Times New Roman" w:cs="Times New Roman"/>
          <w:color w:val="000000" w:themeColor="text1"/>
          <w:sz w:val="24"/>
          <w:szCs w:val="24"/>
        </w:rPr>
        <w:t xml:space="preserve"> d</w:t>
      </w:r>
      <w:r w:rsidR="006F2133" w:rsidRPr="00437350">
        <w:rPr>
          <w:rFonts w:ascii="Times New Roman" w:hAnsi="Times New Roman" w:cs="Times New Roman"/>
          <w:color w:val="000000" w:themeColor="text1"/>
          <w:sz w:val="24"/>
          <w:szCs w:val="24"/>
        </w:rPr>
        <w:t>e Gestão de Serviços, de Gestão Administrativa, de Gestão de Pessoas, Judiciária, de Orçamento, Finanças e Contabilidade, de Tecnologia da Informação, de Auditoria</w:t>
      </w:r>
      <w:r w:rsidR="00966E0D">
        <w:rPr>
          <w:rFonts w:ascii="Times New Roman" w:hAnsi="Times New Roman" w:cs="Times New Roman"/>
          <w:color w:val="000000" w:themeColor="text1"/>
          <w:sz w:val="24"/>
          <w:szCs w:val="24"/>
        </w:rPr>
        <w:t xml:space="preserve"> </w:t>
      </w:r>
      <w:r w:rsidR="00966E0D" w:rsidRPr="00D70398">
        <w:rPr>
          <w:rFonts w:ascii="Times New Roman" w:hAnsi="Times New Roman" w:cs="Times New Roman"/>
          <w:sz w:val="24"/>
          <w:szCs w:val="24"/>
        </w:rPr>
        <w:t>Interna</w:t>
      </w:r>
      <w:r w:rsidR="006F2133" w:rsidRPr="00437350">
        <w:rPr>
          <w:rFonts w:ascii="Times New Roman" w:hAnsi="Times New Roman" w:cs="Times New Roman"/>
          <w:color w:val="000000" w:themeColor="text1"/>
          <w:sz w:val="24"/>
          <w:szCs w:val="24"/>
        </w:rPr>
        <w:t xml:space="preserve">; </w:t>
      </w:r>
      <w:r w:rsidR="00966E0D">
        <w:rPr>
          <w:rFonts w:ascii="Times New Roman" w:hAnsi="Times New Roman" w:cs="Times New Roman"/>
          <w:color w:val="000000" w:themeColor="text1"/>
          <w:sz w:val="24"/>
          <w:szCs w:val="24"/>
        </w:rPr>
        <w:t xml:space="preserve">e </w:t>
      </w:r>
      <w:r w:rsidR="00966E0D" w:rsidRPr="00D70398">
        <w:rPr>
          <w:rFonts w:ascii="Times New Roman" w:hAnsi="Times New Roman" w:cs="Times New Roman"/>
          <w:sz w:val="24"/>
          <w:szCs w:val="24"/>
        </w:rPr>
        <w:t>da Coordenadoria de Planejamento, Estratégia e Gestão</w:t>
      </w:r>
      <w:r w:rsidR="00966E0D">
        <w:rPr>
          <w:rFonts w:ascii="Times New Roman" w:hAnsi="Times New Roman" w:cs="Times New Roman"/>
          <w:color w:val="000000" w:themeColor="text1"/>
          <w:sz w:val="24"/>
          <w:szCs w:val="24"/>
        </w:rPr>
        <w:t xml:space="preserve">; </w:t>
      </w:r>
      <w:r w:rsidR="006F2133" w:rsidRPr="00437350">
        <w:rPr>
          <w:rFonts w:ascii="Times New Roman" w:hAnsi="Times New Roman" w:cs="Times New Roman"/>
          <w:color w:val="000000" w:themeColor="text1"/>
          <w:sz w:val="24"/>
          <w:szCs w:val="24"/>
        </w:rPr>
        <w:t>o Presidente da Comissão Especial de Servidores do Interior do Estado; o Presidente da Comissão de Chefes d</w:t>
      </w:r>
      <w:r w:rsidR="001A126F">
        <w:rPr>
          <w:rFonts w:ascii="Times New Roman" w:hAnsi="Times New Roman" w:cs="Times New Roman"/>
          <w:color w:val="000000" w:themeColor="text1"/>
          <w:sz w:val="24"/>
          <w:szCs w:val="24"/>
        </w:rPr>
        <w:t xml:space="preserve">e Cartório da Capital; cinco </w:t>
      </w:r>
      <w:r w:rsidR="001A126F">
        <w:rPr>
          <w:rFonts w:ascii="Times New Roman" w:hAnsi="Times New Roman" w:cs="Times New Roman"/>
          <w:color w:val="000000" w:themeColor="text1"/>
          <w:sz w:val="24"/>
          <w:szCs w:val="24"/>
        </w:rPr>
        <w:lastRenderedPageBreak/>
        <w:t>juí</w:t>
      </w:r>
      <w:r w:rsidR="001A126F" w:rsidRPr="00437350">
        <w:rPr>
          <w:rFonts w:ascii="Times New Roman" w:hAnsi="Times New Roman" w:cs="Times New Roman"/>
          <w:color w:val="000000" w:themeColor="text1"/>
          <w:sz w:val="24"/>
          <w:szCs w:val="24"/>
        </w:rPr>
        <w:t>zes</w:t>
      </w:r>
      <w:r w:rsidR="006F2133" w:rsidRPr="00437350">
        <w:rPr>
          <w:rFonts w:ascii="Times New Roman" w:hAnsi="Times New Roman" w:cs="Times New Roman"/>
          <w:color w:val="000000" w:themeColor="text1"/>
          <w:sz w:val="24"/>
          <w:szCs w:val="24"/>
        </w:rPr>
        <w:t xml:space="preserve"> de 1º grau; e um servidor efetivo do TRE-BA. A presidência do Comitê gestor é de responsabilidade do Presidente do Tribunal. </w:t>
      </w:r>
      <w:r w:rsidR="00DB3A79" w:rsidRPr="00437350">
        <w:rPr>
          <w:rFonts w:ascii="Times New Roman" w:hAnsi="Times New Roman" w:cs="Times New Roman"/>
          <w:color w:val="000000" w:themeColor="text1"/>
          <w:sz w:val="24"/>
          <w:szCs w:val="24"/>
        </w:rPr>
        <w:t xml:space="preserve">   </w:t>
      </w:r>
      <w:r w:rsidRPr="00437350">
        <w:rPr>
          <w:rFonts w:ascii="Times New Roman" w:hAnsi="Times New Roman" w:cs="Times New Roman"/>
          <w:color w:val="000000" w:themeColor="text1"/>
          <w:sz w:val="24"/>
          <w:szCs w:val="24"/>
        </w:rPr>
        <w:t xml:space="preserve">  </w:t>
      </w:r>
    </w:p>
    <w:p w:rsidR="0020259F" w:rsidRPr="00F54A97" w:rsidRDefault="00284EA3" w:rsidP="0020259F">
      <w:pPr>
        <w:numPr>
          <w:ilvl w:val="2"/>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 xml:space="preserve">Entre as principais atividades </w:t>
      </w:r>
      <w:r w:rsidR="00DC02F5">
        <w:rPr>
          <w:rFonts w:ascii="Times New Roman" w:hAnsi="Times New Roman" w:cs="Times New Roman"/>
          <w:color w:val="000000" w:themeColor="text1"/>
          <w:sz w:val="24"/>
          <w:szCs w:val="24"/>
        </w:rPr>
        <w:t>desenvolvidas ao longo d</w:t>
      </w:r>
      <w:r w:rsidRPr="00F54A97">
        <w:rPr>
          <w:rFonts w:ascii="Times New Roman" w:hAnsi="Times New Roman" w:cs="Times New Roman"/>
          <w:color w:val="000000" w:themeColor="text1"/>
          <w:sz w:val="24"/>
          <w:szCs w:val="24"/>
        </w:rPr>
        <w:t xml:space="preserve">o processo de formulação do planejamento estratégico identificam-se: elaboração da estratégica com a identificação dos pontos fortes e fracos, oportunidades e ameaças </w:t>
      </w:r>
      <w:r w:rsidR="00DC02F5">
        <w:rPr>
          <w:rFonts w:ascii="Times New Roman" w:hAnsi="Times New Roman" w:cs="Times New Roman"/>
          <w:color w:val="000000" w:themeColor="text1"/>
          <w:sz w:val="24"/>
          <w:szCs w:val="24"/>
        </w:rPr>
        <w:t xml:space="preserve">advindos </w:t>
      </w:r>
      <w:r w:rsidRPr="00F54A97">
        <w:rPr>
          <w:rFonts w:ascii="Times New Roman" w:hAnsi="Times New Roman" w:cs="Times New Roman"/>
          <w:color w:val="000000" w:themeColor="text1"/>
          <w:sz w:val="24"/>
          <w:szCs w:val="24"/>
        </w:rPr>
        <w:t>do ambiente</w:t>
      </w:r>
      <w:r w:rsidR="00BA358D" w:rsidRPr="00F54A97">
        <w:rPr>
          <w:rFonts w:ascii="Times New Roman" w:hAnsi="Times New Roman" w:cs="Times New Roman"/>
          <w:color w:val="000000" w:themeColor="text1"/>
          <w:sz w:val="24"/>
          <w:szCs w:val="24"/>
        </w:rPr>
        <w:t xml:space="preserve"> interno e externo</w:t>
      </w:r>
      <w:r w:rsidRPr="00F54A97">
        <w:rPr>
          <w:rFonts w:ascii="Times New Roman" w:hAnsi="Times New Roman" w:cs="Times New Roman"/>
          <w:color w:val="000000" w:themeColor="text1"/>
          <w:sz w:val="24"/>
          <w:szCs w:val="24"/>
        </w:rPr>
        <w:t xml:space="preserve"> em que a organização está inserida; identificação de demandas estratégicas e definição de indicadores e metas; divulgação do plano institucional e desdobramento</w:t>
      </w:r>
      <w:r w:rsidR="00DC02F5">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nas unidades da organização;</w:t>
      </w:r>
      <w:r w:rsidR="00DC02F5">
        <w:rPr>
          <w:rFonts w:ascii="Times New Roman" w:hAnsi="Times New Roman" w:cs="Times New Roman"/>
          <w:color w:val="000000" w:themeColor="text1"/>
          <w:sz w:val="24"/>
          <w:szCs w:val="24"/>
        </w:rPr>
        <w:t xml:space="preserve"> monitoramento do desempenho relativamente aos indicadores e iniciativas previstos</w:t>
      </w:r>
      <w:r w:rsidR="00985DD4">
        <w:rPr>
          <w:rFonts w:ascii="Times New Roman" w:hAnsi="Times New Roman" w:cs="Times New Roman"/>
          <w:color w:val="000000" w:themeColor="text1"/>
          <w:sz w:val="24"/>
          <w:szCs w:val="24"/>
        </w:rPr>
        <w:t>; e</w:t>
      </w:r>
      <w:r w:rsidRPr="00F54A97">
        <w:rPr>
          <w:rFonts w:ascii="Times New Roman" w:hAnsi="Times New Roman" w:cs="Times New Roman"/>
          <w:color w:val="000000" w:themeColor="text1"/>
          <w:sz w:val="24"/>
          <w:szCs w:val="24"/>
        </w:rPr>
        <w:t xml:space="preserve"> realização de reuniões </w:t>
      </w:r>
      <w:r w:rsidR="00BA358D" w:rsidRPr="00F54A97">
        <w:rPr>
          <w:rFonts w:ascii="Times New Roman" w:hAnsi="Times New Roman" w:cs="Times New Roman"/>
          <w:color w:val="000000" w:themeColor="text1"/>
          <w:sz w:val="24"/>
          <w:szCs w:val="24"/>
        </w:rPr>
        <w:t>para avaliação da estratégia</w:t>
      </w:r>
      <w:r w:rsidR="00985DD4">
        <w:rPr>
          <w:rFonts w:ascii="Times New Roman" w:hAnsi="Times New Roman" w:cs="Times New Roman"/>
          <w:color w:val="000000" w:themeColor="text1"/>
          <w:sz w:val="24"/>
          <w:szCs w:val="24"/>
        </w:rPr>
        <w:t xml:space="preserve"> e proposição de ajustes necessários à asseguração dos resultados pretendidos</w:t>
      </w:r>
      <w:r w:rsidR="00BA358D"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w:t>
      </w:r>
    </w:p>
    <w:p w:rsidR="00B74F1D" w:rsidRPr="00F54A97" w:rsidRDefault="00B74F1D" w:rsidP="00B74F1D">
      <w:pPr>
        <w:numPr>
          <w:ilvl w:val="2"/>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A COPEG e as unidades gesto</w:t>
      </w:r>
      <w:r w:rsidRPr="007B3FB7">
        <w:rPr>
          <w:rFonts w:ascii="Times New Roman" w:hAnsi="Times New Roman" w:cs="Times New Roman"/>
          <w:color w:val="000000" w:themeColor="text1"/>
          <w:sz w:val="24"/>
          <w:szCs w:val="24"/>
        </w:rPr>
        <w:t>r</w:t>
      </w:r>
      <w:r w:rsidR="001A126F" w:rsidRPr="007B3FB7">
        <w:rPr>
          <w:rFonts w:ascii="Times New Roman" w:hAnsi="Times New Roman" w:cs="Times New Roman"/>
          <w:color w:val="000000" w:themeColor="text1"/>
          <w:sz w:val="24"/>
          <w:szCs w:val="24"/>
        </w:rPr>
        <w:t>a</w:t>
      </w:r>
      <w:r w:rsidRPr="007B3FB7">
        <w:rPr>
          <w:rFonts w:ascii="Times New Roman" w:hAnsi="Times New Roman" w:cs="Times New Roman"/>
          <w:color w:val="000000" w:themeColor="text1"/>
          <w:sz w:val="24"/>
          <w:szCs w:val="24"/>
        </w:rPr>
        <w:t>s</w:t>
      </w:r>
      <w:r w:rsidRPr="00F54A97">
        <w:rPr>
          <w:rFonts w:ascii="Times New Roman" w:hAnsi="Times New Roman" w:cs="Times New Roman"/>
          <w:color w:val="000000" w:themeColor="text1"/>
          <w:sz w:val="24"/>
          <w:szCs w:val="24"/>
        </w:rPr>
        <w:t xml:space="preserve"> dos indicadores e projetos estratégicos utilizam o sistema de Gestão de Planejamento Estratégico (GEPLANES)</w:t>
      </w:r>
      <w:r w:rsidR="00985DD4">
        <w:rPr>
          <w:rFonts w:ascii="Times New Roman" w:hAnsi="Times New Roman" w:cs="Times New Roman"/>
          <w:color w:val="000000" w:themeColor="text1"/>
          <w:sz w:val="24"/>
          <w:szCs w:val="24"/>
        </w:rPr>
        <w:t xml:space="preserve"> </w:t>
      </w:r>
      <w:r w:rsidRPr="00F54A97">
        <w:rPr>
          <w:rFonts w:ascii="Times New Roman" w:hAnsi="Times New Roman" w:cs="Times New Roman"/>
          <w:color w:val="000000" w:themeColor="text1"/>
          <w:sz w:val="24"/>
          <w:szCs w:val="24"/>
        </w:rPr>
        <w:t xml:space="preserve">para viabilizar o acompanhamento da execução da estratégica. Além disso, utilizam as seguintes ferramentas </w:t>
      </w:r>
      <w:r w:rsidR="00985DD4">
        <w:rPr>
          <w:rFonts w:ascii="Times New Roman" w:hAnsi="Times New Roman" w:cs="Times New Roman"/>
          <w:color w:val="000000" w:themeColor="text1"/>
          <w:sz w:val="24"/>
          <w:szCs w:val="24"/>
        </w:rPr>
        <w:t>informatizadas</w:t>
      </w:r>
      <w:r w:rsidRPr="00F54A97">
        <w:rPr>
          <w:rFonts w:ascii="Times New Roman" w:hAnsi="Times New Roman" w:cs="Times New Roman"/>
          <w:color w:val="000000" w:themeColor="text1"/>
          <w:sz w:val="24"/>
          <w:szCs w:val="24"/>
        </w:rPr>
        <w:t>: processadores de texto (</w:t>
      </w:r>
      <w:r w:rsidR="00985DD4" w:rsidRPr="00985DD4">
        <w:rPr>
          <w:rFonts w:ascii="Times New Roman" w:hAnsi="Times New Roman" w:cs="Times New Roman"/>
          <w:i/>
          <w:color w:val="000000" w:themeColor="text1"/>
          <w:sz w:val="24"/>
          <w:szCs w:val="24"/>
        </w:rPr>
        <w:t>Word</w:t>
      </w:r>
      <w:r w:rsidRPr="00F54A97">
        <w:rPr>
          <w:rFonts w:ascii="Times New Roman" w:hAnsi="Times New Roman" w:cs="Times New Roman"/>
          <w:color w:val="000000" w:themeColor="text1"/>
          <w:sz w:val="24"/>
          <w:szCs w:val="24"/>
        </w:rPr>
        <w:t>), planilhas de cálculo (</w:t>
      </w:r>
      <w:r w:rsidR="00985DD4" w:rsidRPr="00985DD4">
        <w:rPr>
          <w:rFonts w:ascii="Times New Roman" w:hAnsi="Times New Roman" w:cs="Times New Roman"/>
          <w:i/>
          <w:color w:val="000000" w:themeColor="text1"/>
          <w:sz w:val="24"/>
          <w:szCs w:val="24"/>
        </w:rPr>
        <w:t>Excel</w:t>
      </w:r>
      <w:r w:rsidRPr="00F54A97">
        <w:rPr>
          <w:rFonts w:ascii="Times New Roman" w:hAnsi="Times New Roman" w:cs="Times New Roman"/>
          <w:color w:val="000000" w:themeColor="text1"/>
          <w:sz w:val="24"/>
          <w:szCs w:val="24"/>
        </w:rPr>
        <w:t xml:space="preserve">), e-mail institucional e Processo Administrativo Digital (PAD).  </w:t>
      </w:r>
    </w:p>
    <w:p w:rsidR="002A4FA1" w:rsidRPr="00985DD4" w:rsidRDefault="00BA79C0" w:rsidP="0020259F">
      <w:pPr>
        <w:numPr>
          <w:ilvl w:val="2"/>
          <w:numId w:val="1"/>
        </w:numPr>
        <w:spacing w:after="120" w:line="240" w:lineRule="auto"/>
        <w:jc w:val="both"/>
        <w:rPr>
          <w:rFonts w:ascii="Times New Roman" w:hAnsi="Times New Roman" w:cs="Times New Roman"/>
          <w:i/>
          <w:color w:val="00B050"/>
          <w:sz w:val="24"/>
          <w:szCs w:val="24"/>
        </w:rPr>
      </w:pPr>
      <w:r w:rsidRPr="009527CC">
        <w:rPr>
          <w:rFonts w:ascii="Times New Roman" w:hAnsi="Times New Roman" w:cs="Times New Roman"/>
          <w:color w:val="000000" w:themeColor="text1"/>
          <w:sz w:val="24"/>
          <w:szCs w:val="24"/>
        </w:rPr>
        <w:t>O</w:t>
      </w:r>
      <w:r w:rsidR="002A4FA1" w:rsidRPr="009527CC">
        <w:rPr>
          <w:rFonts w:ascii="Times New Roman" w:hAnsi="Times New Roman" w:cs="Times New Roman"/>
          <w:color w:val="000000" w:themeColor="text1"/>
          <w:sz w:val="24"/>
          <w:szCs w:val="24"/>
        </w:rPr>
        <w:t xml:space="preserve"> escopo </w:t>
      </w:r>
      <w:r w:rsidR="002C68C5" w:rsidRPr="007B3FB7">
        <w:rPr>
          <w:rFonts w:ascii="Times New Roman" w:hAnsi="Times New Roman" w:cs="Times New Roman"/>
          <w:color w:val="000000" w:themeColor="text1"/>
          <w:sz w:val="24"/>
          <w:szCs w:val="24"/>
        </w:rPr>
        <w:t xml:space="preserve">da auditoria </w:t>
      </w:r>
      <w:r w:rsidR="002A4FA1" w:rsidRPr="009527CC">
        <w:rPr>
          <w:rFonts w:ascii="Times New Roman" w:hAnsi="Times New Roman" w:cs="Times New Roman"/>
          <w:color w:val="000000" w:themeColor="text1"/>
          <w:sz w:val="24"/>
          <w:szCs w:val="24"/>
        </w:rPr>
        <w:t xml:space="preserve">foi definido </w:t>
      </w:r>
      <w:r w:rsidR="00003884" w:rsidRPr="009527CC">
        <w:rPr>
          <w:rFonts w:ascii="Times New Roman" w:hAnsi="Times New Roman" w:cs="Times New Roman"/>
          <w:color w:val="000000" w:themeColor="text1"/>
          <w:sz w:val="24"/>
          <w:szCs w:val="24"/>
        </w:rPr>
        <w:t>levando-se em consideração a</w:t>
      </w:r>
      <w:r w:rsidR="002A4FA1" w:rsidRPr="009527CC">
        <w:rPr>
          <w:rFonts w:ascii="Times New Roman" w:hAnsi="Times New Roman" w:cs="Times New Roman"/>
          <w:color w:val="000000" w:themeColor="text1"/>
          <w:sz w:val="24"/>
          <w:szCs w:val="24"/>
        </w:rPr>
        <w:t xml:space="preserve"> identificação de oito riscos associados ao processo </w:t>
      </w:r>
      <w:r w:rsidR="00F358DD" w:rsidRPr="009527CC">
        <w:rPr>
          <w:rFonts w:ascii="Times New Roman" w:hAnsi="Times New Roman" w:cs="Times New Roman"/>
          <w:color w:val="000000" w:themeColor="text1"/>
          <w:sz w:val="24"/>
          <w:szCs w:val="24"/>
        </w:rPr>
        <w:t>avaliado</w:t>
      </w:r>
      <w:r w:rsidR="002A4FA1" w:rsidRPr="009527CC">
        <w:rPr>
          <w:rFonts w:ascii="Times New Roman" w:hAnsi="Times New Roman" w:cs="Times New Roman"/>
          <w:color w:val="000000" w:themeColor="text1"/>
          <w:sz w:val="24"/>
          <w:szCs w:val="24"/>
        </w:rPr>
        <w:t xml:space="preserve">, evidenciados em Matriz de </w:t>
      </w:r>
      <w:r w:rsidR="001A126F" w:rsidRPr="007B3FB7">
        <w:rPr>
          <w:rFonts w:ascii="Times New Roman" w:hAnsi="Times New Roman" w:cs="Times New Roman"/>
          <w:color w:val="000000" w:themeColor="text1"/>
          <w:sz w:val="24"/>
          <w:szCs w:val="24"/>
        </w:rPr>
        <w:t>I</w:t>
      </w:r>
      <w:r w:rsidR="002A4FA1" w:rsidRPr="007B3FB7">
        <w:rPr>
          <w:rFonts w:ascii="Times New Roman" w:hAnsi="Times New Roman" w:cs="Times New Roman"/>
          <w:color w:val="000000" w:themeColor="text1"/>
          <w:sz w:val="24"/>
          <w:szCs w:val="24"/>
        </w:rPr>
        <w:t>denti</w:t>
      </w:r>
      <w:r w:rsidR="002A4FA1" w:rsidRPr="009527CC">
        <w:rPr>
          <w:rFonts w:ascii="Times New Roman" w:hAnsi="Times New Roman" w:cs="Times New Roman"/>
          <w:color w:val="000000" w:themeColor="text1"/>
          <w:sz w:val="24"/>
          <w:szCs w:val="24"/>
        </w:rPr>
        <w:t xml:space="preserve">ficação de Riscos </w:t>
      </w:r>
      <w:r w:rsidR="00985DD4" w:rsidRPr="009527CC">
        <w:rPr>
          <w:rFonts w:ascii="Times New Roman" w:hAnsi="Times New Roman" w:cs="Times New Roman"/>
          <w:color w:val="000000" w:themeColor="text1"/>
          <w:sz w:val="24"/>
          <w:szCs w:val="24"/>
        </w:rPr>
        <w:t>(MIR) elaborada</w:t>
      </w:r>
      <w:r w:rsidR="002A4FA1" w:rsidRPr="009527CC">
        <w:rPr>
          <w:rFonts w:ascii="Times New Roman" w:hAnsi="Times New Roman" w:cs="Times New Roman"/>
          <w:color w:val="000000" w:themeColor="text1"/>
          <w:sz w:val="24"/>
          <w:szCs w:val="24"/>
        </w:rPr>
        <w:t xml:space="preserve"> em conjunto com a COPEG</w:t>
      </w:r>
      <w:r w:rsidR="00003884" w:rsidRPr="009527CC">
        <w:rPr>
          <w:rFonts w:ascii="Times New Roman" w:hAnsi="Times New Roman" w:cs="Times New Roman"/>
          <w:color w:val="000000" w:themeColor="text1"/>
          <w:sz w:val="24"/>
          <w:szCs w:val="24"/>
        </w:rPr>
        <w:t>.</w:t>
      </w:r>
      <w:r w:rsidR="009527CC" w:rsidRPr="009527CC">
        <w:rPr>
          <w:rFonts w:ascii="Times New Roman" w:hAnsi="Times New Roman" w:cs="Times New Roman"/>
          <w:color w:val="000000" w:themeColor="text1"/>
          <w:sz w:val="24"/>
          <w:szCs w:val="24"/>
        </w:rPr>
        <w:t xml:space="preserve"> A</w:t>
      </w:r>
      <w:r w:rsidR="002A4FA1" w:rsidRPr="009527CC">
        <w:rPr>
          <w:rFonts w:ascii="Times New Roman" w:hAnsi="Times New Roman" w:cs="Times New Roman"/>
          <w:color w:val="000000" w:themeColor="text1"/>
          <w:sz w:val="24"/>
          <w:szCs w:val="24"/>
        </w:rPr>
        <w:t xml:space="preserve"> equipe de auditoria, após identificação e avaliação dos controles</w:t>
      </w:r>
      <w:r w:rsidR="002D0D51" w:rsidRPr="009527CC">
        <w:rPr>
          <w:rFonts w:ascii="Times New Roman" w:hAnsi="Times New Roman" w:cs="Times New Roman"/>
          <w:color w:val="000000" w:themeColor="text1"/>
          <w:sz w:val="24"/>
          <w:szCs w:val="24"/>
        </w:rPr>
        <w:t xml:space="preserve">, </w:t>
      </w:r>
      <w:proofErr w:type="gramStart"/>
      <w:r w:rsidR="002D0D51" w:rsidRPr="009527CC">
        <w:rPr>
          <w:rFonts w:ascii="Times New Roman" w:hAnsi="Times New Roman" w:cs="Times New Roman"/>
          <w:color w:val="000000" w:themeColor="text1"/>
          <w:sz w:val="24"/>
          <w:szCs w:val="24"/>
        </w:rPr>
        <w:t>concluiu</w:t>
      </w:r>
      <w:proofErr w:type="gramEnd"/>
      <w:r w:rsidR="002D0D51" w:rsidRPr="009527CC">
        <w:rPr>
          <w:rFonts w:ascii="Times New Roman" w:hAnsi="Times New Roman" w:cs="Times New Roman"/>
          <w:color w:val="000000" w:themeColor="text1"/>
          <w:sz w:val="24"/>
          <w:szCs w:val="24"/>
        </w:rPr>
        <w:t xml:space="preserve"> pela existência de dois riscos residuais de nível extremo, três de nível alto, dois de nível médio e um de nível baixo</w:t>
      </w:r>
      <w:r w:rsidR="009527CC" w:rsidRPr="009527CC">
        <w:rPr>
          <w:rFonts w:ascii="Times New Roman" w:hAnsi="Times New Roman" w:cs="Times New Roman"/>
          <w:color w:val="000000" w:themeColor="text1"/>
          <w:sz w:val="24"/>
          <w:szCs w:val="24"/>
        </w:rPr>
        <w:t>.</w:t>
      </w:r>
      <w:r w:rsidR="00B74F1D" w:rsidRPr="009527CC">
        <w:rPr>
          <w:rFonts w:ascii="Times New Roman" w:hAnsi="Times New Roman" w:cs="Times New Roman"/>
          <w:color w:val="000000" w:themeColor="text1"/>
          <w:sz w:val="24"/>
          <w:szCs w:val="24"/>
        </w:rPr>
        <w:t xml:space="preserve"> </w:t>
      </w:r>
      <w:r w:rsidR="009527CC" w:rsidRPr="009527CC">
        <w:rPr>
          <w:rFonts w:ascii="Times New Roman" w:hAnsi="Times New Roman" w:cs="Times New Roman"/>
          <w:color w:val="000000" w:themeColor="text1"/>
          <w:sz w:val="24"/>
          <w:szCs w:val="24"/>
        </w:rPr>
        <w:t>C</w:t>
      </w:r>
      <w:r w:rsidR="00B74F1D" w:rsidRPr="009527CC">
        <w:rPr>
          <w:rFonts w:ascii="Times New Roman" w:hAnsi="Times New Roman" w:cs="Times New Roman"/>
          <w:color w:val="000000" w:themeColor="text1"/>
          <w:sz w:val="24"/>
          <w:szCs w:val="24"/>
        </w:rPr>
        <w:t>onsiderando a capacidade operacional da unidade de auditoria</w:t>
      </w:r>
      <w:r w:rsidR="002C68C5">
        <w:rPr>
          <w:rFonts w:ascii="Times New Roman" w:hAnsi="Times New Roman" w:cs="Times New Roman"/>
          <w:color w:val="000000" w:themeColor="text1"/>
          <w:sz w:val="24"/>
          <w:szCs w:val="24"/>
        </w:rPr>
        <w:t>,</w:t>
      </w:r>
      <w:r w:rsidR="007B3FB7">
        <w:rPr>
          <w:rFonts w:ascii="Times New Roman" w:hAnsi="Times New Roman" w:cs="Times New Roman"/>
          <w:color w:val="000000" w:themeColor="text1"/>
          <w:sz w:val="24"/>
          <w:szCs w:val="24"/>
        </w:rPr>
        <w:t xml:space="preserve"> </w:t>
      </w:r>
      <w:r w:rsidR="00B74F1D" w:rsidRPr="009527CC">
        <w:rPr>
          <w:rFonts w:ascii="Times New Roman" w:hAnsi="Times New Roman" w:cs="Times New Roman"/>
          <w:color w:val="000000" w:themeColor="text1"/>
          <w:sz w:val="24"/>
          <w:szCs w:val="24"/>
        </w:rPr>
        <w:t>aliada à complexidade e singularidade do processo de trabalho auditado, optou</w:t>
      </w:r>
      <w:r w:rsidR="009527CC">
        <w:rPr>
          <w:rFonts w:ascii="Times New Roman" w:hAnsi="Times New Roman" w:cs="Times New Roman"/>
          <w:color w:val="000000" w:themeColor="text1"/>
          <w:sz w:val="24"/>
          <w:szCs w:val="24"/>
        </w:rPr>
        <w:t>-se</w:t>
      </w:r>
      <w:r w:rsidR="00B74F1D" w:rsidRPr="009527CC">
        <w:rPr>
          <w:rFonts w:ascii="Times New Roman" w:hAnsi="Times New Roman" w:cs="Times New Roman"/>
          <w:color w:val="000000" w:themeColor="text1"/>
          <w:sz w:val="24"/>
          <w:szCs w:val="24"/>
        </w:rPr>
        <w:t xml:space="preserve"> por delimitar o escopo da auditoria às atividades do processo expostas aos riscos de nível alto e extremo, quais sejam: comunicação, alinhamento, desdobramento e monitoramento da execução da estratégia.</w:t>
      </w:r>
      <w:r w:rsidR="00985DD4">
        <w:rPr>
          <w:rFonts w:ascii="Times New Roman" w:hAnsi="Times New Roman" w:cs="Times New Roman"/>
          <w:color w:val="000000" w:themeColor="text1"/>
          <w:sz w:val="24"/>
          <w:szCs w:val="24"/>
        </w:rPr>
        <w:t xml:space="preserve"> </w:t>
      </w:r>
    </w:p>
    <w:p w:rsidR="004B6B8C" w:rsidRPr="007B3FB7" w:rsidRDefault="004B6B8C" w:rsidP="00B660C6">
      <w:pPr>
        <w:numPr>
          <w:ilvl w:val="2"/>
          <w:numId w:val="1"/>
        </w:numPr>
        <w:spacing w:after="120" w:line="240" w:lineRule="auto"/>
        <w:jc w:val="both"/>
        <w:rPr>
          <w:rFonts w:ascii="Times New Roman" w:hAnsi="Times New Roman" w:cs="Times New Roman"/>
          <w:color w:val="000000" w:themeColor="text1"/>
          <w:sz w:val="24"/>
          <w:szCs w:val="24"/>
        </w:rPr>
      </w:pPr>
      <w:r w:rsidRPr="00985DD4">
        <w:rPr>
          <w:rFonts w:ascii="Times New Roman" w:hAnsi="Times New Roman" w:cs="Times New Roman"/>
          <w:color w:val="000000" w:themeColor="text1"/>
          <w:sz w:val="24"/>
          <w:szCs w:val="24"/>
        </w:rPr>
        <w:t>Paralelamente, para seleção da amostra for</w:t>
      </w:r>
      <w:r w:rsidR="00CE41D4" w:rsidRPr="00985DD4">
        <w:rPr>
          <w:rFonts w:ascii="Times New Roman" w:hAnsi="Times New Roman" w:cs="Times New Roman"/>
          <w:color w:val="000000" w:themeColor="text1"/>
          <w:sz w:val="24"/>
          <w:szCs w:val="24"/>
        </w:rPr>
        <w:t>a</w:t>
      </w:r>
      <w:r w:rsidRPr="00985DD4">
        <w:rPr>
          <w:rFonts w:ascii="Times New Roman" w:hAnsi="Times New Roman" w:cs="Times New Roman"/>
          <w:color w:val="000000" w:themeColor="text1"/>
          <w:sz w:val="24"/>
          <w:szCs w:val="24"/>
        </w:rPr>
        <w:t xml:space="preserve">m considerados os 20 indicadores de desempenho com medição prevista para 2017 e os 15 projetos estratégicos </w:t>
      </w:r>
      <w:r w:rsidR="00985DD4" w:rsidRPr="00985DD4">
        <w:rPr>
          <w:rFonts w:ascii="Times New Roman" w:hAnsi="Times New Roman" w:cs="Times New Roman"/>
          <w:color w:val="000000" w:themeColor="text1"/>
          <w:sz w:val="24"/>
          <w:szCs w:val="24"/>
        </w:rPr>
        <w:t>cujas atividades e/ou entregas deveriam ocorrer no referido exercício</w:t>
      </w:r>
      <w:r w:rsidRPr="00985DD4">
        <w:rPr>
          <w:rFonts w:ascii="Times New Roman" w:hAnsi="Times New Roman" w:cs="Times New Roman"/>
          <w:color w:val="000000" w:themeColor="text1"/>
          <w:sz w:val="24"/>
          <w:szCs w:val="24"/>
        </w:rPr>
        <w:t>. Assim, utilizando</w:t>
      </w:r>
      <w:r w:rsidR="00985DD4" w:rsidRPr="00985DD4">
        <w:rPr>
          <w:rFonts w:ascii="Times New Roman" w:hAnsi="Times New Roman" w:cs="Times New Roman"/>
          <w:color w:val="000000" w:themeColor="text1"/>
          <w:sz w:val="24"/>
          <w:szCs w:val="24"/>
        </w:rPr>
        <w:t>-se</w:t>
      </w:r>
      <w:r w:rsidRPr="00985DD4">
        <w:rPr>
          <w:rFonts w:ascii="Times New Roman" w:hAnsi="Times New Roman" w:cs="Times New Roman"/>
          <w:color w:val="000000" w:themeColor="text1"/>
          <w:sz w:val="24"/>
          <w:szCs w:val="24"/>
        </w:rPr>
        <w:t xml:space="preserve"> índice estatístico de confiança de 90%, </w:t>
      </w:r>
      <w:r w:rsidR="00985DD4" w:rsidRPr="00985DD4">
        <w:rPr>
          <w:rFonts w:ascii="Times New Roman" w:hAnsi="Times New Roman" w:cs="Times New Roman"/>
          <w:color w:val="000000" w:themeColor="text1"/>
          <w:sz w:val="24"/>
          <w:szCs w:val="24"/>
        </w:rPr>
        <w:t xml:space="preserve">observados, ainda, critérios de criticidade e relevância, restaram </w:t>
      </w:r>
      <w:r w:rsidRPr="00985DD4">
        <w:rPr>
          <w:rFonts w:ascii="Times New Roman" w:hAnsi="Times New Roman" w:cs="Times New Roman"/>
          <w:color w:val="000000" w:themeColor="text1"/>
          <w:sz w:val="24"/>
          <w:szCs w:val="24"/>
        </w:rPr>
        <w:t>selecionados 16 indicadores e 12 projetos estratégicos</w:t>
      </w:r>
      <w:r w:rsidR="002C68C5">
        <w:rPr>
          <w:rFonts w:ascii="Times New Roman" w:hAnsi="Times New Roman" w:cs="Times New Roman"/>
          <w:color w:val="000000" w:themeColor="text1"/>
          <w:sz w:val="24"/>
          <w:szCs w:val="24"/>
        </w:rPr>
        <w:t xml:space="preserve"> </w:t>
      </w:r>
      <w:r w:rsidR="002C68C5" w:rsidRPr="007B3FB7">
        <w:rPr>
          <w:rFonts w:ascii="Times New Roman" w:hAnsi="Times New Roman" w:cs="Times New Roman"/>
          <w:color w:val="000000" w:themeColor="text1"/>
          <w:sz w:val="24"/>
          <w:szCs w:val="24"/>
        </w:rPr>
        <w:t>para aplicação dos testes de auditoria</w:t>
      </w:r>
      <w:r w:rsidRPr="007B3FB7">
        <w:rPr>
          <w:rFonts w:ascii="Times New Roman" w:hAnsi="Times New Roman" w:cs="Times New Roman"/>
          <w:color w:val="000000" w:themeColor="text1"/>
          <w:sz w:val="24"/>
          <w:szCs w:val="24"/>
        </w:rPr>
        <w:t>.</w:t>
      </w:r>
    </w:p>
    <w:p w:rsidR="004E4B0E" w:rsidRDefault="004E4B0E" w:rsidP="00414DB8">
      <w:pPr>
        <w:numPr>
          <w:ilvl w:val="2"/>
          <w:numId w:val="1"/>
        </w:numPr>
        <w:spacing w:after="120" w:line="240" w:lineRule="auto"/>
        <w:jc w:val="both"/>
        <w:rPr>
          <w:rFonts w:ascii="Times New Roman" w:hAnsi="Times New Roman" w:cs="Times New Roman"/>
          <w:color w:val="000000" w:themeColor="text1"/>
          <w:spacing w:val="-2"/>
          <w:sz w:val="24"/>
          <w:szCs w:val="24"/>
        </w:rPr>
      </w:pPr>
      <w:r w:rsidRPr="002C68C5">
        <w:rPr>
          <w:rFonts w:ascii="Times New Roman" w:hAnsi="Times New Roman" w:cs="Times New Roman"/>
          <w:color w:val="000000" w:themeColor="text1"/>
          <w:spacing w:val="-2"/>
          <w:sz w:val="24"/>
          <w:szCs w:val="24"/>
        </w:rPr>
        <w:t>Constituíram critérios referenciais para delimitação de achados de auditoria, além d</w:t>
      </w:r>
      <w:r w:rsidR="000F506F" w:rsidRPr="002C68C5">
        <w:rPr>
          <w:rFonts w:ascii="Times New Roman" w:hAnsi="Times New Roman" w:cs="Times New Roman"/>
          <w:color w:val="000000" w:themeColor="text1"/>
          <w:spacing w:val="-2"/>
          <w:sz w:val="24"/>
          <w:szCs w:val="24"/>
        </w:rPr>
        <w:t>a Resolução Administrativa do TRE-BA nº 14</w:t>
      </w:r>
      <w:r w:rsidR="00985DD4" w:rsidRPr="002C68C5">
        <w:rPr>
          <w:rFonts w:ascii="Times New Roman" w:hAnsi="Times New Roman" w:cs="Times New Roman"/>
          <w:color w:val="000000" w:themeColor="text1"/>
          <w:spacing w:val="-2"/>
          <w:sz w:val="24"/>
          <w:szCs w:val="24"/>
        </w:rPr>
        <w:t xml:space="preserve">, de 14 de dezembro de </w:t>
      </w:r>
      <w:r w:rsidR="000F506F" w:rsidRPr="002C68C5">
        <w:rPr>
          <w:rFonts w:ascii="Times New Roman" w:hAnsi="Times New Roman" w:cs="Times New Roman"/>
          <w:color w:val="000000" w:themeColor="text1"/>
          <w:spacing w:val="-2"/>
          <w:sz w:val="24"/>
          <w:szCs w:val="24"/>
        </w:rPr>
        <w:t xml:space="preserve">2015, que instituiu o Planejamento Estratégico 2016-2021; a Resolução </w:t>
      </w:r>
      <w:r w:rsidR="00985DD4" w:rsidRPr="002C68C5">
        <w:rPr>
          <w:rFonts w:ascii="Times New Roman" w:hAnsi="Times New Roman" w:cs="Times New Roman"/>
          <w:color w:val="000000" w:themeColor="text1"/>
          <w:spacing w:val="-2"/>
          <w:sz w:val="24"/>
          <w:szCs w:val="24"/>
        </w:rPr>
        <w:t>do Conselho Nacional de Justiça (CNJ)</w:t>
      </w:r>
      <w:r w:rsidR="000F506F" w:rsidRPr="002C68C5">
        <w:rPr>
          <w:rFonts w:ascii="Times New Roman" w:hAnsi="Times New Roman" w:cs="Times New Roman"/>
          <w:color w:val="000000" w:themeColor="text1"/>
          <w:spacing w:val="-2"/>
          <w:sz w:val="24"/>
          <w:szCs w:val="24"/>
        </w:rPr>
        <w:t xml:space="preserve"> nº 198</w:t>
      </w:r>
      <w:r w:rsidR="00985DD4" w:rsidRPr="002C68C5">
        <w:rPr>
          <w:rFonts w:ascii="Times New Roman" w:hAnsi="Times New Roman" w:cs="Times New Roman"/>
          <w:spacing w:val="-2"/>
          <w:sz w:val="24"/>
          <w:szCs w:val="24"/>
        </w:rPr>
        <w:t>, de 1° de fevereiro de 2014</w:t>
      </w:r>
      <w:r w:rsidR="000F506F" w:rsidRPr="002C68C5">
        <w:rPr>
          <w:rFonts w:ascii="Times New Roman" w:hAnsi="Times New Roman" w:cs="Times New Roman"/>
          <w:spacing w:val="-2"/>
          <w:sz w:val="24"/>
          <w:szCs w:val="24"/>
        </w:rPr>
        <w:t xml:space="preserve">, </w:t>
      </w:r>
      <w:r w:rsidR="000F506F" w:rsidRPr="002C68C5">
        <w:rPr>
          <w:rFonts w:ascii="Times New Roman" w:hAnsi="Times New Roman" w:cs="Times New Roman"/>
          <w:color w:val="000000" w:themeColor="text1"/>
          <w:spacing w:val="-2"/>
          <w:sz w:val="24"/>
          <w:szCs w:val="24"/>
        </w:rPr>
        <w:t>que dispõe sobre o Planejamento e a Gestão Estratégica</w:t>
      </w:r>
      <w:r w:rsidR="00985DD4" w:rsidRPr="002C68C5">
        <w:rPr>
          <w:rFonts w:ascii="Times New Roman" w:hAnsi="Times New Roman" w:cs="Times New Roman"/>
          <w:color w:val="000000" w:themeColor="text1"/>
          <w:spacing w:val="-2"/>
          <w:sz w:val="24"/>
          <w:szCs w:val="24"/>
        </w:rPr>
        <w:t>,</w:t>
      </w:r>
      <w:r w:rsidR="000F506F" w:rsidRPr="002C68C5">
        <w:rPr>
          <w:rFonts w:ascii="Times New Roman" w:hAnsi="Times New Roman" w:cs="Times New Roman"/>
          <w:color w:val="000000" w:themeColor="text1"/>
          <w:spacing w:val="-2"/>
          <w:sz w:val="24"/>
          <w:szCs w:val="24"/>
        </w:rPr>
        <w:t xml:space="preserve"> no âmbito do Poder Judiciário; a Resolução Administrativa do TRE-BA nº 5</w:t>
      </w:r>
      <w:r w:rsidR="00985DD4" w:rsidRPr="002C68C5">
        <w:rPr>
          <w:rFonts w:ascii="Times New Roman" w:hAnsi="Times New Roman" w:cs="Times New Roman"/>
          <w:color w:val="000000" w:themeColor="text1"/>
          <w:spacing w:val="-2"/>
          <w:sz w:val="24"/>
          <w:szCs w:val="24"/>
        </w:rPr>
        <w:t xml:space="preserve">, de 28 de maio de </w:t>
      </w:r>
      <w:r w:rsidR="000F506F" w:rsidRPr="002C68C5">
        <w:rPr>
          <w:rFonts w:ascii="Times New Roman" w:hAnsi="Times New Roman" w:cs="Times New Roman"/>
          <w:color w:val="000000" w:themeColor="text1"/>
          <w:spacing w:val="-2"/>
          <w:sz w:val="24"/>
          <w:szCs w:val="24"/>
        </w:rPr>
        <w:t xml:space="preserve">2013, que </w:t>
      </w:r>
      <w:r w:rsidR="00985DD4" w:rsidRPr="002C68C5">
        <w:rPr>
          <w:rFonts w:ascii="Times New Roman" w:hAnsi="Times New Roman" w:cs="Times New Roman"/>
          <w:color w:val="000000" w:themeColor="text1"/>
          <w:spacing w:val="-2"/>
          <w:sz w:val="24"/>
          <w:szCs w:val="24"/>
        </w:rPr>
        <w:t>trata da</w:t>
      </w:r>
      <w:r w:rsidR="000F506F" w:rsidRPr="002C68C5">
        <w:rPr>
          <w:rFonts w:ascii="Times New Roman" w:hAnsi="Times New Roman" w:cs="Times New Roman"/>
          <w:color w:val="000000" w:themeColor="text1"/>
          <w:spacing w:val="-2"/>
          <w:sz w:val="24"/>
          <w:szCs w:val="24"/>
        </w:rPr>
        <w:t xml:space="preserve"> organização dos serviços administrativos do TRE-BA; o Referencial Básico de Governança</w:t>
      </w:r>
      <w:r w:rsidR="00B660C6" w:rsidRPr="002C68C5">
        <w:rPr>
          <w:rFonts w:ascii="Times New Roman" w:hAnsi="Times New Roman" w:cs="Times New Roman"/>
          <w:color w:val="000000" w:themeColor="text1"/>
          <w:spacing w:val="-2"/>
          <w:sz w:val="24"/>
          <w:szCs w:val="24"/>
        </w:rPr>
        <w:t xml:space="preserve"> do</w:t>
      </w:r>
      <w:r w:rsidR="00412B5A" w:rsidRPr="002C68C5">
        <w:rPr>
          <w:rFonts w:ascii="Times New Roman" w:hAnsi="Times New Roman" w:cs="Times New Roman"/>
          <w:color w:val="000000" w:themeColor="text1"/>
          <w:spacing w:val="-2"/>
          <w:sz w:val="24"/>
          <w:szCs w:val="24"/>
        </w:rPr>
        <w:t xml:space="preserve"> </w:t>
      </w:r>
      <w:r w:rsidR="000F506F" w:rsidRPr="002C68C5">
        <w:rPr>
          <w:rFonts w:ascii="Times New Roman" w:hAnsi="Times New Roman" w:cs="Times New Roman"/>
          <w:color w:val="000000" w:themeColor="text1"/>
          <w:spacing w:val="-2"/>
          <w:sz w:val="24"/>
          <w:szCs w:val="24"/>
        </w:rPr>
        <w:t>Tribunal de Contas da União</w:t>
      </w:r>
      <w:r w:rsidR="00B660C6" w:rsidRPr="002C68C5">
        <w:rPr>
          <w:rFonts w:ascii="Times New Roman" w:hAnsi="Times New Roman" w:cs="Times New Roman"/>
          <w:color w:val="000000" w:themeColor="text1"/>
          <w:spacing w:val="-2"/>
          <w:sz w:val="24"/>
          <w:szCs w:val="24"/>
        </w:rPr>
        <w:t xml:space="preserve"> (TCU)</w:t>
      </w:r>
      <w:r w:rsidR="000F506F" w:rsidRPr="002C68C5">
        <w:rPr>
          <w:rFonts w:ascii="Times New Roman" w:hAnsi="Times New Roman" w:cs="Times New Roman"/>
          <w:color w:val="000000" w:themeColor="text1"/>
          <w:spacing w:val="-2"/>
          <w:sz w:val="24"/>
          <w:szCs w:val="24"/>
        </w:rPr>
        <w:t xml:space="preserve">, Versão 2/2014, que dispõe </w:t>
      </w:r>
      <w:r w:rsidR="00412B5A" w:rsidRPr="002C68C5">
        <w:rPr>
          <w:rFonts w:ascii="Times New Roman" w:hAnsi="Times New Roman" w:cs="Times New Roman"/>
          <w:color w:val="000000" w:themeColor="text1"/>
          <w:spacing w:val="-2"/>
          <w:sz w:val="24"/>
          <w:szCs w:val="24"/>
        </w:rPr>
        <w:t>sobre estrutura referencial</w:t>
      </w:r>
      <w:r w:rsidR="000F506F" w:rsidRPr="002C68C5">
        <w:rPr>
          <w:rFonts w:ascii="Times New Roman" w:hAnsi="Times New Roman" w:cs="Times New Roman"/>
          <w:color w:val="000000" w:themeColor="text1"/>
          <w:spacing w:val="-2"/>
          <w:sz w:val="24"/>
          <w:szCs w:val="24"/>
        </w:rPr>
        <w:t xml:space="preserve"> de governança aplicáve</w:t>
      </w:r>
      <w:r w:rsidR="00412B5A" w:rsidRPr="002C68C5">
        <w:rPr>
          <w:rFonts w:ascii="Times New Roman" w:hAnsi="Times New Roman" w:cs="Times New Roman"/>
          <w:color w:val="000000" w:themeColor="text1"/>
          <w:spacing w:val="-2"/>
          <w:sz w:val="24"/>
          <w:szCs w:val="24"/>
        </w:rPr>
        <w:t>l</w:t>
      </w:r>
      <w:r w:rsidR="000F506F" w:rsidRPr="002C68C5">
        <w:rPr>
          <w:rFonts w:ascii="Times New Roman" w:hAnsi="Times New Roman" w:cs="Times New Roman"/>
          <w:color w:val="000000" w:themeColor="text1"/>
          <w:spacing w:val="-2"/>
          <w:sz w:val="24"/>
          <w:szCs w:val="24"/>
        </w:rPr>
        <w:t xml:space="preserve"> a </w:t>
      </w:r>
      <w:r w:rsidR="00412B5A" w:rsidRPr="002C68C5">
        <w:rPr>
          <w:rFonts w:ascii="Times New Roman" w:hAnsi="Times New Roman" w:cs="Times New Roman"/>
          <w:color w:val="000000" w:themeColor="text1"/>
          <w:spacing w:val="-2"/>
          <w:sz w:val="24"/>
          <w:szCs w:val="24"/>
        </w:rPr>
        <w:t>ó</w:t>
      </w:r>
      <w:r w:rsidR="000F506F" w:rsidRPr="002C68C5">
        <w:rPr>
          <w:rFonts w:ascii="Times New Roman" w:hAnsi="Times New Roman" w:cs="Times New Roman"/>
          <w:color w:val="000000" w:themeColor="text1"/>
          <w:spacing w:val="-2"/>
          <w:sz w:val="24"/>
          <w:szCs w:val="24"/>
        </w:rPr>
        <w:t xml:space="preserve">rgãos e </w:t>
      </w:r>
      <w:r w:rsidR="00412B5A" w:rsidRPr="002C68C5">
        <w:rPr>
          <w:rFonts w:ascii="Times New Roman" w:hAnsi="Times New Roman" w:cs="Times New Roman"/>
          <w:color w:val="000000" w:themeColor="text1"/>
          <w:spacing w:val="-2"/>
          <w:sz w:val="24"/>
          <w:szCs w:val="24"/>
        </w:rPr>
        <w:t>e</w:t>
      </w:r>
      <w:r w:rsidR="000F506F" w:rsidRPr="002C68C5">
        <w:rPr>
          <w:rFonts w:ascii="Times New Roman" w:hAnsi="Times New Roman" w:cs="Times New Roman"/>
          <w:color w:val="000000" w:themeColor="text1"/>
          <w:spacing w:val="-2"/>
          <w:sz w:val="24"/>
          <w:szCs w:val="24"/>
        </w:rPr>
        <w:t>ntidades da Administração Pública; e a Lei nº 12.527</w:t>
      </w:r>
      <w:r w:rsidR="00412B5A" w:rsidRPr="002C68C5">
        <w:rPr>
          <w:rFonts w:ascii="Times New Roman" w:hAnsi="Times New Roman" w:cs="Times New Roman"/>
          <w:color w:val="000000" w:themeColor="text1"/>
          <w:spacing w:val="-2"/>
          <w:sz w:val="24"/>
          <w:szCs w:val="24"/>
        </w:rPr>
        <w:t>, de 18 de novembro de 2011</w:t>
      </w:r>
      <w:r w:rsidR="00311EF2" w:rsidRPr="002C68C5">
        <w:rPr>
          <w:rFonts w:ascii="Times New Roman" w:hAnsi="Times New Roman" w:cs="Times New Roman"/>
          <w:color w:val="000000" w:themeColor="text1"/>
          <w:spacing w:val="-2"/>
          <w:sz w:val="24"/>
          <w:szCs w:val="24"/>
        </w:rPr>
        <w:t>, que regulamenta o acesso a informações</w:t>
      </w:r>
      <w:r w:rsidR="00412B5A" w:rsidRPr="002C68C5">
        <w:rPr>
          <w:rFonts w:ascii="Times New Roman" w:hAnsi="Times New Roman" w:cs="Times New Roman"/>
          <w:color w:val="000000" w:themeColor="text1"/>
          <w:spacing w:val="-2"/>
          <w:sz w:val="24"/>
          <w:szCs w:val="24"/>
        </w:rPr>
        <w:t>,</w:t>
      </w:r>
      <w:r w:rsidR="00311EF2" w:rsidRPr="002C68C5">
        <w:rPr>
          <w:rFonts w:ascii="Times New Roman" w:hAnsi="Times New Roman" w:cs="Times New Roman"/>
          <w:color w:val="000000" w:themeColor="text1"/>
          <w:spacing w:val="-2"/>
          <w:sz w:val="24"/>
          <w:szCs w:val="24"/>
        </w:rPr>
        <w:t xml:space="preserve"> n</w:t>
      </w:r>
      <w:r w:rsidR="00412B5A" w:rsidRPr="002C68C5">
        <w:rPr>
          <w:rFonts w:ascii="Times New Roman" w:hAnsi="Times New Roman" w:cs="Times New Roman"/>
          <w:color w:val="000000" w:themeColor="text1"/>
          <w:spacing w:val="-2"/>
          <w:sz w:val="24"/>
          <w:szCs w:val="24"/>
        </w:rPr>
        <w:t>o âmbito d</w:t>
      </w:r>
      <w:r w:rsidR="00311EF2" w:rsidRPr="002C68C5">
        <w:rPr>
          <w:rFonts w:ascii="Times New Roman" w:hAnsi="Times New Roman" w:cs="Times New Roman"/>
          <w:color w:val="000000" w:themeColor="text1"/>
          <w:spacing w:val="-2"/>
          <w:sz w:val="24"/>
          <w:szCs w:val="24"/>
        </w:rPr>
        <w:t>a Administração Pública.</w:t>
      </w:r>
    </w:p>
    <w:p w:rsidR="009C765B" w:rsidRPr="002C68C5" w:rsidRDefault="009C765B" w:rsidP="009C765B">
      <w:pPr>
        <w:spacing w:after="120" w:line="240" w:lineRule="auto"/>
        <w:ind w:left="720"/>
        <w:jc w:val="both"/>
        <w:rPr>
          <w:rFonts w:ascii="Times New Roman" w:hAnsi="Times New Roman" w:cs="Times New Roman"/>
          <w:color w:val="000000" w:themeColor="text1"/>
          <w:spacing w:val="-2"/>
          <w:sz w:val="24"/>
          <w:szCs w:val="24"/>
        </w:rPr>
      </w:pPr>
    </w:p>
    <w:p w:rsidR="00F312C6" w:rsidRPr="00F54A97" w:rsidRDefault="00F312C6" w:rsidP="00414DB8">
      <w:pPr>
        <w:numPr>
          <w:ilvl w:val="1"/>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Objetivo:</w:t>
      </w:r>
    </w:p>
    <w:p w:rsidR="00CB4E37" w:rsidRPr="00F54A97" w:rsidRDefault="00BA79C0" w:rsidP="00BA79C0">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lastRenderedPageBreak/>
        <w:t xml:space="preserve">A ação fiscalizatória </w:t>
      </w:r>
      <w:proofErr w:type="gramStart"/>
      <w:r w:rsidRPr="00F54A97">
        <w:rPr>
          <w:rFonts w:ascii="Times New Roman" w:hAnsi="Times New Roman" w:cs="Times New Roman"/>
          <w:color w:val="000000" w:themeColor="text1"/>
          <w:spacing w:val="-2"/>
          <w:sz w:val="24"/>
          <w:szCs w:val="24"/>
        </w:rPr>
        <w:t>sob exame</w:t>
      </w:r>
      <w:proofErr w:type="gramEnd"/>
      <w:r w:rsidRPr="00F54A97">
        <w:rPr>
          <w:rFonts w:ascii="Times New Roman" w:hAnsi="Times New Roman" w:cs="Times New Roman"/>
          <w:color w:val="000000" w:themeColor="text1"/>
          <w:spacing w:val="-2"/>
          <w:sz w:val="24"/>
          <w:szCs w:val="24"/>
        </w:rPr>
        <w:t xml:space="preserve"> teve por objetivo avaliar a execução</w:t>
      </w:r>
      <w:r w:rsidRPr="00F54A97">
        <w:rPr>
          <w:color w:val="000000" w:themeColor="text1"/>
        </w:rPr>
        <w:t xml:space="preserve"> </w:t>
      </w:r>
      <w:r w:rsidRPr="00F54A97">
        <w:rPr>
          <w:rFonts w:ascii="Times New Roman" w:hAnsi="Times New Roman" w:cs="Times New Roman"/>
          <w:color w:val="000000" w:themeColor="text1"/>
          <w:spacing w:val="-2"/>
          <w:sz w:val="24"/>
          <w:szCs w:val="24"/>
        </w:rPr>
        <w:t xml:space="preserve">da estratégia do TRE-BA, com foco no acompanhamento do cumprimento das metas e objetivos organizacionais.  </w:t>
      </w:r>
    </w:p>
    <w:p w:rsidR="00BA79C0" w:rsidRPr="00F54A97" w:rsidRDefault="005D5927" w:rsidP="00BA79C0">
      <w:pPr>
        <w:numPr>
          <w:ilvl w:val="2"/>
          <w:numId w:val="1"/>
        </w:numPr>
        <w:spacing w:after="120" w:line="240" w:lineRule="auto"/>
        <w:jc w:val="both"/>
        <w:rPr>
          <w:rFonts w:ascii="Times New Roman" w:hAnsi="Times New Roman" w:cs="Times New Roman"/>
          <w:color w:val="000000" w:themeColor="text1"/>
          <w:spacing w:val="-2"/>
          <w:sz w:val="24"/>
          <w:szCs w:val="24"/>
        </w:rPr>
      </w:pPr>
      <w:r w:rsidRPr="005D5927">
        <w:rPr>
          <w:rFonts w:ascii="Times New Roman" w:hAnsi="Times New Roman" w:cs="Times New Roman"/>
          <w:color w:val="000000" w:themeColor="text1"/>
          <w:spacing w:val="-2"/>
          <w:sz w:val="24"/>
          <w:szCs w:val="24"/>
        </w:rPr>
        <w:t xml:space="preserve">Constituíram objetivos específicos </w:t>
      </w:r>
      <w:proofErr w:type="gramStart"/>
      <w:r w:rsidRPr="005D5927">
        <w:rPr>
          <w:rFonts w:ascii="Times New Roman" w:hAnsi="Times New Roman" w:cs="Times New Roman"/>
          <w:color w:val="000000" w:themeColor="text1"/>
          <w:spacing w:val="-2"/>
          <w:sz w:val="24"/>
          <w:szCs w:val="24"/>
        </w:rPr>
        <w:t xml:space="preserve">da sobredita </w:t>
      </w:r>
      <w:r w:rsidR="009C765B">
        <w:rPr>
          <w:rFonts w:ascii="Times New Roman" w:hAnsi="Times New Roman" w:cs="Times New Roman"/>
          <w:color w:val="000000" w:themeColor="text1"/>
          <w:spacing w:val="-2"/>
          <w:sz w:val="24"/>
          <w:szCs w:val="24"/>
        </w:rPr>
        <w:t>a</w:t>
      </w:r>
      <w:r w:rsidRPr="005D5927">
        <w:rPr>
          <w:rFonts w:ascii="Times New Roman" w:hAnsi="Times New Roman" w:cs="Times New Roman"/>
          <w:color w:val="000000" w:themeColor="text1"/>
          <w:spacing w:val="-2"/>
          <w:sz w:val="24"/>
          <w:szCs w:val="24"/>
        </w:rPr>
        <w:t>uditoria avaliar</w:t>
      </w:r>
      <w:proofErr w:type="gramEnd"/>
      <w:r w:rsidRPr="005D5927">
        <w:rPr>
          <w:rFonts w:ascii="Times New Roman" w:hAnsi="Times New Roman" w:cs="Times New Roman"/>
          <w:color w:val="000000" w:themeColor="text1"/>
          <w:spacing w:val="-2"/>
          <w:sz w:val="24"/>
          <w:szCs w:val="24"/>
        </w:rPr>
        <w:t xml:space="preserve">: aspectos de governança e gestão, consoante práticas de Liderança, Estratégia e Controle; observância aos princípios da eficiência, transparência e </w:t>
      </w:r>
      <w:proofErr w:type="spellStart"/>
      <w:r w:rsidRPr="002C68C5">
        <w:rPr>
          <w:rFonts w:ascii="Times New Roman" w:hAnsi="Times New Roman" w:cs="Times New Roman"/>
          <w:i/>
          <w:color w:val="000000" w:themeColor="text1"/>
          <w:spacing w:val="-2"/>
          <w:sz w:val="24"/>
          <w:szCs w:val="24"/>
        </w:rPr>
        <w:t>accountability</w:t>
      </w:r>
      <w:proofErr w:type="spellEnd"/>
      <w:r w:rsidRPr="005D5927">
        <w:rPr>
          <w:rFonts w:ascii="Times New Roman" w:hAnsi="Times New Roman" w:cs="Times New Roman"/>
          <w:color w:val="000000" w:themeColor="text1"/>
          <w:spacing w:val="-2"/>
          <w:sz w:val="24"/>
          <w:szCs w:val="24"/>
        </w:rPr>
        <w:t>; efetividade da comunicação da estratégia; alinhamento organizacional de pessoas, recursos e processos de trabalho à estratégia definida pela instituição; definição e gestão de metas a serem alcançadas pela organização; qualidade dos indicadores instituídos; iniciativas elencadas para viabilizar a execução da estratégia; monitoramento da execução da estratégia e seu suporte à tomada de decisão; aplicação das normas e procedimentos relacionados à execução da estratégia; a identificação, avaliação e dimensionamento de riscos associados; e a adequação, suficiência e efetividades dos controles internos instituídos</w:t>
      </w:r>
      <w:r w:rsidR="00BA79C0" w:rsidRPr="00F54A97">
        <w:rPr>
          <w:rFonts w:ascii="Times New Roman" w:hAnsi="Times New Roman" w:cs="Times New Roman"/>
          <w:color w:val="000000" w:themeColor="text1"/>
          <w:spacing w:val="-2"/>
          <w:sz w:val="24"/>
          <w:szCs w:val="24"/>
        </w:rPr>
        <w:t>.</w:t>
      </w:r>
    </w:p>
    <w:p w:rsidR="00630D25" w:rsidRPr="00F54A97" w:rsidRDefault="00630D25" w:rsidP="00414DB8">
      <w:pPr>
        <w:numPr>
          <w:ilvl w:val="1"/>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Metodologia</w:t>
      </w:r>
      <w:r w:rsidR="00C84EBA" w:rsidRPr="00F54A97">
        <w:rPr>
          <w:rFonts w:ascii="Times New Roman" w:hAnsi="Times New Roman" w:cs="Times New Roman"/>
          <w:color w:val="000000" w:themeColor="text1"/>
          <w:sz w:val="24"/>
          <w:szCs w:val="24"/>
        </w:rPr>
        <w:t xml:space="preserve"> e limitações impostas ao exame</w:t>
      </w:r>
      <w:r w:rsidRPr="00F54A97">
        <w:rPr>
          <w:rFonts w:ascii="Times New Roman" w:hAnsi="Times New Roman" w:cs="Times New Roman"/>
          <w:color w:val="000000" w:themeColor="text1"/>
          <w:sz w:val="24"/>
          <w:szCs w:val="24"/>
        </w:rPr>
        <w:t>:</w:t>
      </w:r>
    </w:p>
    <w:p w:rsidR="00CA219C" w:rsidRPr="00F54A97" w:rsidRDefault="00A62911" w:rsidP="00A16624">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z w:val="24"/>
          <w:szCs w:val="24"/>
        </w:rPr>
        <w:t xml:space="preserve">Para definição da natureza e extensão dos procedimentos e testes aplicados, utilizou-se abordagem baseada em risco, de modo a identificar eventos potencialmente impeditivos e/ou </w:t>
      </w:r>
      <w:proofErr w:type="spellStart"/>
      <w:r w:rsidRPr="00F54A97">
        <w:rPr>
          <w:rFonts w:ascii="Times New Roman" w:hAnsi="Times New Roman" w:cs="Times New Roman"/>
          <w:color w:val="000000" w:themeColor="text1"/>
          <w:sz w:val="24"/>
          <w:szCs w:val="24"/>
        </w:rPr>
        <w:t>dificultadores</w:t>
      </w:r>
      <w:proofErr w:type="spellEnd"/>
      <w:r w:rsidRPr="00F54A97">
        <w:rPr>
          <w:rFonts w:ascii="Times New Roman" w:hAnsi="Times New Roman" w:cs="Times New Roman"/>
          <w:color w:val="000000" w:themeColor="text1"/>
          <w:sz w:val="24"/>
          <w:szCs w:val="24"/>
        </w:rPr>
        <w:t xml:space="preserve"> do alcance dos objetivos do processo avaliado e alinhar o enfoque da auditoria aos aspectos de maior relevância, em face da criticidade da atividade desenvolvida, no contexto do processo de trabalho auditado.</w:t>
      </w:r>
    </w:p>
    <w:p w:rsidR="00DE77B1" w:rsidRPr="00F54A97" w:rsidRDefault="00DE77B1" w:rsidP="00A16624">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t>A fase de planejamento dos trabalhos restou subsidiada pela expedição do Comunic</w:t>
      </w:r>
      <w:r w:rsidRPr="007B3FB7">
        <w:rPr>
          <w:rFonts w:ascii="Times New Roman" w:hAnsi="Times New Roman" w:cs="Times New Roman"/>
          <w:color w:val="000000" w:themeColor="text1"/>
          <w:spacing w:val="-2"/>
          <w:sz w:val="24"/>
          <w:szCs w:val="24"/>
        </w:rPr>
        <w:t>a</w:t>
      </w:r>
      <w:r w:rsidR="001A126F" w:rsidRPr="007B3FB7">
        <w:rPr>
          <w:rFonts w:ascii="Times New Roman" w:hAnsi="Times New Roman" w:cs="Times New Roman"/>
          <w:color w:val="000000" w:themeColor="text1"/>
          <w:spacing w:val="-2"/>
          <w:sz w:val="24"/>
          <w:szCs w:val="24"/>
        </w:rPr>
        <w:t>do</w:t>
      </w:r>
      <w:r w:rsidRPr="007B3FB7">
        <w:rPr>
          <w:rFonts w:ascii="Times New Roman" w:hAnsi="Times New Roman" w:cs="Times New Roman"/>
          <w:color w:val="000000" w:themeColor="text1"/>
          <w:spacing w:val="-2"/>
          <w:sz w:val="24"/>
          <w:szCs w:val="24"/>
        </w:rPr>
        <w:t xml:space="preserve"> </w:t>
      </w:r>
      <w:r w:rsidRPr="00F54A97">
        <w:rPr>
          <w:rFonts w:ascii="Times New Roman" w:hAnsi="Times New Roman" w:cs="Times New Roman"/>
          <w:color w:val="000000" w:themeColor="text1"/>
          <w:spacing w:val="-2"/>
          <w:sz w:val="24"/>
          <w:szCs w:val="24"/>
        </w:rPr>
        <w:t xml:space="preserve">Circular de Auditoria nº 5/2017/COGES/SCI (PAD nº 11.584/2017), em conformidade com </w:t>
      </w:r>
      <w:proofErr w:type="gramStart"/>
      <w:r w:rsidRPr="00F54A97">
        <w:rPr>
          <w:rFonts w:ascii="Times New Roman" w:hAnsi="Times New Roman" w:cs="Times New Roman"/>
          <w:color w:val="000000" w:themeColor="text1"/>
          <w:spacing w:val="-2"/>
          <w:sz w:val="24"/>
          <w:szCs w:val="24"/>
        </w:rPr>
        <w:t>o quanto facultado pelo art. 18</w:t>
      </w:r>
      <w:proofErr w:type="gramEnd"/>
      <w:r w:rsidRPr="00F54A97">
        <w:rPr>
          <w:rFonts w:ascii="Times New Roman" w:hAnsi="Times New Roman" w:cs="Times New Roman"/>
          <w:color w:val="000000" w:themeColor="text1"/>
          <w:spacing w:val="-2"/>
          <w:sz w:val="24"/>
          <w:szCs w:val="24"/>
        </w:rPr>
        <w:t xml:space="preserve"> da Resolução do Conselho Nacional de Justiça (CNJ) nº 171, de 1º de março de 2013.</w:t>
      </w:r>
    </w:p>
    <w:p w:rsidR="00DE77B1" w:rsidRPr="00F54A97" w:rsidRDefault="00DE77B1" w:rsidP="00A16624">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t>Para obtenção de entendimento acerca do objeto, ambiente e controle interno, foram expedidas Requisições de Documentos e/ou Informações (</w:t>
      </w:r>
      <w:proofErr w:type="spellStart"/>
      <w:r w:rsidRPr="00F54A97">
        <w:rPr>
          <w:rFonts w:ascii="Times New Roman" w:hAnsi="Times New Roman" w:cs="Times New Roman"/>
          <w:color w:val="000000" w:themeColor="text1"/>
          <w:spacing w:val="-2"/>
          <w:sz w:val="24"/>
          <w:szCs w:val="24"/>
        </w:rPr>
        <w:t>RDIs</w:t>
      </w:r>
      <w:proofErr w:type="spellEnd"/>
      <w:r w:rsidRPr="00F54A97">
        <w:rPr>
          <w:rFonts w:ascii="Times New Roman" w:hAnsi="Times New Roman" w:cs="Times New Roman"/>
          <w:color w:val="000000" w:themeColor="text1"/>
          <w:spacing w:val="-2"/>
          <w:sz w:val="24"/>
          <w:szCs w:val="24"/>
        </w:rPr>
        <w:t>) sob nº 23 a 2</w:t>
      </w:r>
      <w:r w:rsidR="001B6608" w:rsidRPr="00F54A97">
        <w:rPr>
          <w:rFonts w:ascii="Times New Roman" w:hAnsi="Times New Roman" w:cs="Times New Roman"/>
          <w:color w:val="000000" w:themeColor="text1"/>
          <w:spacing w:val="-2"/>
          <w:sz w:val="24"/>
          <w:szCs w:val="24"/>
        </w:rPr>
        <w:t>7</w:t>
      </w:r>
      <w:r w:rsidRPr="00F54A97">
        <w:rPr>
          <w:rFonts w:ascii="Times New Roman" w:hAnsi="Times New Roman" w:cs="Times New Roman"/>
          <w:color w:val="000000" w:themeColor="text1"/>
          <w:spacing w:val="-2"/>
          <w:sz w:val="24"/>
          <w:szCs w:val="24"/>
        </w:rPr>
        <w:t xml:space="preserve"> e 29/2017/SEAUD/COGES/SCI, e aplicado Questionário de Avalição de Controle Interno (QACI), referenciado no modelo conceitual/metodológico COSO, que reúne critérios práticos para instituição e avaliação de controles internos administrativos organizacionais, observados cinco componentes: ambiente interno ou de controle</w:t>
      </w:r>
      <w:r w:rsidR="00EC6221">
        <w:rPr>
          <w:rFonts w:ascii="Times New Roman" w:hAnsi="Times New Roman" w:cs="Times New Roman"/>
          <w:color w:val="000000" w:themeColor="text1"/>
          <w:spacing w:val="-2"/>
          <w:sz w:val="24"/>
          <w:szCs w:val="24"/>
        </w:rPr>
        <w:t>;</w:t>
      </w:r>
      <w:r w:rsidRPr="00F54A97">
        <w:rPr>
          <w:rFonts w:ascii="Times New Roman" w:hAnsi="Times New Roman" w:cs="Times New Roman"/>
          <w:color w:val="000000" w:themeColor="text1"/>
          <w:spacing w:val="-2"/>
          <w:sz w:val="24"/>
          <w:szCs w:val="24"/>
        </w:rPr>
        <w:t xml:space="preserve"> avalição de riscos; atividades de controle; informação e comunicação; e monitoramento.</w:t>
      </w:r>
    </w:p>
    <w:p w:rsidR="00221581" w:rsidRPr="00F54A97" w:rsidRDefault="00221581" w:rsidP="00A16624">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t>Realizou-se, ainda, reunião setorial com a COPEG, em 4/10/2017 com vistas à construção da matriz de identificação e de análise e avalição de riscos associados ao processo de execução da estratégia do Tribunal.</w:t>
      </w:r>
    </w:p>
    <w:p w:rsidR="00470241" w:rsidRPr="00F54A97" w:rsidRDefault="00221581" w:rsidP="00470241">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t xml:space="preserve">A fase de execução, por sua vez, restou subsidiada pela expedição do Comunicado Circular de Auditoria nº 6/2017/COGES/SCI (PAD nº 13.684/2017), das </w:t>
      </w:r>
      <w:proofErr w:type="spellStart"/>
      <w:r w:rsidRPr="00F54A97">
        <w:rPr>
          <w:rFonts w:ascii="Times New Roman" w:hAnsi="Times New Roman" w:cs="Times New Roman"/>
          <w:color w:val="000000" w:themeColor="text1"/>
          <w:spacing w:val="-2"/>
          <w:sz w:val="24"/>
          <w:szCs w:val="24"/>
        </w:rPr>
        <w:t>RDIs</w:t>
      </w:r>
      <w:proofErr w:type="spellEnd"/>
      <w:r w:rsidRPr="00F54A97">
        <w:rPr>
          <w:rFonts w:ascii="Times New Roman" w:hAnsi="Times New Roman" w:cs="Times New Roman"/>
          <w:color w:val="000000" w:themeColor="text1"/>
          <w:spacing w:val="-2"/>
          <w:sz w:val="24"/>
          <w:szCs w:val="24"/>
        </w:rPr>
        <w:t xml:space="preserve"> nº</w:t>
      </w:r>
      <w:r w:rsidR="001B6608" w:rsidRPr="00F54A97">
        <w:rPr>
          <w:rFonts w:ascii="Times New Roman" w:hAnsi="Times New Roman" w:cs="Times New Roman"/>
          <w:color w:val="000000" w:themeColor="text1"/>
          <w:spacing w:val="-2"/>
          <w:sz w:val="24"/>
          <w:szCs w:val="24"/>
        </w:rPr>
        <w:t xml:space="preserve"> 30 a 36, 43 a 53</w:t>
      </w:r>
      <w:r w:rsidR="00470241" w:rsidRPr="00F54A97">
        <w:rPr>
          <w:rFonts w:ascii="Times New Roman" w:hAnsi="Times New Roman" w:cs="Times New Roman"/>
          <w:color w:val="000000" w:themeColor="text1"/>
          <w:spacing w:val="-2"/>
          <w:sz w:val="24"/>
          <w:szCs w:val="24"/>
        </w:rPr>
        <w:t xml:space="preserve">/2017/SEAUD/COGES/SCI, </w:t>
      </w:r>
      <w:proofErr w:type="spellStart"/>
      <w:r w:rsidR="00470241" w:rsidRPr="00F54A97">
        <w:rPr>
          <w:rFonts w:ascii="Times New Roman" w:hAnsi="Times New Roman" w:cs="Times New Roman"/>
          <w:color w:val="000000" w:themeColor="text1"/>
          <w:spacing w:val="-2"/>
          <w:sz w:val="24"/>
          <w:szCs w:val="24"/>
        </w:rPr>
        <w:t>RDIs</w:t>
      </w:r>
      <w:proofErr w:type="spellEnd"/>
      <w:r w:rsidR="00470241" w:rsidRPr="00F54A97">
        <w:rPr>
          <w:rFonts w:ascii="Times New Roman" w:hAnsi="Times New Roman" w:cs="Times New Roman"/>
          <w:color w:val="000000" w:themeColor="text1"/>
          <w:spacing w:val="-2"/>
          <w:sz w:val="24"/>
          <w:szCs w:val="24"/>
        </w:rPr>
        <w:t xml:space="preserve"> Circulares nº 15 e 17/SEAUD/COGES/SCI, bem como </w:t>
      </w:r>
      <w:r w:rsidR="005D5927">
        <w:rPr>
          <w:rFonts w:ascii="Times New Roman" w:hAnsi="Times New Roman" w:cs="Times New Roman"/>
          <w:color w:val="000000" w:themeColor="text1"/>
          <w:spacing w:val="-2"/>
          <w:sz w:val="24"/>
          <w:szCs w:val="24"/>
        </w:rPr>
        <w:t xml:space="preserve">pela realização </w:t>
      </w:r>
      <w:r w:rsidR="00470241" w:rsidRPr="00F54A97">
        <w:rPr>
          <w:rFonts w:ascii="Times New Roman" w:hAnsi="Times New Roman" w:cs="Times New Roman"/>
          <w:color w:val="000000" w:themeColor="text1"/>
          <w:spacing w:val="-2"/>
          <w:sz w:val="24"/>
          <w:szCs w:val="24"/>
        </w:rPr>
        <w:t xml:space="preserve">de Pesquisa de Avaliação da Comunicação da Estratégia, entre os dias 9 e 14/11/2017, por </w:t>
      </w:r>
      <w:r w:rsidR="005D5927">
        <w:rPr>
          <w:rFonts w:ascii="Times New Roman" w:hAnsi="Times New Roman" w:cs="Times New Roman"/>
          <w:color w:val="000000" w:themeColor="text1"/>
          <w:spacing w:val="-2"/>
          <w:sz w:val="24"/>
          <w:szCs w:val="24"/>
        </w:rPr>
        <w:t xml:space="preserve">intermédio de ferramenta </w:t>
      </w:r>
      <w:r w:rsidR="005D5927" w:rsidRPr="009C765B">
        <w:rPr>
          <w:rFonts w:ascii="Times New Roman" w:hAnsi="Times New Roman" w:cs="Times New Roman"/>
          <w:i/>
          <w:color w:val="000000" w:themeColor="text1"/>
          <w:spacing w:val="-2"/>
          <w:sz w:val="24"/>
          <w:szCs w:val="24"/>
        </w:rPr>
        <w:t>web</w:t>
      </w:r>
      <w:r w:rsidR="00470241" w:rsidRPr="00F54A97">
        <w:rPr>
          <w:rFonts w:ascii="Times New Roman" w:hAnsi="Times New Roman" w:cs="Times New Roman"/>
          <w:color w:val="000000" w:themeColor="text1"/>
          <w:spacing w:val="-2"/>
          <w:sz w:val="24"/>
          <w:szCs w:val="24"/>
        </w:rPr>
        <w:t xml:space="preserve"> institucional.</w:t>
      </w:r>
    </w:p>
    <w:p w:rsidR="009431D1" w:rsidRPr="00F54A97" w:rsidRDefault="00470241" w:rsidP="00470241">
      <w:pPr>
        <w:numPr>
          <w:ilvl w:val="2"/>
          <w:numId w:val="1"/>
        </w:numPr>
        <w:spacing w:after="12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t>Adicionalmente, realizaram-se entrevistas nos dias 27, 30</w:t>
      </w:r>
      <w:r w:rsidR="005D5927">
        <w:rPr>
          <w:rFonts w:ascii="Times New Roman" w:hAnsi="Times New Roman" w:cs="Times New Roman"/>
          <w:color w:val="000000" w:themeColor="text1"/>
          <w:spacing w:val="-2"/>
          <w:sz w:val="24"/>
          <w:szCs w:val="24"/>
        </w:rPr>
        <w:t xml:space="preserve"> e</w:t>
      </w:r>
      <w:r w:rsidRPr="00F54A97">
        <w:rPr>
          <w:rFonts w:ascii="Times New Roman" w:hAnsi="Times New Roman" w:cs="Times New Roman"/>
          <w:color w:val="000000" w:themeColor="text1"/>
          <w:spacing w:val="-2"/>
          <w:sz w:val="24"/>
          <w:szCs w:val="24"/>
        </w:rPr>
        <w:t xml:space="preserve"> 31/10</w:t>
      </w:r>
      <w:r w:rsidR="009431D1" w:rsidRPr="00F54A97">
        <w:rPr>
          <w:rFonts w:ascii="Times New Roman" w:hAnsi="Times New Roman" w:cs="Times New Roman"/>
          <w:color w:val="000000" w:themeColor="text1"/>
          <w:spacing w:val="-2"/>
          <w:sz w:val="24"/>
          <w:szCs w:val="24"/>
        </w:rPr>
        <w:t>/</w:t>
      </w:r>
      <w:r w:rsidR="005D5927">
        <w:rPr>
          <w:rFonts w:ascii="Times New Roman" w:hAnsi="Times New Roman" w:cs="Times New Roman"/>
          <w:color w:val="000000" w:themeColor="text1"/>
          <w:spacing w:val="-2"/>
          <w:sz w:val="24"/>
          <w:szCs w:val="24"/>
        </w:rPr>
        <w:t>20</w:t>
      </w:r>
      <w:r w:rsidR="009431D1" w:rsidRPr="00F54A97">
        <w:rPr>
          <w:rFonts w:ascii="Times New Roman" w:hAnsi="Times New Roman" w:cs="Times New Roman"/>
          <w:color w:val="000000" w:themeColor="text1"/>
          <w:spacing w:val="-2"/>
          <w:sz w:val="24"/>
          <w:szCs w:val="24"/>
        </w:rPr>
        <w:t>17</w:t>
      </w:r>
      <w:r w:rsidR="005D5927">
        <w:rPr>
          <w:rFonts w:ascii="Times New Roman" w:hAnsi="Times New Roman" w:cs="Times New Roman"/>
          <w:color w:val="000000" w:themeColor="text1"/>
          <w:spacing w:val="-2"/>
          <w:sz w:val="24"/>
          <w:szCs w:val="24"/>
        </w:rPr>
        <w:t xml:space="preserve"> e</w:t>
      </w:r>
      <w:r w:rsidRPr="00F54A97">
        <w:rPr>
          <w:rFonts w:ascii="Times New Roman" w:hAnsi="Times New Roman" w:cs="Times New Roman"/>
          <w:color w:val="000000" w:themeColor="text1"/>
          <w:spacing w:val="-2"/>
          <w:sz w:val="24"/>
          <w:szCs w:val="24"/>
        </w:rPr>
        <w:t xml:space="preserve"> </w:t>
      </w:r>
      <w:proofErr w:type="gramStart"/>
      <w:r w:rsidRPr="00F54A97">
        <w:rPr>
          <w:rFonts w:ascii="Times New Roman" w:hAnsi="Times New Roman" w:cs="Times New Roman"/>
          <w:color w:val="000000" w:themeColor="text1"/>
          <w:spacing w:val="-2"/>
          <w:sz w:val="24"/>
          <w:szCs w:val="24"/>
        </w:rPr>
        <w:t>6</w:t>
      </w:r>
      <w:proofErr w:type="gramEnd"/>
      <w:r w:rsidRPr="00F54A97">
        <w:rPr>
          <w:rFonts w:ascii="Times New Roman" w:hAnsi="Times New Roman" w:cs="Times New Roman"/>
          <w:color w:val="000000" w:themeColor="text1"/>
          <w:spacing w:val="-2"/>
          <w:sz w:val="24"/>
          <w:szCs w:val="24"/>
        </w:rPr>
        <w:t xml:space="preserve"> e 7/11</w:t>
      </w:r>
      <w:r w:rsidR="009431D1" w:rsidRPr="00F54A97">
        <w:rPr>
          <w:rFonts w:ascii="Times New Roman" w:hAnsi="Times New Roman" w:cs="Times New Roman"/>
          <w:color w:val="000000" w:themeColor="text1"/>
          <w:spacing w:val="-2"/>
          <w:sz w:val="24"/>
          <w:szCs w:val="24"/>
        </w:rPr>
        <w:t>/</w:t>
      </w:r>
      <w:r w:rsidR="005D5927">
        <w:rPr>
          <w:rFonts w:ascii="Times New Roman" w:hAnsi="Times New Roman" w:cs="Times New Roman"/>
          <w:color w:val="000000" w:themeColor="text1"/>
          <w:spacing w:val="-2"/>
          <w:sz w:val="24"/>
          <w:szCs w:val="24"/>
        </w:rPr>
        <w:t>2017</w:t>
      </w:r>
      <w:r w:rsidRPr="00F54A97">
        <w:rPr>
          <w:rFonts w:ascii="Times New Roman" w:hAnsi="Times New Roman" w:cs="Times New Roman"/>
          <w:color w:val="000000" w:themeColor="text1"/>
          <w:spacing w:val="-2"/>
          <w:sz w:val="24"/>
          <w:szCs w:val="24"/>
        </w:rPr>
        <w:t xml:space="preserve"> com unidades gestoras de indicadores e projetos estratégicos do Tribunal, bem como entrevista com o Presidente do TRE-BA</w:t>
      </w:r>
      <w:r w:rsidR="009C765B">
        <w:rPr>
          <w:rFonts w:ascii="Times New Roman" w:hAnsi="Times New Roman" w:cs="Times New Roman"/>
          <w:color w:val="000000" w:themeColor="text1"/>
          <w:spacing w:val="-2"/>
          <w:sz w:val="24"/>
          <w:szCs w:val="24"/>
        </w:rPr>
        <w:t>,</w:t>
      </w:r>
      <w:r w:rsidR="009431D1" w:rsidRPr="00F54A97">
        <w:rPr>
          <w:rFonts w:ascii="Times New Roman" w:hAnsi="Times New Roman" w:cs="Times New Roman"/>
          <w:color w:val="000000" w:themeColor="text1"/>
          <w:spacing w:val="-2"/>
          <w:sz w:val="24"/>
          <w:szCs w:val="24"/>
        </w:rPr>
        <w:t xml:space="preserve"> no dia 24/11/</w:t>
      </w:r>
      <w:r w:rsidR="005D5927">
        <w:rPr>
          <w:rFonts w:ascii="Times New Roman" w:hAnsi="Times New Roman" w:cs="Times New Roman"/>
          <w:color w:val="000000" w:themeColor="text1"/>
          <w:spacing w:val="-2"/>
          <w:sz w:val="24"/>
          <w:szCs w:val="24"/>
        </w:rPr>
        <w:t>20</w:t>
      </w:r>
      <w:r w:rsidR="009431D1" w:rsidRPr="00F54A97">
        <w:rPr>
          <w:rFonts w:ascii="Times New Roman" w:hAnsi="Times New Roman" w:cs="Times New Roman"/>
          <w:color w:val="000000" w:themeColor="text1"/>
          <w:spacing w:val="-2"/>
          <w:sz w:val="24"/>
          <w:szCs w:val="24"/>
        </w:rPr>
        <w:t>17.</w:t>
      </w:r>
    </w:p>
    <w:p w:rsidR="00630D25" w:rsidRPr="006A4542" w:rsidRDefault="007E5CAE" w:rsidP="00414DB8">
      <w:pPr>
        <w:numPr>
          <w:ilvl w:val="1"/>
          <w:numId w:val="1"/>
        </w:numPr>
        <w:spacing w:after="120" w:line="240" w:lineRule="auto"/>
        <w:jc w:val="both"/>
        <w:rPr>
          <w:rFonts w:ascii="Times New Roman" w:hAnsi="Times New Roman" w:cs="Times New Roman"/>
          <w:sz w:val="24"/>
          <w:szCs w:val="24"/>
        </w:rPr>
      </w:pPr>
      <w:r w:rsidRPr="006A4542">
        <w:rPr>
          <w:rFonts w:ascii="Times New Roman" w:hAnsi="Times New Roman" w:cs="Times New Roman"/>
          <w:sz w:val="24"/>
          <w:szCs w:val="24"/>
        </w:rPr>
        <w:lastRenderedPageBreak/>
        <w:t>C</w:t>
      </w:r>
      <w:r w:rsidR="00630D25" w:rsidRPr="006A4542">
        <w:rPr>
          <w:rFonts w:ascii="Times New Roman" w:hAnsi="Times New Roman" w:cs="Times New Roman"/>
          <w:sz w:val="24"/>
          <w:szCs w:val="24"/>
        </w:rPr>
        <w:t>onformidade com as normas:</w:t>
      </w:r>
    </w:p>
    <w:p w:rsidR="005D3259" w:rsidRPr="00F54A97" w:rsidRDefault="00523741" w:rsidP="00414DB8">
      <w:pPr>
        <w:numPr>
          <w:ilvl w:val="2"/>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A</w:t>
      </w:r>
      <w:r w:rsidR="005D3259" w:rsidRPr="00F54A97">
        <w:rPr>
          <w:rFonts w:ascii="Times New Roman" w:hAnsi="Times New Roman" w:cs="Times New Roman"/>
          <w:color w:val="000000" w:themeColor="text1"/>
          <w:sz w:val="24"/>
          <w:szCs w:val="24"/>
        </w:rPr>
        <w:t xml:space="preserve"> Resolução Administrativa do TRE-BA nº 6, de </w:t>
      </w:r>
      <w:proofErr w:type="gramStart"/>
      <w:r w:rsidR="005D3259" w:rsidRPr="00F54A97">
        <w:rPr>
          <w:rFonts w:ascii="Times New Roman" w:hAnsi="Times New Roman" w:cs="Times New Roman"/>
          <w:color w:val="000000" w:themeColor="text1"/>
          <w:sz w:val="24"/>
          <w:szCs w:val="24"/>
        </w:rPr>
        <w:t>4</w:t>
      </w:r>
      <w:proofErr w:type="gramEnd"/>
      <w:r w:rsidR="005D3259" w:rsidRPr="00F54A97">
        <w:rPr>
          <w:rFonts w:ascii="Times New Roman" w:hAnsi="Times New Roman" w:cs="Times New Roman"/>
          <w:color w:val="000000" w:themeColor="text1"/>
          <w:sz w:val="24"/>
          <w:szCs w:val="24"/>
        </w:rPr>
        <w:t xml:space="preserve"> de maio de 2015, que regulamenta e estabelece as atividades de auditoria, inspeção administrativa e fiscalização, no âmbito da Secretaria do Tribunal e dos Cartórios das Zonas Eleitorais do Estado, e </w:t>
      </w:r>
      <w:r w:rsidR="00113123" w:rsidRPr="00F54A97">
        <w:rPr>
          <w:rFonts w:ascii="Times New Roman" w:hAnsi="Times New Roman" w:cs="Times New Roman"/>
          <w:color w:val="000000" w:themeColor="text1"/>
          <w:sz w:val="24"/>
          <w:szCs w:val="24"/>
        </w:rPr>
        <w:t xml:space="preserve">o </w:t>
      </w:r>
      <w:r w:rsidR="005D3259" w:rsidRPr="00F54A97">
        <w:rPr>
          <w:rFonts w:ascii="Times New Roman" w:hAnsi="Times New Roman" w:cs="Times New Roman"/>
          <w:color w:val="000000" w:themeColor="text1"/>
          <w:sz w:val="24"/>
          <w:szCs w:val="24"/>
        </w:rPr>
        <w:t>respectivo manual de procedimentos, aprovado por meio da Portaria da Presidência do TRE-BA nº</w:t>
      </w:r>
      <w:r w:rsidRPr="00F54A97">
        <w:rPr>
          <w:rFonts w:ascii="Times New Roman" w:hAnsi="Times New Roman" w:cs="Times New Roman"/>
          <w:color w:val="000000" w:themeColor="text1"/>
          <w:sz w:val="24"/>
          <w:szCs w:val="24"/>
        </w:rPr>
        <w:t xml:space="preserve"> 87, de 15 de fevereiro de 2016</w:t>
      </w:r>
      <w:r w:rsidR="00113123"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nortearam o desenvolvimento das atividades pertinentes</w:t>
      </w:r>
      <w:r w:rsidR="00113123"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w:t>
      </w:r>
      <w:r w:rsidR="005D3259" w:rsidRPr="00F54A97">
        <w:rPr>
          <w:rFonts w:ascii="Times New Roman" w:hAnsi="Times New Roman" w:cs="Times New Roman"/>
          <w:color w:val="000000" w:themeColor="text1"/>
          <w:sz w:val="24"/>
          <w:szCs w:val="24"/>
        </w:rPr>
        <w:t xml:space="preserve"> </w:t>
      </w:r>
    </w:p>
    <w:p w:rsidR="005D3259" w:rsidRPr="00F54A97" w:rsidRDefault="00523741" w:rsidP="00523741">
      <w:pPr>
        <w:numPr>
          <w:ilvl w:val="2"/>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 xml:space="preserve">Também orientaram </w:t>
      </w:r>
      <w:r w:rsidR="005D3259" w:rsidRPr="00F54A97">
        <w:rPr>
          <w:rFonts w:ascii="Times New Roman" w:hAnsi="Times New Roman" w:cs="Times New Roman"/>
          <w:color w:val="000000" w:themeColor="text1"/>
          <w:sz w:val="24"/>
          <w:szCs w:val="24"/>
        </w:rPr>
        <w:t>os trabalhos realizados pela equipe de auditoria designada, a Resolução do CNJ nº 171</w:t>
      </w:r>
      <w:r w:rsidR="005D5927">
        <w:rPr>
          <w:rFonts w:ascii="Times New Roman" w:hAnsi="Times New Roman" w:cs="Times New Roman"/>
          <w:color w:val="000000" w:themeColor="text1"/>
          <w:sz w:val="24"/>
          <w:szCs w:val="24"/>
        </w:rPr>
        <w:t xml:space="preserve">, de 1° de março de </w:t>
      </w:r>
      <w:r w:rsidR="005D3259" w:rsidRPr="00F54A97">
        <w:rPr>
          <w:rFonts w:ascii="Times New Roman" w:hAnsi="Times New Roman" w:cs="Times New Roman"/>
          <w:color w:val="000000" w:themeColor="text1"/>
          <w:sz w:val="24"/>
          <w:szCs w:val="24"/>
        </w:rPr>
        <w:t>2013, que dispõe sobre normas técnicas de auditoria, inspeção administrativa e fiscalização, no âmbito do Poder Judiciário, as normas de auditoria editadas pelo Tribunal de Contas da União (</w:t>
      </w:r>
      <w:proofErr w:type="spellStart"/>
      <w:r w:rsidR="005D3259" w:rsidRPr="00F54A97">
        <w:rPr>
          <w:rFonts w:ascii="Times New Roman" w:hAnsi="Times New Roman" w:cs="Times New Roman"/>
          <w:color w:val="000000" w:themeColor="text1"/>
          <w:sz w:val="24"/>
          <w:szCs w:val="24"/>
        </w:rPr>
        <w:t>NATs</w:t>
      </w:r>
      <w:proofErr w:type="spellEnd"/>
      <w:r w:rsidR="005D3259" w:rsidRPr="00F54A97">
        <w:rPr>
          <w:rFonts w:ascii="Times New Roman" w:hAnsi="Times New Roman" w:cs="Times New Roman"/>
          <w:color w:val="000000" w:themeColor="text1"/>
          <w:sz w:val="24"/>
          <w:szCs w:val="24"/>
        </w:rPr>
        <w:t xml:space="preserve">) – Portaria TCU nº 280, de </w:t>
      </w:r>
      <w:proofErr w:type="gramStart"/>
      <w:r w:rsidR="005D3259" w:rsidRPr="00F54A97">
        <w:rPr>
          <w:rFonts w:ascii="Times New Roman" w:hAnsi="Times New Roman" w:cs="Times New Roman"/>
          <w:color w:val="000000" w:themeColor="text1"/>
          <w:sz w:val="24"/>
          <w:szCs w:val="24"/>
        </w:rPr>
        <w:t>8</w:t>
      </w:r>
      <w:proofErr w:type="gramEnd"/>
      <w:r w:rsidR="005D3259" w:rsidRPr="00F54A97">
        <w:rPr>
          <w:rFonts w:ascii="Times New Roman" w:hAnsi="Times New Roman" w:cs="Times New Roman"/>
          <w:color w:val="000000" w:themeColor="text1"/>
          <w:sz w:val="24"/>
          <w:szCs w:val="24"/>
        </w:rPr>
        <w:t xml:space="preserve"> de dezembro de 2010, alterada pela Portaria TCU nº 168, de 30 de junho de 2011</w:t>
      </w:r>
      <w:r w:rsidR="009C765B">
        <w:rPr>
          <w:rFonts w:ascii="Times New Roman" w:hAnsi="Times New Roman" w:cs="Times New Roman"/>
          <w:color w:val="000000" w:themeColor="text1"/>
          <w:sz w:val="24"/>
          <w:szCs w:val="24"/>
        </w:rPr>
        <w:t xml:space="preserve">, </w:t>
      </w:r>
      <w:r w:rsidR="009C765B" w:rsidRPr="00D70398">
        <w:rPr>
          <w:rFonts w:ascii="Times New Roman" w:hAnsi="Times New Roman" w:cs="Times New Roman"/>
          <w:sz w:val="24"/>
          <w:szCs w:val="24"/>
        </w:rPr>
        <w:t>e a</w:t>
      </w:r>
      <w:r w:rsidR="005D5927" w:rsidRPr="00D70398">
        <w:rPr>
          <w:rFonts w:ascii="Times New Roman" w:hAnsi="Times New Roman" w:cs="Times New Roman"/>
          <w:sz w:val="24"/>
          <w:szCs w:val="24"/>
        </w:rPr>
        <w:t>s</w:t>
      </w:r>
      <w:r w:rsidR="005D3259" w:rsidRPr="00D70398">
        <w:rPr>
          <w:rFonts w:ascii="Times New Roman" w:hAnsi="Times New Roman" w:cs="Times New Roman"/>
          <w:sz w:val="24"/>
          <w:szCs w:val="24"/>
        </w:rPr>
        <w:t xml:space="preserve"> </w:t>
      </w:r>
      <w:r w:rsidR="005D3259" w:rsidRPr="00F54A97">
        <w:rPr>
          <w:rFonts w:ascii="Times New Roman" w:hAnsi="Times New Roman" w:cs="Times New Roman"/>
          <w:color w:val="000000" w:themeColor="text1"/>
          <w:sz w:val="24"/>
          <w:szCs w:val="24"/>
        </w:rPr>
        <w:t>Normas Internacionais para a Prática Profissional de Auditoria Interna</w:t>
      </w:r>
      <w:r w:rsidR="005D5927">
        <w:rPr>
          <w:rFonts w:ascii="Times New Roman" w:hAnsi="Times New Roman" w:cs="Times New Roman"/>
          <w:color w:val="000000" w:themeColor="text1"/>
          <w:sz w:val="24"/>
          <w:szCs w:val="24"/>
        </w:rPr>
        <w:t xml:space="preserve"> (IPPF)</w:t>
      </w:r>
      <w:r w:rsidR="005D3259" w:rsidRPr="00F54A97">
        <w:rPr>
          <w:rFonts w:ascii="Times New Roman" w:hAnsi="Times New Roman" w:cs="Times New Roman"/>
          <w:color w:val="000000" w:themeColor="text1"/>
          <w:sz w:val="24"/>
          <w:szCs w:val="24"/>
        </w:rPr>
        <w:t>, editadas pelo Instituto de Auditores Internos (IIA)</w:t>
      </w:r>
      <w:r w:rsidR="009C765B">
        <w:rPr>
          <w:rFonts w:ascii="Times New Roman" w:hAnsi="Times New Roman" w:cs="Times New Roman"/>
          <w:color w:val="000000" w:themeColor="text1"/>
          <w:sz w:val="24"/>
          <w:szCs w:val="24"/>
        </w:rPr>
        <w:t>.</w:t>
      </w:r>
    </w:p>
    <w:p w:rsidR="00630D25" w:rsidRPr="00F54A97" w:rsidRDefault="00630D25" w:rsidP="00414DB8">
      <w:pPr>
        <w:numPr>
          <w:ilvl w:val="1"/>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Benef</w:t>
      </w:r>
      <w:r w:rsidR="00F94DC9" w:rsidRPr="00F54A97">
        <w:rPr>
          <w:rFonts w:ascii="Times New Roman" w:hAnsi="Times New Roman" w:cs="Times New Roman"/>
          <w:color w:val="000000" w:themeColor="text1"/>
          <w:sz w:val="24"/>
          <w:szCs w:val="24"/>
        </w:rPr>
        <w:t>ícios estimados:</w:t>
      </w:r>
    </w:p>
    <w:p w:rsidR="00AE6715" w:rsidRPr="00F54A97" w:rsidRDefault="0054099A" w:rsidP="00617290">
      <w:pPr>
        <w:numPr>
          <w:ilvl w:val="2"/>
          <w:numId w:val="1"/>
        </w:numPr>
        <w:spacing w:after="12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Inobstante</w:t>
      </w:r>
      <w:r w:rsidR="00F94DC9" w:rsidRPr="00F54A97">
        <w:rPr>
          <w:rFonts w:ascii="Times New Roman" w:hAnsi="Times New Roman" w:cs="Times New Roman"/>
          <w:color w:val="000000" w:themeColor="text1"/>
          <w:sz w:val="24"/>
          <w:szCs w:val="24"/>
        </w:rPr>
        <w:t xml:space="preserve"> </w:t>
      </w:r>
      <w:r w:rsidR="00FD6A0C" w:rsidRPr="00F54A97">
        <w:rPr>
          <w:rFonts w:ascii="Times New Roman" w:hAnsi="Times New Roman" w:cs="Times New Roman"/>
          <w:color w:val="000000" w:themeColor="text1"/>
          <w:sz w:val="24"/>
          <w:szCs w:val="24"/>
        </w:rPr>
        <w:t xml:space="preserve">a já verificada </w:t>
      </w:r>
      <w:r w:rsidR="0042289B" w:rsidRPr="00F54A97">
        <w:rPr>
          <w:rFonts w:ascii="Times New Roman" w:hAnsi="Times New Roman" w:cs="Times New Roman"/>
          <w:color w:val="000000" w:themeColor="text1"/>
          <w:sz w:val="24"/>
          <w:szCs w:val="24"/>
        </w:rPr>
        <w:t>carên</w:t>
      </w:r>
      <w:r w:rsidR="00F94DC9" w:rsidRPr="00F54A97">
        <w:rPr>
          <w:rFonts w:ascii="Times New Roman" w:hAnsi="Times New Roman" w:cs="Times New Roman"/>
          <w:color w:val="000000" w:themeColor="text1"/>
          <w:sz w:val="24"/>
          <w:szCs w:val="24"/>
        </w:rPr>
        <w:t>cia d</w:t>
      </w:r>
      <w:r w:rsidR="009C765B">
        <w:rPr>
          <w:rFonts w:ascii="Times New Roman" w:hAnsi="Times New Roman" w:cs="Times New Roman"/>
          <w:color w:val="000000" w:themeColor="text1"/>
          <w:sz w:val="24"/>
          <w:szCs w:val="24"/>
        </w:rPr>
        <w:t>e</w:t>
      </w:r>
      <w:r w:rsidR="00F94DC9" w:rsidRPr="00F54A97">
        <w:rPr>
          <w:rFonts w:ascii="Times New Roman" w:hAnsi="Times New Roman" w:cs="Times New Roman"/>
          <w:color w:val="000000" w:themeColor="text1"/>
          <w:sz w:val="24"/>
          <w:szCs w:val="24"/>
        </w:rPr>
        <w:t xml:space="preserve"> gerenciamento de riscos e instituição de controles internos, no âmbito deste Regional, espera-se que</w:t>
      </w:r>
      <w:r w:rsidRPr="00F54A97">
        <w:rPr>
          <w:rFonts w:ascii="Times New Roman" w:hAnsi="Times New Roman" w:cs="Times New Roman"/>
          <w:color w:val="000000" w:themeColor="text1"/>
          <w:sz w:val="24"/>
          <w:szCs w:val="24"/>
        </w:rPr>
        <w:t xml:space="preserve"> </w:t>
      </w:r>
      <w:r w:rsidR="00F94DC9" w:rsidRPr="00F54A97">
        <w:rPr>
          <w:rFonts w:ascii="Times New Roman" w:hAnsi="Times New Roman" w:cs="Times New Roman"/>
          <w:color w:val="000000" w:themeColor="text1"/>
          <w:sz w:val="24"/>
          <w:szCs w:val="24"/>
        </w:rPr>
        <w:t xml:space="preserve">a </w:t>
      </w:r>
      <w:r w:rsidRPr="00F54A97">
        <w:rPr>
          <w:rFonts w:ascii="Times New Roman" w:hAnsi="Times New Roman" w:cs="Times New Roman"/>
          <w:color w:val="000000" w:themeColor="text1"/>
          <w:sz w:val="24"/>
          <w:szCs w:val="24"/>
        </w:rPr>
        <w:t>apresentação</w:t>
      </w:r>
      <w:r w:rsidR="00F94DC9" w:rsidRPr="00F54A97">
        <w:rPr>
          <w:rFonts w:ascii="Times New Roman" w:hAnsi="Times New Roman" w:cs="Times New Roman"/>
          <w:color w:val="000000" w:themeColor="text1"/>
          <w:sz w:val="24"/>
          <w:szCs w:val="24"/>
        </w:rPr>
        <w:t xml:space="preserve"> d</w:t>
      </w:r>
      <w:r w:rsidRPr="00F54A97">
        <w:rPr>
          <w:rFonts w:ascii="Times New Roman" w:hAnsi="Times New Roman" w:cs="Times New Roman"/>
          <w:color w:val="000000" w:themeColor="text1"/>
          <w:sz w:val="24"/>
          <w:szCs w:val="24"/>
        </w:rPr>
        <w:t>o</w:t>
      </w:r>
      <w:r w:rsidR="00F94DC9" w:rsidRPr="00F54A97">
        <w:rPr>
          <w:rFonts w:ascii="Times New Roman" w:hAnsi="Times New Roman" w:cs="Times New Roman"/>
          <w:color w:val="000000" w:themeColor="text1"/>
          <w:sz w:val="24"/>
          <w:szCs w:val="24"/>
        </w:rPr>
        <w:t xml:space="preserve"> presente </w:t>
      </w:r>
      <w:r w:rsidRPr="00F54A97">
        <w:rPr>
          <w:rFonts w:ascii="Times New Roman" w:hAnsi="Times New Roman" w:cs="Times New Roman"/>
          <w:color w:val="000000" w:themeColor="text1"/>
          <w:sz w:val="24"/>
          <w:szCs w:val="24"/>
        </w:rPr>
        <w:t>relatório</w:t>
      </w:r>
      <w:r w:rsidR="001E4675">
        <w:rPr>
          <w:rFonts w:ascii="Times New Roman" w:hAnsi="Times New Roman" w:cs="Times New Roman"/>
          <w:color w:val="000000" w:themeColor="text1"/>
          <w:sz w:val="24"/>
          <w:szCs w:val="24"/>
        </w:rPr>
        <w:t xml:space="preserve"> auxilie</w:t>
      </w:r>
      <w:r w:rsidRPr="00F54A97">
        <w:rPr>
          <w:rFonts w:ascii="Times New Roman" w:hAnsi="Times New Roman" w:cs="Times New Roman"/>
          <w:color w:val="000000" w:themeColor="text1"/>
          <w:sz w:val="24"/>
          <w:szCs w:val="24"/>
        </w:rPr>
        <w:t xml:space="preserve"> </w:t>
      </w:r>
      <w:r w:rsidR="00196096" w:rsidRPr="00F54A97">
        <w:rPr>
          <w:rFonts w:ascii="Times New Roman" w:hAnsi="Times New Roman" w:cs="Times New Roman"/>
          <w:color w:val="000000" w:themeColor="text1"/>
          <w:sz w:val="24"/>
          <w:szCs w:val="24"/>
        </w:rPr>
        <w:t xml:space="preserve">o TRE-BA </w:t>
      </w:r>
      <w:r w:rsidR="001E4675">
        <w:rPr>
          <w:rFonts w:ascii="Times New Roman" w:hAnsi="Times New Roman" w:cs="Times New Roman"/>
          <w:color w:val="000000" w:themeColor="text1"/>
          <w:sz w:val="24"/>
          <w:szCs w:val="24"/>
        </w:rPr>
        <w:t>no aperfeiçoamento da</w:t>
      </w:r>
      <w:r w:rsidRPr="00F54A97">
        <w:rPr>
          <w:rFonts w:ascii="Times New Roman" w:hAnsi="Times New Roman" w:cs="Times New Roman"/>
          <w:color w:val="000000" w:themeColor="text1"/>
          <w:sz w:val="24"/>
          <w:szCs w:val="24"/>
        </w:rPr>
        <w:t xml:space="preserve"> gestão </w:t>
      </w:r>
      <w:r w:rsidR="001E4675">
        <w:rPr>
          <w:rFonts w:ascii="Times New Roman" w:hAnsi="Times New Roman" w:cs="Times New Roman"/>
          <w:color w:val="000000" w:themeColor="text1"/>
          <w:sz w:val="24"/>
          <w:szCs w:val="24"/>
        </w:rPr>
        <w:t>d</w:t>
      </w:r>
      <w:r w:rsidRPr="00F54A97">
        <w:rPr>
          <w:rFonts w:ascii="Times New Roman" w:hAnsi="Times New Roman" w:cs="Times New Roman"/>
          <w:color w:val="000000" w:themeColor="text1"/>
          <w:sz w:val="24"/>
          <w:szCs w:val="24"/>
        </w:rPr>
        <w:t xml:space="preserve">o processo de trabalho auditado e </w:t>
      </w:r>
      <w:r w:rsidR="001E4675">
        <w:rPr>
          <w:rFonts w:ascii="Times New Roman" w:hAnsi="Times New Roman" w:cs="Times New Roman"/>
          <w:color w:val="000000" w:themeColor="text1"/>
          <w:sz w:val="24"/>
          <w:szCs w:val="24"/>
        </w:rPr>
        <w:t>instituição ou aprimoramento d</w:t>
      </w:r>
      <w:r w:rsidRPr="00F54A97">
        <w:rPr>
          <w:rFonts w:ascii="Times New Roman" w:hAnsi="Times New Roman" w:cs="Times New Roman"/>
          <w:color w:val="000000" w:themeColor="text1"/>
          <w:sz w:val="24"/>
          <w:szCs w:val="24"/>
        </w:rPr>
        <w:t>as respectivas sistemática</w:t>
      </w:r>
      <w:r w:rsidR="00F668EF" w:rsidRPr="00F54A97">
        <w:rPr>
          <w:rFonts w:ascii="Times New Roman" w:hAnsi="Times New Roman" w:cs="Times New Roman"/>
          <w:color w:val="000000" w:themeColor="text1"/>
          <w:sz w:val="24"/>
          <w:szCs w:val="24"/>
        </w:rPr>
        <w:t>s</w:t>
      </w:r>
      <w:r w:rsidRPr="00F54A97">
        <w:rPr>
          <w:rFonts w:ascii="Times New Roman" w:hAnsi="Times New Roman" w:cs="Times New Roman"/>
          <w:color w:val="000000" w:themeColor="text1"/>
          <w:sz w:val="24"/>
          <w:szCs w:val="24"/>
        </w:rPr>
        <w:t xml:space="preserve"> de controle</w:t>
      </w:r>
      <w:r w:rsidR="00FD6A0C" w:rsidRPr="00F54A97">
        <w:rPr>
          <w:rFonts w:ascii="Times New Roman" w:hAnsi="Times New Roman" w:cs="Times New Roman"/>
          <w:color w:val="000000" w:themeColor="text1"/>
          <w:sz w:val="24"/>
          <w:szCs w:val="24"/>
        </w:rPr>
        <w:t>, a fim de assegurar maior eficiência, eficácia e economi</w:t>
      </w:r>
      <w:r w:rsidR="006105F9" w:rsidRPr="00F54A97">
        <w:rPr>
          <w:rFonts w:ascii="Times New Roman" w:hAnsi="Times New Roman" w:cs="Times New Roman"/>
          <w:color w:val="000000" w:themeColor="text1"/>
          <w:sz w:val="24"/>
          <w:szCs w:val="24"/>
        </w:rPr>
        <w:t xml:space="preserve">cidade </w:t>
      </w:r>
      <w:r w:rsidR="00143A29">
        <w:rPr>
          <w:rFonts w:ascii="Times New Roman" w:hAnsi="Times New Roman" w:cs="Times New Roman"/>
          <w:color w:val="000000" w:themeColor="text1"/>
          <w:sz w:val="24"/>
          <w:szCs w:val="24"/>
        </w:rPr>
        <w:t>a</w:t>
      </w:r>
      <w:r w:rsidR="006105F9" w:rsidRPr="00F54A97">
        <w:rPr>
          <w:rFonts w:ascii="Times New Roman" w:hAnsi="Times New Roman" w:cs="Times New Roman"/>
          <w:color w:val="000000" w:themeColor="text1"/>
          <w:sz w:val="24"/>
          <w:szCs w:val="24"/>
        </w:rPr>
        <w:t>o uso da coisa pública</w:t>
      </w:r>
      <w:r w:rsidR="00F668EF" w:rsidRPr="00F54A97">
        <w:rPr>
          <w:rFonts w:ascii="Times New Roman" w:hAnsi="Times New Roman" w:cs="Times New Roman"/>
          <w:color w:val="000000" w:themeColor="text1"/>
          <w:sz w:val="24"/>
          <w:szCs w:val="24"/>
        </w:rPr>
        <w:t>,</w:t>
      </w:r>
      <w:r w:rsidR="006105F9" w:rsidRPr="00F54A97">
        <w:rPr>
          <w:rFonts w:ascii="Times New Roman" w:hAnsi="Times New Roman" w:cs="Times New Roman"/>
          <w:color w:val="000000" w:themeColor="text1"/>
          <w:sz w:val="24"/>
          <w:szCs w:val="24"/>
        </w:rPr>
        <w:t xml:space="preserve"> maximizando, assim, as potencialidades de concretização de objetivos e metas pertinentes. </w:t>
      </w:r>
      <w:r w:rsidRPr="00F54A97">
        <w:rPr>
          <w:rFonts w:ascii="Times New Roman" w:hAnsi="Times New Roman" w:cs="Times New Roman"/>
          <w:color w:val="000000" w:themeColor="text1"/>
          <w:sz w:val="24"/>
          <w:szCs w:val="24"/>
        </w:rPr>
        <w:t xml:space="preserve">  </w:t>
      </w:r>
    </w:p>
    <w:p w:rsidR="0080171E" w:rsidRPr="006A4542" w:rsidRDefault="00E0441A" w:rsidP="00E0441A">
      <w:pPr>
        <w:pStyle w:val="PargrafodaLista"/>
        <w:spacing w:after="240"/>
        <w:ind w:left="357" w:hanging="357"/>
        <w:rPr>
          <w:sz w:val="24"/>
          <w:szCs w:val="24"/>
        </w:rPr>
      </w:pPr>
      <w:bookmarkStart w:id="12" w:name="_Toc511288059"/>
      <w:r w:rsidRPr="006A4542">
        <w:rPr>
          <w:sz w:val="24"/>
          <w:szCs w:val="24"/>
        </w:rPr>
        <w:t>ACHADOS DE AUDITORIA</w:t>
      </w:r>
      <w:bookmarkEnd w:id="12"/>
    </w:p>
    <w:p w:rsidR="00E0441A" w:rsidRPr="006A4542" w:rsidRDefault="00E0441A" w:rsidP="00414DB8">
      <w:pPr>
        <w:numPr>
          <w:ilvl w:val="1"/>
          <w:numId w:val="1"/>
        </w:numPr>
        <w:spacing w:after="120" w:line="240" w:lineRule="auto"/>
        <w:ind w:left="357" w:hanging="357"/>
        <w:jc w:val="both"/>
        <w:rPr>
          <w:rFonts w:ascii="Times New Roman" w:hAnsi="Times New Roman" w:cs="Times New Roman"/>
          <w:sz w:val="24"/>
          <w:szCs w:val="24"/>
        </w:rPr>
      </w:pPr>
      <w:r w:rsidRPr="006A4542">
        <w:rPr>
          <w:rFonts w:ascii="Times New Roman" w:hAnsi="Times New Roman" w:cs="Times New Roman"/>
          <w:sz w:val="24"/>
          <w:szCs w:val="24"/>
        </w:rPr>
        <w:t xml:space="preserve">Ultimadas as etapas reservadas ao exame, análise e cotejo de documentos, registros e demais fontes de </w:t>
      </w:r>
      <w:proofErr w:type="gramStart"/>
      <w:r w:rsidRPr="006A4542">
        <w:rPr>
          <w:rFonts w:ascii="Times New Roman" w:hAnsi="Times New Roman" w:cs="Times New Roman"/>
          <w:sz w:val="24"/>
          <w:szCs w:val="24"/>
        </w:rPr>
        <w:t>informaç</w:t>
      </w:r>
      <w:r w:rsidR="006105F9" w:rsidRPr="006A4542">
        <w:rPr>
          <w:rFonts w:ascii="Times New Roman" w:hAnsi="Times New Roman" w:cs="Times New Roman"/>
          <w:sz w:val="24"/>
          <w:szCs w:val="24"/>
        </w:rPr>
        <w:t>ões</w:t>
      </w:r>
      <w:r w:rsidRPr="006A4542">
        <w:rPr>
          <w:rFonts w:ascii="Times New Roman" w:hAnsi="Times New Roman" w:cs="Times New Roman"/>
          <w:sz w:val="24"/>
          <w:szCs w:val="24"/>
        </w:rPr>
        <w:t xml:space="preserve"> </w:t>
      </w:r>
      <w:r w:rsidR="00F668EF" w:rsidRPr="006A4542">
        <w:rPr>
          <w:rFonts w:ascii="Times New Roman" w:hAnsi="Times New Roman" w:cs="Times New Roman"/>
          <w:sz w:val="24"/>
          <w:szCs w:val="24"/>
        </w:rPr>
        <w:t>consideradas</w:t>
      </w:r>
      <w:r w:rsidRPr="006A4542">
        <w:rPr>
          <w:rFonts w:ascii="Times New Roman" w:hAnsi="Times New Roman" w:cs="Times New Roman"/>
          <w:sz w:val="24"/>
          <w:szCs w:val="24"/>
        </w:rPr>
        <w:t>, observados</w:t>
      </w:r>
      <w:proofErr w:type="gramEnd"/>
      <w:r w:rsidRPr="006A4542">
        <w:rPr>
          <w:rFonts w:ascii="Times New Roman" w:hAnsi="Times New Roman" w:cs="Times New Roman"/>
          <w:sz w:val="24"/>
          <w:szCs w:val="24"/>
        </w:rPr>
        <w:t xml:space="preserve"> os critérios referenciais utilizados, restaram evidenciados os seguintes achados</w:t>
      </w:r>
      <w:r w:rsidR="00AE549D" w:rsidRPr="006A4542">
        <w:rPr>
          <w:rFonts w:ascii="Times New Roman" w:hAnsi="Times New Roman" w:cs="Times New Roman"/>
          <w:sz w:val="24"/>
          <w:szCs w:val="24"/>
        </w:rPr>
        <w:t xml:space="preserve"> de auditoria</w:t>
      </w:r>
      <w:r w:rsidRPr="006A4542">
        <w:rPr>
          <w:rFonts w:ascii="Times New Roman" w:hAnsi="Times New Roman" w:cs="Times New Roman"/>
          <w:sz w:val="24"/>
          <w:szCs w:val="24"/>
        </w:rPr>
        <w:t>:</w:t>
      </w:r>
    </w:p>
    <w:p w:rsidR="00E0441A" w:rsidRPr="00F54A97" w:rsidRDefault="00071568"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A05581">
        <w:rPr>
          <w:rFonts w:ascii="Times New Roman" w:hAnsi="Times New Roman" w:cs="Times New Roman"/>
          <w:color w:val="000000" w:themeColor="text1"/>
          <w:sz w:val="24"/>
          <w:szCs w:val="24"/>
          <w:u w:val="single"/>
        </w:rPr>
        <w:t>Insuficiência</w:t>
      </w:r>
      <w:r>
        <w:rPr>
          <w:rFonts w:ascii="Times New Roman" w:hAnsi="Times New Roman" w:cs="Times New Roman"/>
          <w:color w:val="000000" w:themeColor="text1"/>
          <w:sz w:val="24"/>
          <w:szCs w:val="24"/>
          <w:u w:val="single"/>
        </w:rPr>
        <w:t xml:space="preserve"> </w:t>
      </w:r>
      <w:r w:rsidR="00F668EF" w:rsidRPr="00F54A97">
        <w:rPr>
          <w:rFonts w:ascii="Times New Roman" w:hAnsi="Times New Roman" w:cs="Times New Roman"/>
          <w:color w:val="000000" w:themeColor="text1"/>
          <w:sz w:val="24"/>
          <w:szCs w:val="24"/>
          <w:u w:val="single"/>
        </w:rPr>
        <w:t xml:space="preserve">na </w:t>
      </w:r>
      <w:r w:rsidR="00A90666" w:rsidRPr="00F54A97">
        <w:rPr>
          <w:rFonts w:ascii="Times New Roman" w:hAnsi="Times New Roman" w:cs="Times New Roman"/>
          <w:color w:val="000000" w:themeColor="text1"/>
          <w:sz w:val="24"/>
          <w:szCs w:val="24"/>
          <w:u w:val="single"/>
        </w:rPr>
        <w:t>disseminação do Código de Ética</w:t>
      </w:r>
      <w:r w:rsidR="006378A5" w:rsidRPr="00F54A97">
        <w:rPr>
          <w:rFonts w:ascii="Times New Roman" w:hAnsi="Times New Roman" w:cs="Times New Roman"/>
          <w:color w:val="000000" w:themeColor="text1"/>
          <w:sz w:val="24"/>
          <w:szCs w:val="24"/>
          <w:u w:val="single"/>
        </w:rPr>
        <w:t>.</w:t>
      </w:r>
    </w:p>
    <w:p w:rsidR="00222C6A" w:rsidRPr="00F54A97" w:rsidRDefault="00222C6A"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F54A97">
        <w:rPr>
          <w:rFonts w:ascii="Times New Roman" w:hAnsi="Times New Roman" w:cs="Times New Roman"/>
          <w:i/>
          <w:color w:val="000000" w:themeColor="text1"/>
          <w:sz w:val="24"/>
          <w:szCs w:val="24"/>
        </w:rPr>
        <w:t>Situação encontrada</w:t>
      </w:r>
      <w:r w:rsidRPr="00F54A97">
        <w:rPr>
          <w:rFonts w:ascii="Times New Roman" w:hAnsi="Times New Roman" w:cs="Times New Roman"/>
          <w:color w:val="000000" w:themeColor="text1"/>
          <w:sz w:val="24"/>
          <w:szCs w:val="24"/>
        </w:rPr>
        <w:t>:</w:t>
      </w:r>
      <w:r w:rsidR="007B729D" w:rsidRPr="00F54A97">
        <w:rPr>
          <w:rFonts w:ascii="Times New Roman" w:hAnsi="Times New Roman" w:cs="Times New Roman"/>
          <w:color w:val="000000" w:themeColor="text1"/>
          <w:sz w:val="24"/>
          <w:szCs w:val="24"/>
        </w:rPr>
        <w:t xml:space="preserve"> </w:t>
      </w:r>
      <w:r w:rsidR="007B729D" w:rsidRPr="00F54A97">
        <w:rPr>
          <w:rFonts w:ascii="Times New Roman" w:hAnsi="Times New Roman" w:cs="Times New Roman"/>
          <w:color w:val="000000" w:themeColor="text1"/>
          <w:sz w:val="24"/>
          <w:szCs w:val="24"/>
        </w:rPr>
        <w:tab/>
      </w:r>
    </w:p>
    <w:p w:rsidR="007C3F0D" w:rsidRDefault="00A90666" w:rsidP="00A90666">
      <w:pPr>
        <w:numPr>
          <w:ilvl w:val="4"/>
          <w:numId w:val="1"/>
        </w:numPr>
        <w:spacing w:after="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t xml:space="preserve">O Código de Ética organizacional foi formalizado por meio da Resolução Administrativa do TRE-BA nº 3, de 19 de maio de 2017, e a Comissão Permanente de Ética designada </w:t>
      </w:r>
      <w:r w:rsidR="00E3664D">
        <w:rPr>
          <w:rFonts w:ascii="Times New Roman" w:hAnsi="Times New Roman" w:cs="Times New Roman"/>
          <w:color w:val="000000" w:themeColor="text1"/>
          <w:spacing w:val="-2"/>
          <w:sz w:val="24"/>
          <w:szCs w:val="24"/>
        </w:rPr>
        <w:t xml:space="preserve">por meio da </w:t>
      </w:r>
      <w:r w:rsidRPr="00F54A97">
        <w:rPr>
          <w:rFonts w:ascii="Times New Roman" w:hAnsi="Times New Roman" w:cs="Times New Roman"/>
          <w:color w:val="000000" w:themeColor="text1"/>
          <w:spacing w:val="-2"/>
          <w:sz w:val="24"/>
          <w:szCs w:val="24"/>
        </w:rPr>
        <w:t xml:space="preserve">Portaria do Presidente do TRE-BA nº 257, de 11 de julho de 2017, com competência para propor a organização de cursos, manuais, cartilhas, palestras, seminários e outras ações de treinamento e disseminação do supracitado código de conduta institucional. No entanto, verificou-se reduzido número de ações de disseminação e promoção de valores contidos no Código de Ética, tendo apenas ocorrido </w:t>
      </w:r>
      <w:proofErr w:type="gramStart"/>
      <w:r w:rsidR="00447395">
        <w:rPr>
          <w:rFonts w:ascii="Times New Roman" w:hAnsi="Times New Roman" w:cs="Times New Roman"/>
          <w:color w:val="000000" w:themeColor="text1"/>
          <w:spacing w:val="-2"/>
          <w:sz w:val="24"/>
          <w:szCs w:val="24"/>
        </w:rPr>
        <w:t>a</w:t>
      </w:r>
      <w:proofErr w:type="gramEnd"/>
      <w:r w:rsidRPr="00F54A97">
        <w:rPr>
          <w:rFonts w:ascii="Times New Roman" w:hAnsi="Times New Roman" w:cs="Times New Roman"/>
          <w:color w:val="000000" w:themeColor="text1"/>
          <w:spacing w:val="-2"/>
          <w:sz w:val="24"/>
          <w:szCs w:val="24"/>
        </w:rPr>
        <w:t xml:space="preserve"> divulgação de matéria </w:t>
      </w:r>
      <w:r w:rsidR="00447395">
        <w:rPr>
          <w:rFonts w:ascii="Times New Roman" w:hAnsi="Times New Roman" w:cs="Times New Roman"/>
          <w:color w:val="000000" w:themeColor="text1"/>
          <w:spacing w:val="-2"/>
          <w:sz w:val="24"/>
          <w:szCs w:val="24"/>
        </w:rPr>
        <w:t xml:space="preserve">jornalística </w:t>
      </w:r>
      <w:r w:rsidRPr="00F54A97">
        <w:rPr>
          <w:rFonts w:ascii="Times New Roman" w:hAnsi="Times New Roman" w:cs="Times New Roman"/>
          <w:color w:val="000000" w:themeColor="text1"/>
          <w:spacing w:val="-2"/>
          <w:sz w:val="24"/>
          <w:szCs w:val="24"/>
        </w:rPr>
        <w:t>por meio de e-mail institucional</w:t>
      </w:r>
      <w:r w:rsidR="00447395">
        <w:rPr>
          <w:rFonts w:ascii="Times New Roman" w:hAnsi="Times New Roman" w:cs="Times New Roman"/>
          <w:color w:val="000000" w:themeColor="text1"/>
          <w:spacing w:val="-2"/>
          <w:sz w:val="24"/>
          <w:szCs w:val="24"/>
        </w:rPr>
        <w:t>,</w:t>
      </w:r>
      <w:r w:rsidRPr="00F54A97">
        <w:rPr>
          <w:rFonts w:ascii="Times New Roman" w:hAnsi="Times New Roman" w:cs="Times New Roman"/>
          <w:color w:val="000000" w:themeColor="text1"/>
          <w:spacing w:val="-2"/>
          <w:sz w:val="24"/>
          <w:szCs w:val="24"/>
        </w:rPr>
        <w:t xml:space="preserve"> em 23/5/2017</w:t>
      </w:r>
      <w:r w:rsidR="00447395" w:rsidRPr="00A05581">
        <w:rPr>
          <w:rFonts w:ascii="Times New Roman" w:hAnsi="Times New Roman" w:cs="Times New Roman"/>
          <w:color w:val="000000" w:themeColor="text1"/>
          <w:spacing w:val="-2"/>
          <w:sz w:val="24"/>
          <w:szCs w:val="24"/>
        </w:rPr>
        <w:t>, bem como a realização, pela SCI, de evento denominado “Conversando sobre Ética”, em 5/2/2018, contemplando cerca de 40 servidores do Órgão</w:t>
      </w:r>
      <w:r w:rsidRPr="00A05581">
        <w:rPr>
          <w:rFonts w:ascii="Times New Roman" w:hAnsi="Times New Roman" w:cs="Times New Roman"/>
          <w:color w:val="000000" w:themeColor="text1"/>
          <w:spacing w:val="-2"/>
          <w:sz w:val="24"/>
          <w:szCs w:val="24"/>
        </w:rPr>
        <w:t xml:space="preserve">. </w:t>
      </w:r>
      <w:r w:rsidRPr="00F54A97">
        <w:rPr>
          <w:rFonts w:ascii="Times New Roman" w:hAnsi="Times New Roman" w:cs="Times New Roman"/>
          <w:color w:val="000000" w:themeColor="text1"/>
          <w:spacing w:val="-2"/>
          <w:sz w:val="24"/>
          <w:szCs w:val="24"/>
        </w:rPr>
        <w:t xml:space="preserve">No Questionário de Avaliação de Controles Internos (QACI), respondido pela COPEG, os servidores da unidade registraram, de forma geral, que a definição formal de padrão de conduta, a divulgação e a promoção de valores éticos é realizada de </w:t>
      </w:r>
      <w:r w:rsidR="00447395">
        <w:rPr>
          <w:rFonts w:ascii="Times New Roman" w:hAnsi="Times New Roman" w:cs="Times New Roman"/>
          <w:color w:val="000000" w:themeColor="text1"/>
          <w:spacing w:val="-2"/>
          <w:sz w:val="24"/>
          <w:szCs w:val="24"/>
        </w:rPr>
        <w:t>modo</w:t>
      </w:r>
      <w:r w:rsidRPr="00F54A97">
        <w:rPr>
          <w:rFonts w:ascii="Times New Roman" w:hAnsi="Times New Roman" w:cs="Times New Roman"/>
          <w:color w:val="000000" w:themeColor="text1"/>
          <w:spacing w:val="-2"/>
          <w:sz w:val="24"/>
          <w:szCs w:val="24"/>
        </w:rPr>
        <w:t xml:space="preserve"> "deficiente". </w:t>
      </w:r>
    </w:p>
    <w:p w:rsidR="007B729D" w:rsidRPr="00F54A97" w:rsidRDefault="00A90666" w:rsidP="00A90666">
      <w:pPr>
        <w:numPr>
          <w:ilvl w:val="4"/>
          <w:numId w:val="1"/>
        </w:numPr>
        <w:spacing w:after="0" w:line="240" w:lineRule="auto"/>
        <w:jc w:val="both"/>
        <w:rPr>
          <w:rFonts w:ascii="Times New Roman" w:hAnsi="Times New Roman" w:cs="Times New Roman"/>
          <w:color w:val="000000" w:themeColor="text1"/>
          <w:spacing w:val="-2"/>
          <w:sz w:val="24"/>
          <w:szCs w:val="24"/>
        </w:rPr>
      </w:pPr>
      <w:r w:rsidRPr="00F54A97">
        <w:rPr>
          <w:rFonts w:ascii="Times New Roman" w:hAnsi="Times New Roman" w:cs="Times New Roman"/>
          <w:color w:val="000000" w:themeColor="text1"/>
          <w:spacing w:val="-2"/>
          <w:sz w:val="24"/>
          <w:szCs w:val="24"/>
        </w:rPr>
        <w:lastRenderedPageBreak/>
        <w:t xml:space="preserve">Do mesmo modo, nas entrevistas realizadas com os gestores da ASCOM, </w:t>
      </w:r>
      <w:proofErr w:type="gramStart"/>
      <w:r w:rsidRPr="00F54A97">
        <w:rPr>
          <w:rFonts w:ascii="Times New Roman" w:hAnsi="Times New Roman" w:cs="Times New Roman"/>
          <w:color w:val="000000" w:themeColor="text1"/>
          <w:spacing w:val="-2"/>
          <w:sz w:val="24"/>
          <w:szCs w:val="24"/>
        </w:rPr>
        <w:t>COPEG, COELE, SJU, SCR, STI, SOF e SGP, foi</w:t>
      </w:r>
      <w:proofErr w:type="gramEnd"/>
      <w:r w:rsidRPr="00F54A97">
        <w:rPr>
          <w:rFonts w:ascii="Times New Roman" w:hAnsi="Times New Roman" w:cs="Times New Roman"/>
          <w:color w:val="000000" w:themeColor="text1"/>
          <w:spacing w:val="-2"/>
          <w:sz w:val="24"/>
          <w:szCs w:val="24"/>
        </w:rPr>
        <w:t xml:space="preserve"> relatado que as unidades não mantêm rotina de disseminação do Código de Ética do TRE-BA. Registre-se, ainda, que o Plano de Comunicação da Estratégia, desenvolvido pela ASCOM, não trata do referido Código. Verificou-se, contudo, a formalização de plano de ação (PAD nº 10.985/2017, Doc. nº 176.785/2017), elaborado pela Comissão Permanente de Ética, aprovado pela Presidência do Tribunal</w:t>
      </w:r>
      <w:r w:rsidR="00447395">
        <w:rPr>
          <w:rFonts w:ascii="Times New Roman" w:hAnsi="Times New Roman" w:cs="Times New Roman"/>
          <w:color w:val="000000" w:themeColor="text1"/>
          <w:spacing w:val="-2"/>
          <w:sz w:val="24"/>
          <w:szCs w:val="24"/>
        </w:rPr>
        <w:t>,</w:t>
      </w:r>
      <w:r w:rsidRPr="00F54A97">
        <w:rPr>
          <w:rFonts w:ascii="Times New Roman" w:hAnsi="Times New Roman" w:cs="Times New Roman"/>
          <w:color w:val="000000" w:themeColor="text1"/>
          <w:spacing w:val="-2"/>
          <w:sz w:val="24"/>
          <w:szCs w:val="24"/>
        </w:rPr>
        <w:t xml:space="preserve"> em 17/10/2017 (PAD nº 10.985/2017, Doc. nº 189.451/2017), contemplando medidas relacionadas à disseminação do Código de Ética no âmbito organizacional, ainda pendentes de </w:t>
      </w:r>
      <w:proofErr w:type="gramStart"/>
      <w:r w:rsidRPr="00F54A97">
        <w:rPr>
          <w:rFonts w:ascii="Times New Roman" w:hAnsi="Times New Roman" w:cs="Times New Roman"/>
          <w:color w:val="000000" w:themeColor="text1"/>
          <w:spacing w:val="-2"/>
          <w:sz w:val="24"/>
          <w:szCs w:val="24"/>
        </w:rPr>
        <w:t>implementação</w:t>
      </w:r>
      <w:proofErr w:type="gramEnd"/>
      <w:r w:rsidRPr="00F54A97">
        <w:rPr>
          <w:rFonts w:ascii="Times New Roman" w:hAnsi="Times New Roman" w:cs="Times New Roman"/>
          <w:color w:val="000000" w:themeColor="text1"/>
          <w:spacing w:val="-2"/>
          <w:sz w:val="24"/>
          <w:szCs w:val="24"/>
        </w:rPr>
        <w:t xml:space="preserve">, consoante teor do relatório de atividades do referido grupo de trabalho, datado de 27/10/2017 (PAD nº 10.985/2017, Doc. nº 197.191/2017). Acrescente-se que, no PEI 2016-2021, foi instituído o indicador "número de ações de valores éticos", cuja medição </w:t>
      </w:r>
      <w:r w:rsidR="00447395">
        <w:rPr>
          <w:rFonts w:ascii="Times New Roman" w:hAnsi="Times New Roman" w:cs="Times New Roman"/>
          <w:color w:val="000000" w:themeColor="text1"/>
          <w:spacing w:val="-2"/>
          <w:sz w:val="24"/>
          <w:szCs w:val="24"/>
        </w:rPr>
        <w:t>deverá ser</w:t>
      </w:r>
      <w:r w:rsidRPr="00F54A97">
        <w:rPr>
          <w:rFonts w:ascii="Times New Roman" w:hAnsi="Times New Roman" w:cs="Times New Roman"/>
          <w:color w:val="000000" w:themeColor="text1"/>
          <w:spacing w:val="-2"/>
          <w:sz w:val="24"/>
          <w:szCs w:val="24"/>
        </w:rPr>
        <w:t xml:space="preserve"> realizada a partir do exercício 2018, tendo em vista decisão do CGPE, na RAE realizada em 21/8/2017.</w:t>
      </w:r>
    </w:p>
    <w:p w:rsidR="007B729D" w:rsidRPr="00F54A97" w:rsidRDefault="007B729D"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F54A97">
        <w:rPr>
          <w:rFonts w:ascii="Times New Roman" w:hAnsi="Times New Roman" w:cs="Times New Roman"/>
          <w:i/>
          <w:color w:val="000000" w:themeColor="text1"/>
          <w:sz w:val="24"/>
          <w:szCs w:val="24"/>
        </w:rPr>
        <w:t>Critério</w:t>
      </w:r>
      <w:r w:rsidRPr="00F54A97">
        <w:rPr>
          <w:rFonts w:ascii="Times New Roman" w:hAnsi="Times New Roman" w:cs="Times New Roman"/>
          <w:color w:val="000000" w:themeColor="text1"/>
          <w:sz w:val="24"/>
          <w:szCs w:val="24"/>
        </w:rPr>
        <w:t xml:space="preserve">: </w:t>
      </w:r>
      <w:r w:rsidRPr="00F54A97">
        <w:rPr>
          <w:rFonts w:ascii="Times New Roman" w:hAnsi="Times New Roman" w:cs="Times New Roman"/>
          <w:color w:val="000000" w:themeColor="text1"/>
          <w:sz w:val="24"/>
          <w:szCs w:val="24"/>
        </w:rPr>
        <w:tab/>
      </w:r>
    </w:p>
    <w:p w:rsidR="007B729D" w:rsidRPr="00A31F42" w:rsidRDefault="00A90666" w:rsidP="00A90666">
      <w:pPr>
        <w:numPr>
          <w:ilvl w:val="4"/>
          <w:numId w:val="1"/>
        </w:numPr>
        <w:spacing w:after="0" w:line="240" w:lineRule="auto"/>
        <w:jc w:val="both"/>
        <w:rPr>
          <w:rFonts w:ascii="Times New Roman" w:hAnsi="Times New Roman" w:cs="Times New Roman"/>
          <w:color w:val="000000" w:themeColor="text1"/>
          <w:spacing w:val="-6"/>
          <w:sz w:val="24"/>
          <w:szCs w:val="24"/>
        </w:rPr>
      </w:pPr>
      <w:r w:rsidRPr="00A31F42">
        <w:rPr>
          <w:rFonts w:ascii="Times New Roman" w:hAnsi="Times New Roman" w:cs="Times New Roman"/>
          <w:color w:val="000000" w:themeColor="text1"/>
          <w:spacing w:val="-6"/>
          <w:sz w:val="24"/>
          <w:szCs w:val="24"/>
        </w:rPr>
        <w:t xml:space="preserve">Resolução Administrativa TRE-BA nº 3/2017, art. 12, IV; Portaria Presidente TRE-BA nº 257/2017; Resolução Administrativa TRE-BA nº 14/2015, Anexo, Perspectiva Processos Internos - Contribuir para o Combate à Corrupção e à Improbidade Administrativa, fl. 18; Decreto nº 9.203/2017, art. 3º, II e art. 4º, V; Referencial </w:t>
      </w:r>
      <w:r w:rsidR="00447395" w:rsidRPr="00A31F42">
        <w:rPr>
          <w:rFonts w:ascii="Times New Roman" w:hAnsi="Times New Roman" w:cs="Times New Roman"/>
          <w:color w:val="000000" w:themeColor="text1"/>
          <w:spacing w:val="-6"/>
          <w:sz w:val="24"/>
          <w:szCs w:val="24"/>
        </w:rPr>
        <w:t>B</w:t>
      </w:r>
      <w:r w:rsidRPr="00A31F42">
        <w:rPr>
          <w:rFonts w:ascii="Times New Roman" w:hAnsi="Times New Roman" w:cs="Times New Roman"/>
          <w:color w:val="000000" w:themeColor="text1"/>
          <w:spacing w:val="-6"/>
          <w:sz w:val="24"/>
          <w:szCs w:val="24"/>
        </w:rPr>
        <w:t xml:space="preserve">ásico de </w:t>
      </w:r>
      <w:r w:rsidR="00447395" w:rsidRPr="00A31F42">
        <w:rPr>
          <w:rFonts w:ascii="Times New Roman" w:hAnsi="Times New Roman" w:cs="Times New Roman"/>
          <w:color w:val="000000" w:themeColor="text1"/>
          <w:spacing w:val="-6"/>
          <w:sz w:val="24"/>
          <w:szCs w:val="24"/>
        </w:rPr>
        <w:t>G</w:t>
      </w:r>
      <w:r w:rsidRPr="00A31F42">
        <w:rPr>
          <w:rFonts w:ascii="Times New Roman" w:hAnsi="Times New Roman" w:cs="Times New Roman"/>
          <w:color w:val="000000" w:themeColor="text1"/>
          <w:spacing w:val="-6"/>
          <w:sz w:val="24"/>
          <w:szCs w:val="24"/>
        </w:rPr>
        <w:t>overnança, aplicável a órgão</w:t>
      </w:r>
      <w:r w:rsidR="00447395" w:rsidRPr="00A31F42">
        <w:rPr>
          <w:rFonts w:ascii="Times New Roman" w:hAnsi="Times New Roman" w:cs="Times New Roman"/>
          <w:color w:val="000000" w:themeColor="text1"/>
          <w:spacing w:val="-6"/>
          <w:sz w:val="24"/>
          <w:szCs w:val="24"/>
        </w:rPr>
        <w:t>s</w:t>
      </w:r>
      <w:r w:rsidRPr="00A31F42">
        <w:rPr>
          <w:rFonts w:ascii="Times New Roman" w:hAnsi="Times New Roman" w:cs="Times New Roman"/>
          <w:color w:val="000000" w:themeColor="text1"/>
          <w:spacing w:val="-6"/>
          <w:sz w:val="24"/>
          <w:szCs w:val="24"/>
        </w:rPr>
        <w:t xml:space="preserve"> e entidades da </w:t>
      </w:r>
      <w:r w:rsidR="00447395" w:rsidRPr="00A31F42">
        <w:rPr>
          <w:rFonts w:ascii="Times New Roman" w:hAnsi="Times New Roman" w:cs="Times New Roman"/>
          <w:color w:val="000000" w:themeColor="text1"/>
          <w:spacing w:val="-6"/>
          <w:sz w:val="24"/>
          <w:szCs w:val="24"/>
        </w:rPr>
        <w:t>A</w:t>
      </w:r>
      <w:r w:rsidRPr="00A31F42">
        <w:rPr>
          <w:rFonts w:ascii="Times New Roman" w:hAnsi="Times New Roman" w:cs="Times New Roman"/>
          <w:color w:val="000000" w:themeColor="text1"/>
          <w:spacing w:val="-6"/>
          <w:sz w:val="24"/>
          <w:szCs w:val="24"/>
        </w:rPr>
        <w:t xml:space="preserve">dministração </w:t>
      </w:r>
      <w:r w:rsidR="00447395" w:rsidRPr="00A31F42">
        <w:rPr>
          <w:rFonts w:ascii="Times New Roman" w:hAnsi="Times New Roman" w:cs="Times New Roman"/>
          <w:color w:val="000000" w:themeColor="text1"/>
          <w:spacing w:val="-6"/>
          <w:sz w:val="24"/>
          <w:szCs w:val="24"/>
        </w:rPr>
        <w:t>P</w:t>
      </w:r>
      <w:r w:rsidRPr="00A31F42">
        <w:rPr>
          <w:rFonts w:ascii="Times New Roman" w:hAnsi="Times New Roman" w:cs="Times New Roman"/>
          <w:color w:val="000000" w:themeColor="text1"/>
          <w:spacing w:val="-6"/>
          <w:sz w:val="24"/>
          <w:szCs w:val="24"/>
        </w:rPr>
        <w:t>ública</w:t>
      </w:r>
      <w:r w:rsidR="00447395" w:rsidRPr="00A31F42">
        <w:rPr>
          <w:rFonts w:ascii="Times New Roman" w:hAnsi="Times New Roman" w:cs="Times New Roman"/>
          <w:color w:val="000000" w:themeColor="text1"/>
          <w:spacing w:val="-6"/>
          <w:sz w:val="24"/>
          <w:szCs w:val="24"/>
        </w:rPr>
        <w:t>, TCU,</w:t>
      </w:r>
      <w:r w:rsidRPr="00A31F42">
        <w:rPr>
          <w:rFonts w:ascii="Times New Roman" w:hAnsi="Times New Roman" w:cs="Times New Roman"/>
          <w:color w:val="000000" w:themeColor="text1"/>
          <w:spacing w:val="-6"/>
          <w:sz w:val="24"/>
          <w:szCs w:val="24"/>
        </w:rPr>
        <w:t xml:space="preserve"> Versão 2 – 2014, Práticas </w:t>
      </w:r>
      <w:proofErr w:type="gramStart"/>
      <w:r w:rsidRPr="00A31F42">
        <w:rPr>
          <w:rFonts w:ascii="Times New Roman" w:hAnsi="Times New Roman" w:cs="Times New Roman"/>
          <w:color w:val="000000" w:themeColor="text1"/>
          <w:spacing w:val="-6"/>
          <w:sz w:val="24"/>
          <w:szCs w:val="24"/>
        </w:rPr>
        <w:t>L2.</w:t>
      </w:r>
      <w:proofErr w:type="gramEnd"/>
      <w:r w:rsidRPr="00A31F42">
        <w:rPr>
          <w:rFonts w:ascii="Times New Roman" w:hAnsi="Times New Roman" w:cs="Times New Roman"/>
          <w:color w:val="000000" w:themeColor="text1"/>
          <w:spacing w:val="-6"/>
          <w:sz w:val="24"/>
          <w:szCs w:val="24"/>
        </w:rPr>
        <w:t xml:space="preserve">2 e L2.3; e Gerenciamento de Riscos Corporativos Integrado com a Estratégia e Performance do COSO, traduzido por </w:t>
      </w:r>
      <w:proofErr w:type="spellStart"/>
      <w:r w:rsidRPr="00A31F42">
        <w:rPr>
          <w:rFonts w:ascii="Times New Roman" w:hAnsi="Times New Roman" w:cs="Times New Roman"/>
          <w:color w:val="000000" w:themeColor="text1"/>
          <w:spacing w:val="-6"/>
          <w:sz w:val="24"/>
          <w:szCs w:val="24"/>
        </w:rPr>
        <w:t>PwC</w:t>
      </w:r>
      <w:proofErr w:type="spellEnd"/>
      <w:r w:rsidRPr="00A31F42">
        <w:rPr>
          <w:rFonts w:ascii="Times New Roman" w:hAnsi="Times New Roman" w:cs="Times New Roman"/>
          <w:color w:val="000000" w:themeColor="text1"/>
          <w:spacing w:val="-6"/>
          <w:sz w:val="24"/>
          <w:szCs w:val="24"/>
        </w:rPr>
        <w:t>, junho de 2017, Componentes e Princípios 3 e 4.</w:t>
      </w:r>
    </w:p>
    <w:p w:rsidR="007B729D" w:rsidRPr="00F54A97" w:rsidRDefault="007B729D"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F54A97">
        <w:rPr>
          <w:rFonts w:ascii="Times New Roman" w:hAnsi="Times New Roman" w:cs="Times New Roman"/>
          <w:i/>
          <w:color w:val="000000" w:themeColor="text1"/>
          <w:sz w:val="24"/>
          <w:szCs w:val="24"/>
        </w:rPr>
        <w:t>Causa:</w:t>
      </w:r>
    </w:p>
    <w:p w:rsidR="007B729D" w:rsidRPr="00F54A97" w:rsidRDefault="00A90666" w:rsidP="00A90666">
      <w:pPr>
        <w:numPr>
          <w:ilvl w:val="4"/>
          <w:numId w:val="1"/>
        </w:numPr>
        <w:spacing w:after="0" w:line="240" w:lineRule="auto"/>
        <w:jc w:val="both"/>
        <w:rPr>
          <w:rFonts w:ascii="Times New Roman" w:hAnsi="Times New Roman" w:cs="Times New Roman"/>
          <w:i/>
          <w:color w:val="000000" w:themeColor="text1"/>
          <w:sz w:val="24"/>
          <w:szCs w:val="24"/>
        </w:rPr>
      </w:pPr>
      <w:r w:rsidRPr="00F54A97">
        <w:rPr>
          <w:rFonts w:ascii="Times New Roman" w:hAnsi="Times New Roman" w:cs="Times New Roman"/>
          <w:color w:val="000000" w:themeColor="text1"/>
          <w:sz w:val="24"/>
          <w:szCs w:val="24"/>
        </w:rPr>
        <w:t xml:space="preserve">Deficiência na comunicação interna organizacional; deficiência na divulgação e promoção de valores éticos; e deficiência na compreensão dos gestores acerca da necessidade de disseminação de padrões elevados de conduta visando </w:t>
      </w:r>
      <w:r w:rsidR="00447395">
        <w:rPr>
          <w:rFonts w:ascii="Times New Roman" w:hAnsi="Times New Roman" w:cs="Times New Roman"/>
          <w:color w:val="000000" w:themeColor="text1"/>
          <w:sz w:val="24"/>
          <w:szCs w:val="24"/>
        </w:rPr>
        <w:t>sedimentar, na cultura organizacional, referencial de dever ser para colaboradores e clientes do Tribunal</w:t>
      </w:r>
      <w:r w:rsidRPr="00F54A97">
        <w:rPr>
          <w:rFonts w:ascii="Times New Roman" w:hAnsi="Times New Roman" w:cs="Times New Roman"/>
          <w:color w:val="000000" w:themeColor="text1"/>
          <w:sz w:val="24"/>
          <w:szCs w:val="24"/>
        </w:rPr>
        <w:t>.</w:t>
      </w:r>
    </w:p>
    <w:p w:rsidR="007B729D" w:rsidRPr="00F54A97" w:rsidRDefault="007B729D"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F54A97">
        <w:rPr>
          <w:rFonts w:ascii="Times New Roman" w:hAnsi="Times New Roman" w:cs="Times New Roman"/>
          <w:i/>
          <w:color w:val="000000" w:themeColor="text1"/>
          <w:sz w:val="24"/>
          <w:szCs w:val="24"/>
        </w:rPr>
        <w:t>Efeito(s) (real ou potencial):</w:t>
      </w:r>
    </w:p>
    <w:p w:rsidR="007B729D" w:rsidRPr="00F54A97" w:rsidRDefault="00071568" w:rsidP="00A90666">
      <w:pPr>
        <w:numPr>
          <w:ilvl w:val="4"/>
          <w:numId w:val="1"/>
        </w:numPr>
        <w:spacing w:after="0"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w:t>
      </w:r>
      <w:r w:rsidR="00A90666" w:rsidRPr="00F54A97">
        <w:rPr>
          <w:rFonts w:ascii="Times New Roman" w:hAnsi="Times New Roman" w:cs="Times New Roman"/>
          <w:color w:val="000000" w:themeColor="text1"/>
          <w:sz w:val="24"/>
          <w:szCs w:val="24"/>
        </w:rPr>
        <w:t xml:space="preserve">doção </w:t>
      </w:r>
      <w:r>
        <w:rPr>
          <w:rFonts w:ascii="Times New Roman" w:hAnsi="Times New Roman" w:cs="Times New Roman"/>
          <w:color w:val="000000" w:themeColor="text1"/>
          <w:sz w:val="24"/>
          <w:szCs w:val="24"/>
        </w:rPr>
        <w:t xml:space="preserve">insuficiente </w:t>
      </w:r>
      <w:r w:rsidR="00A90666" w:rsidRPr="00F54A97">
        <w:rPr>
          <w:rFonts w:ascii="Times New Roman" w:hAnsi="Times New Roman" w:cs="Times New Roman"/>
          <w:color w:val="000000" w:themeColor="text1"/>
          <w:sz w:val="24"/>
          <w:szCs w:val="24"/>
        </w:rPr>
        <w:t xml:space="preserve">de condutas pautadas pelo respeito, compromisso com o bem, a honestidade, a dignidade, a lealdade, o decoro, o zelo, a responsabilidade, a justiça, a isenção, a solidariedade, a equidade e demais padrões comportamentais definidos no Código de Ética institucional; </w:t>
      </w:r>
      <w:r>
        <w:rPr>
          <w:rFonts w:ascii="Times New Roman" w:hAnsi="Times New Roman" w:cs="Times New Roman"/>
          <w:color w:val="000000" w:themeColor="text1"/>
          <w:sz w:val="24"/>
          <w:szCs w:val="24"/>
        </w:rPr>
        <w:t xml:space="preserve">estruturação de </w:t>
      </w:r>
      <w:r w:rsidR="00A90666" w:rsidRPr="00F54A97">
        <w:rPr>
          <w:rFonts w:ascii="Times New Roman" w:hAnsi="Times New Roman" w:cs="Times New Roman"/>
          <w:color w:val="000000" w:themeColor="text1"/>
          <w:sz w:val="24"/>
          <w:szCs w:val="24"/>
        </w:rPr>
        <w:t xml:space="preserve">ambiente organizacional suscetível à ocorrência de desvios da conduta esperada de gestores e demais colaboradores; e não identificação </w:t>
      </w:r>
      <w:r w:rsidR="00447395">
        <w:rPr>
          <w:rFonts w:ascii="Times New Roman" w:hAnsi="Times New Roman" w:cs="Times New Roman"/>
          <w:color w:val="000000" w:themeColor="text1"/>
          <w:sz w:val="24"/>
          <w:szCs w:val="24"/>
        </w:rPr>
        <w:t>e/ou</w:t>
      </w:r>
      <w:r w:rsidR="00A90666" w:rsidRPr="00F54A97">
        <w:rPr>
          <w:rFonts w:ascii="Times New Roman" w:hAnsi="Times New Roman" w:cs="Times New Roman"/>
          <w:color w:val="000000" w:themeColor="text1"/>
          <w:sz w:val="24"/>
          <w:szCs w:val="24"/>
        </w:rPr>
        <w:t xml:space="preserve"> apuração de desvios </w:t>
      </w:r>
      <w:r w:rsidR="00447395">
        <w:rPr>
          <w:rFonts w:ascii="Times New Roman" w:hAnsi="Times New Roman" w:cs="Times New Roman"/>
          <w:color w:val="000000" w:themeColor="text1"/>
          <w:sz w:val="24"/>
          <w:szCs w:val="24"/>
        </w:rPr>
        <w:t xml:space="preserve">porventura </w:t>
      </w:r>
      <w:r w:rsidR="00A90666" w:rsidRPr="00F54A97">
        <w:rPr>
          <w:rFonts w:ascii="Times New Roman" w:hAnsi="Times New Roman" w:cs="Times New Roman"/>
          <w:color w:val="000000" w:themeColor="text1"/>
          <w:sz w:val="24"/>
          <w:szCs w:val="24"/>
        </w:rPr>
        <w:t>praticados.</w:t>
      </w:r>
    </w:p>
    <w:p w:rsidR="007B729D" w:rsidRPr="00F54A97" w:rsidRDefault="007B729D" w:rsidP="00C2211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F54A97">
        <w:rPr>
          <w:rFonts w:ascii="Times New Roman" w:hAnsi="Times New Roman" w:cs="Times New Roman"/>
          <w:i/>
          <w:color w:val="000000" w:themeColor="text1"/>
          <w:sz w:val="24"/>
          <w:szCs w:val="24"/>
        </w:rPr>
        <w:t>Evidência(s):</w:t>
      </w:r>
    </w:p>
    <w:p w:rsidR="007B729D" w:rsidRPr="00F54A97" w:rsidRDefault="00A90666" w:rsidP="00A90666">
      <w:pPr>
        <w:numPr>
          <w:ilvl w:val="4"/>
          <w:numId w:val="1"/>
        </w:numPr>
        <w:spacing w:after="0" w:line="240" w:lineRule="auto"/>
        <w:jc w:val="both"/>
        <w:rPr>
          <w:rFonts w:ascii="Times New Roman" w:hAnsi="Times New Roman" w:cs="Times New Roman"/>
          <w:i/>
          <w:color w:val="000000" w:themeColor="text1"/>
          <w:sz w:val="24"/>
          <w:szCs w:val="24"/>
        </w:rPr>
      </w:pPr>
      <w:r w:rsidRPr="00F54A97">
        <w:rPr>
          <w:rFonts w:ascii="Times New Roman" w:hAnsi="Times New Roman" w:cs="Times New Roman"/>
          <w:color w:val="000000" w:themeColor="text1"/>
          <w:sz w:val="24"/>
          <w:szCs w:val="24"/>
        </w:rPr>
        <w:t>PAD nº 11.974/2017 (</w:t>
      </w:r>
      <w:proofErr w:type="gramStart"/>
      <w:r w:rsidRPr="00F54A97">
        <w:rPr>
          <w:rFonts w:ascii="Times New Roman" w:hAnsi="Times New Roman" w:cs="Times New Roman"/>
          <w:color w:val="000000" w:themeColor="text1"/>
          <w:sz w:val="24"/>
          <w:szCs w:val="24"/>
        </w:rPr>
        <w:t>Questionário de Avaliação de Controles Internos referenciado no modelo COSO</w:t>
      </w:r>
      <w:proofErr w:type="gramEnd"/>
      <w:r w:rsidRPr="00F54A97">
        <w:rPr>
          <w:rFonts w:ascii="Times New Roman" w:hAnsi="Times New Roman" w:cs="Times New Roman"/>
          <w:color w:val="000000" w:themeColor="text1"/>
          <w:sz w:val="24"/>
          <w:szCs w:val="24"/>
        </w:rPr>
        <w:t xml:space="preserve">); </w:t>
      </w:r>
      <w:proofErr w:type="spellStart"/>
      <w:r w:rsidRPr="00F54A97">
        <w:rPr>
          <w:rFonts w:ascii="Times New Roman" w:hAnsi="Times New Roman" w:cs="Times New Roman"/>
          <w:color w:val="000000" w:themeColor="text1"/>
          <w:sz w:val="24"/>
          <w:szCs w:val="24"/>
        </w:rPr>
        <w:t>PADs</w:t>
      </w:r>
      <w:proofErr w:type="spellEnd"/>
      <w:r w:rsidRPr="00F54A97">
        <w:rPr>
          <w:rFonts w:ascii="Times New Roman" w:hAnsi="Times New Roman" w:cs="Times New Roman"/>
          <w:color w:val="000000" w:themeColor="text1"/>
          <w:sz w:val="24"/>
          <w:szCs w:val="24"/>
        </w:rPr>
        <w:t xml:space="preserve"> nº 14.848/2017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207.238/2017), 14.851/2017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207.246/2017) , 14.852/2017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207.272/2017), 14.855/2017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207.248/2017), 14.857/2017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207.293/2017),  14.859/2017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207.303/2017), 14.866/2017 (Doc</w:t>
      </w:r>
      <w:r w:rsidR="009F15C9" w:rsidRPr="00F54A97">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 nº 207.257/2017) - extratos de entrevistas realizadas com gerentes de indicadores de desempenho integrantes de amostra selecionada; Plano de Comunicação da Estratégia (PAD nº 14.519/2017, Doc. nº 201.058/2017); e Plano de Ação e Relatório de Atividades de Final de Gestão apresentados </w:t>
      </w:r>
      <w:r w:rsidRPr="00F54A97">
        <w:rPr>
          <w:rFonts w:ascii="Times New Roman" w:hAnsi="Times New Roman" w:cs="Times New Roman"/>
          <w:color w:val="000000" w:themeColor="text1"/>
          <w:sz w:val="24"/>
          <w:szCs w:val="24"/>
        </w:rPr>
        <w:lastRenderedPageBreak/>
        <w:t>pela Comissão Permanente de Ética (PAD nº 10.985/2017, Docs. nº 176.785 e 197.191/2017, respectivamente).</w:t>
      </w:r>
      <w:r w:rsidR="00DD3CCD" w:rsidRPr="00F54A97">
        <w:rPr>
          <w:rFonts w:ascii="Times New Roman" w:hAnsi="Times New Roman" w:cs="Times New Roman"/>
          <w:color w:val="000000" w:themeColor="text1"/>
          <w:sz w:val="24"/>
          <w:szCs w:val="24"/>
        </w:rPr>
        <w:t xml:space="preserve"> </w:t>
      </w:r>
      <w:r w:rsidR="001033C3" w:rsidRPr="00F54A97">
        <w:rPr>
          <w:rFonts w:ascii="Times New Roman" w:hAnsi="Times New Roman" w:cs="Times New Roman"/>
          <w:color w:val="000000" w:themeColor="text1"/>
          <w:sz w:val="24"/>
          <w:szCs w:val="24"/>
        </w:rPr>
        <w:t xml:space="preserve"> </w:t>
      </w:r>
    </w:p>
    <w:p w:rsidR="00B520AE" w:rsidRPr="00F54A97" w:rsidRDefault="00DD1101" w:rsidP="00B520AE">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F54A97">
        <w:rPr>
          <w:rFonts w:ascii="Times New Roman" w:hAnsi="Times New Roman" w:cs="Times New Roman"/>
          <w:i/>
          <w:color w:val="000000" w:themeColor="text1"/>
          <w:sz w:val="24"/>
          <w:szCs w:val="24"/>
        </w:rPr>
        <w:t>Esclarecimento</w:t>
      </w:r>
      <w:r w:rsidR="001B0125">
        <w:rPr>
          <w:rFonts w:ascii="Times New Roman" w:hAnsi="Times New Roman" w:cs="Times New Roman"/>
          <w:i/>
          <w:color w:val="000000" w:themeColor="text1"/>
          <w:sz w:val="24"/>
          <w:szCs w:val="24"/>
        </w:rPr>
        <w:t>s</w:t>
      </w:r>
      <w:r w:rsidRPr="00F54A97">
        <w:rPr>
          <w:rFonts w:ascii="Times New Roman" w:hAnsi="Times New Roman" w:cs="Times New Roman"/>
          <w:i/>
          <w:color w:val="000000" w:themeColor="text1"/>
          <w:sz w:val="24"/>
          <w:szCs w:val="24"/>
        </w:rPr>
        <w:t xml:space="preserve"> dos responsáveis</w:t>
      </w:r>
      <w:r w:rsidR="00B520AE" w:rsidRPr="00F54A97">
        <w:rPr>
          <w:rFonts w:ascii="Times New Roman" w:hAnsi="Times New Roman" w:cs="Times New Roman"/>
          <w:i/>
          <w:color w:val="000000" w:themeColor="text1"/>
          <w:sz w:val="24"/>
          <w:szCs w:val="24"/>
        </w:rPr>
        <w:t>:</w:t>
      </w:r>
    </w:p>
    <w:p w:rsidR="001E3B23" w:rsidRPr="00F54A97" w:rsidRDefault="007157EE" w:rsidP="007157EE">
      <w:pPr>
        <w:numPr>
          <w:ilvl w:val="4"/>
          <w:numId w:val="1"/>
        </w:numPr>
        <w:spacing w:after="0" w:line="240" w:lineRule="auto"/>
        <w:jc w:val="both"/>
        <w:rPr>
          <w:rFonts w:ascii="Times New Roman" w:hAnsi="Times New Roman" w:cs="Times New Roman"/>
          <w:color w:val="000000" w:themeColor="text1"/>
          <w:sz w:val="24"/>
          <w:szCs w:val="24"/>
        </w:rPr>
      </w:pPr>
      <w:r w:rsidRPr="00F54A97">
        <w:rPr>
          <w:rFonts w:ascii="Times New Roman" w:hAnsi="Times New Roman" w:cs="Times New Roman"/>
          <w:color w:val="000000" w:themeColor="text1"/>
          <w:sz w:val="24"/>
          <w:szCs w:val="24"/>
        </w:rPr>
        <w:t>Em resposta à RDI nº 6/2018 (PAD nº 1.307/2018, Doc. nº 23.874/2018), a Diretora</w:t>
      </w:r>
      <w:r w:rsidR="00071568">
        <w:rPr>
          <w:rFonts w:ascii="Times New Roman" w:hAnsi="Times New Roman" w:cs="Times New Roman"/>
          <w:color w:val="000000" w:themeColor="text1"/>
          <w:sz w:val="24"/>
          <w:szCs w:val="24"/>
        </w:rPr>
        <w:t>-</w:t>
      </w:r>
      <w:r w:rsidRPr="00F54A97">
        <w:rPr>
          <w:rFonts w:ascii="Times New Roman" w:hAnsi="Times New Roman" w:cs="Times New Roman"/>
          <w:color w:val="000000" w:themeColor="text1"/>
          <w:sz w:val="24"/>
          <w:szCs w:val="24"/>
        </w:rPr>
        <w:t xml:space="preserve">Geral informou que, conforme se verifica no Doc. </w:t>
      </w:r>
      <w:proofErr w:type="gramStart"/>
      <w:r w:rsidRPr="00F54A97">
        <w:rPr>
          <w:rFonts w:ascii="Times New Roman" w:hAnsi="Times New Roman" w:cs="Times New Roman"/>
          <w:color w:val="000000" w:themeColor="text1"/>
          <w:sz w:val="24"/>
          <w:szCs w:val="24"/>
        </w:rPr>
        <w:t>nº</w:t>
      </w:r>
      <w:proofErr w:type="gramEnd"/>
      <w:r w:rsidRPr="00F54A97">
        <w:rPr>
          <w:rFonts w:ascii="Times New Roman" w:hAnsi="Times New Roman" w:cs="Times New Roman"/>
          <w:color w:val="000000" w:themeColor="text1"/>
          <w:sz w:val="24"/>
          <w:szCs w:val="24"/>
        </w:rPr>
        <w:t xml:space="preserve"> 189.4</w:t>
      </w:r>
      <w:r w:rsidR="00402A88" w:rsidRPr="00F54A97">
        <w:rPr>
          <w:rFonts w:ascii="Times New Roman" w:hAnsi="Times New Roman" w:cs="Times New Roman"/>
          <w:color w:val="000000" w:themeColor="text1"/>
          <w:sz w:val="24"/>
          <w:szCs w:val="24"/>
        </w:rPr>
        <w:t>5</w:t>
      </w:r>
      <w:r w:rsidRPr="00F54A97">
        <w:rPr>
          <w:rFonts w:ascii="Times New Roman" w:hAnsi="Times New Roman" w:cs="Times New Roman"/>
          <w:color w:val="000000" w:themeColor="text1"/>
          <w:sz w:val="24"/>
          <w:szCs w:val="24"/>
        </w:rPr>
        <w:t>1/2017 (PAD nº 10.985/2017), o Presidente d</w:t>
      </w:r>
      <w:r w:rsidR="009F15C9" w:rsidRPr="00F54A97">
        <w:rPr>
          <w:rFonts w:ascii="Times New Roman" w:hAnsi="Times New Roman" w:cs="Times New Roman"/>
          <w:color w:val="000000" w:themeColor="text1"/>
          <w:sz w:val="24"/>
          <w:szCs w:val="24"/>
        </w:rPr>
        <w:t>o</w:t>
      </w:r>
      <w:r w:rsidRPr="00F54A97">
        <w:rPr>
          <w:rFonts w:ascii="Times New Roman" w:hAnsi="Times New Roman" w:cs="Times New Roman"/>
          <w:color w:val="000000" w:themeColor="text1"/>
          <w:sz w:val="24"/>
          <w:szCs w:val="24"/>
        </w:rPr>
        <w:t xml:space="preserve"> </w:t>
      </w:r>
      <w:r w:rsidR="009F15C9" w:rsidRPr="00F54A97">
        <w:rPr>
          <w:rFonts w:ascii="Times New Roman" w:hAnsi="Times New Roman" w:cs="Times New Roman"/>
          <w:color w:val="000000" w:themeColor="text1"/>
          <w:sz w:val="24"/>
          <w:szCs w:val="24"/>
        </w:rPr>
        <w:t>TRE-BA</w:t>
      </w:r>
      <w:r w:rsidRPr="00F54A97">
        <w:rPr>
          <w:rFonts w:ascii="Times New Roman" w:hAnsi="Times New Roman" w:cs="Times New Roman"/>
          <w:color w:val="000000" w:themeColor="text1"/>
          <w:sz w:val="24"/>
          <w:szCs w:val="24"/>
        </w:rPr>
        <w:t xml:space="preserve"> determinou à Comissão Permanente de Ética que desse seguimento à execução do plano de ação apresentado. Salientou, ainda, que a Presidente da </w:t>
      </w:r>
      <w:r w:rsidR="009F15C9" w:rsidRPr="00F54A97">
        <w:rPr>
          <w:rFonts w:ascii="Times New Roman" w:hAnsi="Times New Roman" w:cs="Times New Roman"/>
          <w:color w:val="000000" w:themeColor="text1"/>
          <w:sz w:val="24"/>
          <w:szCs w:val="24"/>
        </w:rPr>
        <w:t xml:space="preserve">referida </w:t>
      </w:r>
      <w:r w:rsidRPr="00F54A97">
        <w:rPr>
          <w:rFonts w:ascii="Times New Roman" w:hAnsi="Times New Roman" w:cs="Times New Roman"/>
          <w:color w:val="000000" w:themeColor="text1"/>
          <w:sz w:val="24"/>
          <w:szCs w:val="24"/>
        </w:rPr>
        <w:t>Comissão se aposentou e que a suplente</w:t>
      </w:r>
      <w:r w:rsidR="009F15C9" w:rsidRPr="00F54A97">
        <w:rPr>
          <w:rFonts w:ascii="Times New Roman" w:hAnsi="Times New Roman" w:cs="Times New Roman"/>
          <w:color w:val="000000" w:themeColor="text1"/>
          <w:sz w:val="24"/>
          <w:szCs w:val="24"/>
        </w:rPr>
        <w:t xml:space="preserve"> também</w:t>
      </w:r>
      <w:r w:rsidRPr="00F54A97">
        <w:rPr>
          <w:rFonts w:ascii="Times New Roman" w:hAnsi="Times New Roman" w:cs="Times New Roman"/>
          <w:color w:val="000000" w:themeColor="text1"/>
          <w:sz w:val="24"/>
          <w:szCs w:val="24"/>
        </w:rPr>
        <w:t xml:space="preserve"> já requereu a concessão de sua aposentadoria.</w:t>
      </w:r>
    </w:p>
    <w:p w:rsidR="0060197E" w:rsidRPr="00F54A97" w:rsidRDefault="00C04E1D" w:rsidP="00FC0EB5">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F54A97">
        <w:rPr>
          <w:rFonts w:ascii="Times New Roman" w:hAnsi="Times New Roman" w:cs="Times New Roman"/>
          <w:i/>
          <w:color w:val="000000" w:themeColor="text1"/>
          <w:sz w:val="24"/>
          <w:szCs w:val="24"/>
        </w:rPr>
        <w:t>Conclusão da equipe de auditoria:</w:t>
      </w:r>
    </w:p>
    <w:p w:rsidR="001E4675" w:rsidRPr="00EA3A73" w:rsidRDefault="001E4675" w:rsidP="001E4675">
      <w:pPr>
        <w:numPr>
          <w:ilvl w:val="4"/>
          <w:numId w:val="1"/>
        </w:numPr>
        <w:spacing w:after="0" w:line="240" w:lineRule="auto"/>
        <w:jc w:val="both"/>
        <w:rPr>
          <w:rFonts w:ascii="Times New Roman" w:hAnsi="Times New Roman" w:cs="Times New Roman"/>
          <w:color w:val="000000" w:themeColor="text1"/>
          <w:sz w:val="24"/>
          <w:szCs w:val="24"/>
        </w:rPr>
      </w:pPr>
      <w:r w:rsidRPr="00EA3A73">
        <w:rPr>
          <w:rFonts w:ascii="Times New Roman" w:hAnsi="Times New Roman" w:cs="Times New Roman"/>
          <w:color w:val="000000" w:themeColor="text1"/>
          <w:sz w:val="24"/>
          <w:szCs w:val="24"/>
        </w:rPr>
        <w:t xml:space="preserve">Preliminarmente, registre-se revisão da Comissão Permanente de Ética organizacional, por meio da Portaria da Presidência nº </w:t>
      </w:r>
      <w:r w:rsidR="00EA3A73" w:rsidRPr="00EA3A73">
        <w:rPr>
          <w:rFonts w:ascii="Times New Roman" w:hAnsi="Times New Roman" w:cs="Times New Roman"/>
          <w:color w:val="000000" w:themeColor="text1"/>
          <w:sz w:val="24"/>
          <w:szCs w:val="24"/>
        </w:rPr>
        <w:t>164</w:t>
      </w:r>
      <w:r w:rsidRPr="00EA3A73">
        <w:rPr>
          <w:rFonts w:ascii="Times New Roman" w:hAnsi="Times New Roman" w:cs="Times New Roman"/>
          <w:color w:val="000000" w:themeColor="text1"/>
          <w:sz w:val="24"/>
          <w:szCs w:val="24"/>
        </w:rPr>
        <w:t xml:space="preserve">, de </w:t>
      </w:r>
      <w:r w:rsidR="00EA3A73" w:rsidRPr="00EA3A73">
        <w:rPr>
          <w:rFonts w:ascii="Times New Roman" w:hAnsi="Times New Roman" w:cs="Times New Roman"/>
          <w:color w:val="000000" w:themeColor="text1"/>
          <w:sz w:val="24"/>
          <w:szCs w:val="24"/>
        </w:rPr>
        <w:t>27</w:t>
      </w:r>
      <w:r w:rsidRPr="00EA3A73">
        <w:rPr>
          <w:rFonts w:ascii="Times New Roman" w:hAnsi="Times New Roman" w:cs="Times New Roman"/>
          <w:color w:val="000000" w:themeColor="text1"/>
          <w:sz w:val="24"/>
          <w:szCs w:val="24"/>
        </w:rPr>
        <w:t xml:space="preserve"> de </w:t>
      </w:r>
      <w:r w:rsidR="00EA3A73" w:rsidRPr="00EA3A73">
        <w:rPr>
          <w:rFonts w:ascii="Times New Roman" w:hAnsi="Times New Roman" w:cs="Times New Roman"/>
          <w:color w:val="000000" w:themeColor="text1"/>
          <w:sz w:val="24"/>
          <w:szCs w:val="24"/>
        </w:rPr>
        <w:t>março</w:t>
      </w:r>
      <w:r w:rsidRPr="00EA3A73">
        <w:rPr>
          <w:rFonts w:ascii="Times New Roman" w:hAnsi="Times New Roman" w:cs="Times New Roman"/>
          <w:color w:val="000000" w:themeColor="text1"/>
          <w:sz w:val="24"/>
          <w:szCs w:val="24"/>
        </w:rPr>
        <w:t xml:space="preserve"> de 2018, que assegurou designação de novo Presidente e membro para condução dos trabalhos pertinentes.</w:t>
      </w:r>
    </w:p>
    <w:p w:rsidR="001E4675" w:rsidRPr="00EA3A73" w:rsidRDefault="001E4675" w:rsidP="001E4675">
      <w:pPr>
        <w:numPr>
          <w:ilvl w:val="4"/>
          <w:numId w:val="1"/>
        </w:numPr>
        <w:spacing w:after="0" w:line="240" w:lineRule="auto"/>
        <w:jc w:val="both"/>
        <w:rPr>
          <w:rFonts w:ascii="Times New Roman" w:hAnsi="Times New Roman" w:cs="Times New Roman"/>
          <w:color w:val="000000" w:themeColor="text1"/>
          <w:sz w:val="24"/>
          <w:szCs w:val="24"/>
        </w:rPr>
      </w:pPr>
      <w:r w:rsidRPr="00EA3A73">
        <w:rPr>
          <w:rFonts w:ascii="Times New Roman" w:hAnsi="Times New Roman" w:cs="Times New Roman"/>
          <w:color w:val="000000" w:themeColor="text1"/>
          <w:sz w:val="24"/>
          <w:szCs w:val="24"/>
        </w:rPr>
        <w:t>Contudo, não obstante registro de decisão da Presidência do Órgão no sentido de efetiva execução das iniciativas voltadas à disseminação do Código de Ética organizacional previstas em plano de ação apresentado pela Comissão Permanente de Ética do Tribunal</w:t>
      </w:r>
      <w:proofErr w:type="gramStart"/>
      <w:r w:rsidRPr="00EA3A73">
        <w:rPr>
          <w:rFonts w:ascii="Times New Roman" w:hAnsi="Times New Roman" w:cs="Times New Roman"/>
          <w:color w:val="000000" w:themeColor="text1"/>
          <w:sz w:val="24"/>
          <w:szCs w:val="24"/>
        </w:rPr>
        <w:t>, observa-se</w:t>
      </w:r>
      <w:proofErr w:type="gramEnd"/>
      <w:r w:rsidRPr="00EA3A73">
        <w:rPr>
          <w:rFonts w:ascii="Times New Roman" w:hAnsi="Times New Roman" w:cs="Times New Roman"/>
          <w:color w:val="000000" w:themeColor="text1"/>
          <w:sz w:val="24"/>
          <w:szCs w:val="24"/>
        </w:rPr>
        <w:t xml:space="preserve"> que a concretização das atividades pertinentes permaneceu prejudica</w:t>
      </w:r>
      <w:r w:rsidR="00A958F1">
        <w:rPr>
          <w:rFonts w:ascii="Times New Roman" w:hAnsi="Times New Roman" w:cs="Times New Roman"/>
          <w:color w:val="000000" w:themeColor="text1"/>
          <w:sz w:val="24"/>
          <w:szCs w:val="24"/>
        </w:rPr>
        <w:t>da</w:t>
      </w:r>
      <w:r w:rsidRPr="00EA3A73">
        <w:rPr>
          <w:rFonts w:ascii="Times New Roman" w:hAnsi="Times New Roman" w:cs="Times New Roman"/>
          <w:color w:val="000000" w:themeColor="text1"/>
          <w:sz w:val="24"/>
          <w:szCs w:val="24"/>
        </w:rPr>
        <w:t xml:space="preserve"> por extenso período de tempo, tendo em vista limitação da capacidade operacional do referido grupo de trabalho determinada pela aposentadoria da Presidente e formalização de pedido de aposentadoria pela suplente. </w:t>
      </w:r>
    </w:p>
    <w:p w:rsidR="001E4675" w:rsidRPr="00EA3A73" w:rsidRDefault="001E4675" w:rsidP="001E4675">
      <w:pPr>
        <w:numPr>
          <w:ilvl w:val="4"/>
          <w:numId w:val="1"/>
        </w:numPr>
        <w:spacing w:after="0" w:line="240" w:lineRule="auto"/>
        <w:jc w:val="both"/>
        <w:rPr>
          <w:rFonts w:ascii="Times New Roman" w:hAnsi="Times New Roman" w:cs="Times New Roman"/>
          <w:color w:val="000000" w:themeColor="text1"/>
          <w:sz w:val="24"/>
          <w:szCs w:val="24"/>
        </w:rPr>
      </w:pPr>
      <w:r w:rsidRPr="00EA3A73">
        <w:rPr>
          <w:rFonts w:ascii="Times New Roman" w:hAnsi="Times New Roman" w:cs="Times New Roman"/>
          <w:color w:val="000000" w:themeColor="text1"/>
          <w:sz w:val="24"/>
          <w:szCs w:val="24"/>
        </w:rPr>
        <w:t xml:space="preserve">Esclareça-se que a revisão da composição do grupo de trabalho </w:t>
      </w:r>
      <w:proofErr w:type="gramStart"/>
      <w:r w:rsidRPr="00EA3A73">
        <w:rPr>
          <w:rFonts w:ascii="Times New Roman" w:hAnsi="Times New Roman" w:cs="Times New Roman"/>
          <w:color w:val="000000" w:themeColor="text1"/>
          <w:sz w:val="24"/>
          <w:szCs w:val="24"/>
        </w:rPr>
        <w:t>processada</w:t>
      </w:r>
      <w:proofErr w:type="gramEnd"/>
      <w:r w:rsidRPr="00EA3A73">
        <w:rPr>
          <w:rFonts w:ascii="Times New Roman" w:hAnsi="Times New Roman" w:cs="Times New Roman"/>
          <w:color w:val="000000" w:themeColor="text1"/>
          <w:sz w:val="24"/>
          <w:szCs w:val="24"/>
        </w:rPr>
        <w:t xml:space="preserve"> em </w:t>
      </w:r>
      <w:r w:rsidR="00EA3A73" w:rsidRPr="00EA3A73">
        <w:rPr>
          <w:rFonts w:ascii="Times New Roman" w:hAnsi="Times New Roman" w:cs="Times New Roman"/>
          <w:color w:val="000000" w:themeColor="text1"/>
          <w:sz w:val="24"/>
          <w:szCs w:val="24"/>
        </w:rPr>
        <w:t>27</w:t>
      </w:r>
      <w:r w:rsidRPr="00EA3A73">
        <w:rPr>
          <w:rFonts w:ascii="Times New Roman" w:hAnsi="Times New Roman" w:cs="Times New Roman"/>
          <w:color w:val="000000" w:themeColor="text1"/>
          <w:sz w:val="24"/>
          <w:szCs w:val="24"/>
        </w:rPr>
        <w:t>/</w:t>
      </w:r>
      <w:r w:rsidR="00EA3A73" w:rsidRPr="00EA3A73">
        <w:rPr>
          <w:rFonts w:ascii="Times New Roman" w:hAnsi="Times New Roman" w:cs="Times New Roman"/>
          <w:color w:val="000000" w:themeColor="text1"/>
          <w:sz w:val="24"/>
          <w:szCs w:val="24"/>
        </w:rPr>
        <w:t>3</w:t>
      </w:r>
      <w:r w:rsidRPr="00EA3A73">
        <w:rPr>
          <w:rFonts w:ascii="Times New Roman" w:hAnsi="Times New Roman" w:cs="Times New Roman"/>
          <w:color w:val="000000" w:themeColor="text1"/>
          <w:sz w:val="24"/>
          <w:szCs w:val="24"/>
        </w:rPr>
        <w:t xml:space="preserve">/2018, tende a fornecer as condições necessárias ao efetivo cumprimento das competências regularmente definidas, notadamente no que tange à disseminação do Código de Ética institucional. </w:t>
      </w:r>
    </w:p>
    <w:p w:rsidR="001E4675" w:rsidRPr="00EA3A73" w:rsidRDefault="001E4675" w:rsidP="001E4675">
      <w:pPr>
        <w:numPr>
          <w:ilvl w:val="4"/>
          <w:numId w:val="1"/>
        </w:numPr>
        <w:spacing w:after="0" w:line="240" w:lineRule="auto"/>
        <w:jc w:val="both"/>
        <w:rPr>
          <w:rFonts w:ascii="Times New Roman" w:hAnsi="Times New Roman" w:cs="Times New Roman"/>
          <w:color w:val="000000" w:themeColor="text1"/>
          <w:sz w:val="24"/>
          <w:szCs w:val="24"/>
        </w:rPr>
      </w:pPr>
      <w:r w:rsidRPr="00EA3A73">
        <w:rPr>
          <w:rFonts w:ascii="Times New Roman" w:hAnsi="Times New Roman" w:cs="Times New Roman"/>
          <w:color w:val="000000" w:themeColor="text1"/>
          <w:sz w:val="24"/>
          <w:szCs w:val="24"/>
        </w:rPr>
        <w:t>Contudo, enquanto não integralizadas as ações previstas no plano de ação apresentado pelo sobredito grupo permanente de trabalho e aprovado pela Presidência do Tribunal ou realizadas, alternativamente, outras iniciativas voltadas à divulgação de padrões de conduta desejados pela organização, a fragilidade anteriormente evidenciada persistirá.</w:t>
      </w:r>
    </w:p>
    <w:p w:rsidR="00767299" w:rsidRPr="00775054" w:rsidRDefault="00A90666"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 xml:space="preserve">Deficiência na </w:t>
      </w:r>
      <w:r w:rsidR="005E30E3">
        <w:rPr>
          <w:rFonts w:ascii="Times New Roman" w:hAnsi="Times New Roman" w:cs="Times New Roman"/>
          <w:color w:val="000000" w:themeColor="text1"/>
          <w:sz w:val="24"/>
          <w:szCs w:val="24"/>
          <w:u w:val="single"/>
        </w:rPr>
        <w:t>utilização</w:t>
      </w:r>
      <w:r w:rsidRPr="00775054">
        <w:rPr>
          <w:rFonts w:ascii="Times New Roman" w:hAnsi="Times New Roman" w:cs="Times New Roman"/>
          <w:color w:val="000000" w:themeColor="text1"/>
          <w:sz w:val="24"/>
          <w:szCs w:val="24"/>
          <w:u w:val="single"/>
        </w:rPr>
        <w:t xml:space="preserve"> de critérios para seleção de líderes envolvidos na gestão da execução da Estratégia Organizacional</w:t>
      </w:r>
      <w:r w:rsidR="00AB666B" w:rsidRPr="00775054">
        <w:rPr>
          <w:rFonts w:ascii="Times New Roman" w:hAnsi="Times New Roman" w:cs="Times New Roman"/>
          <w:color w:val="000000" w:themeColor="text1"/>
          <w:sz w:val="24"/>
          <w:szCs w:val="24"/>
          <w:u w:val="single"/>
        </w:rPr>
        <w:t>.</w:t>
      </w:r>
    </w:p>
    <w:p w:rsidR="00767299" w:rsidRPr="00775054" w:rsidRDefault="00767299"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767299" w:rsidRPr="001B0125" w:rsidRDefault="00A90666" w:rsidP="00A90666">
      <w:pPr>
        <w:numPr>
          <w:ilvl w:val="4"/>
          <w:numId w:val="1"/>
        </w:numPr>
        <w:spacing w:after="0" w:line="240" w:lineRule="auto"/>
        <w:jc w:val="both"/>
        <w:rPr>
          <w:rFonts w:ascii="Times New Roman" w:hAnsi="Times New Roman" w:cs="Times New Roman"/>
          <w:color w:val="0000CC"/>
          <w:sz w:val="24"/>
          <w:szCs w:val="24"/>
        </w:rPr>
      </w:pPr>
      <w:r w:rsidRPr="00775054">
        <w:rPr>
          <w:rFonts w:ascii="Times New Roman" w:hAnsi="Times New Roman" w:cs="Times New Roman"/>
          <w:color w:val="000000" w:themeColor="text1"/>
          <w:sz w:val="24"/>
          <w:szCs w:val="24"/>
        </w:rPr>
        <w:t xml:space="preserve">Verificou-se que o Tribunal adotou critérios objetivos para designação de ocupantes de funções de assistência (FC1) da CAP, SGP e ASSESP, por meio de processos seletivos. Registre-se, paralelamente, formalização de Política de Gestão de Pessoas do TRE-BA, por meio da Resolução nº 12, </w:t>
      </w:r>
      <w:r w:rsidR="00855DD2">
        <w:rPr>
          <w:rFonts w:ascii="Times New Roman" w:hAnsi="Times New Roman" w:cs="Times New Roman"/>
          <w:color w:val="000000" w:themeColor="text1"/>
          <w:sz w:val="24"/>
          <w:szCs w:val="24"/>
        </w:rPr>
        <w:t>de</w:t>
      </w:r>
      <w:r w:rsidRPr="00775054">
        <w:rPr>
          <w:rFonts w:ascii="Times New Roman" w:hAnsi="Times New Roman" w:cs="Times New Roman"/>
          <w:color w:val="000000" w:themeColor="text1"/>
          <w:sz w:val="24"/>
          <w:szCs w:val="24"/>
        </w:rPr>
        <w:t xml:space="preserve"> 18 de dezembro de 2017. No entanto, não se verificou </w:t>
      </w:r>
      <w:r w:rsidR="00855DD2">
        <w:rPr>
          <w:rFonts w:ascii="Times New Roman" w:hAnsi="Times New Roman" w:cs="Times New Roman"/>
          <w:color w:val="000000" w:themeColor="text1"/>
          <w:sz w:val="24"/>
          <w:szCs w:val="24"/>
        </w:rPr>
        <w:t xml:space="preserve">realização de </w:t>
      </w:r>
      <w:r w:rsidRPr="00775054">
        <w:rPr>
          <w:rFonts w:ascii="Times New Roman" w:hAnsi="Times New Roman" w:cs="Times New Roman"/>
          <w:color w:val="000000" w:themeColor="text1"/>
          <w:sz w:val="24"/>
          <w:szCs w:val="24"/>
        </w:rPr>
        <w:t xml:space="preserve">processo formal de seleção de líderes para ocupação de cargos em comissão e funções comissionadas, inclusive, na COPEG, unidade responsável pela gestão da execução da Estratégia. Registre-se, ainda, que, em entrevistas realizadas com os gestores da SGA, STI, SGP, ASCOM, COELE, SJU e SCR, constatou-se que o processo de </w:t>
      </w:r>
      <w:r w:rsidR="00855DD2">
        <w:rPr>
          <w:rFonts w:ascii="Times New Roman" w:hAnsi="Times New Roman" w:cs="Times New Roman"/>
          <w:color w:val="000000" w:themeColor="text1"/>
          <w:sz w:val="24"/>
          <w:szCs w:val="24"/>
        </w:rPr>
        <w:t>designação de</w:t>
      </w:r>
      <w:r w:rsidRPr="00775054">
        <w:rPr>
          <w:rFonts w:ascii="Times New Roman" w:hAnsi="Times New Roman" w:cs="Times New Roman"/>
          <w:color w:val="000000" w:themeColor="text1"/>
          <w:sz w:val="24"/>
          <w:szCs w:val="24"/>
        </w:rPr>
        <w:t xml:space="preserve"> líderes envolvidos com a execução da Estratégia é realizado buscando-se associar experiência, formação e perfil técnico e comportamental dos servidores, contudo, não há </w:t>
      </w:r>
      <w:r w:rsidRPr="00775054">
        <w:rPr>
          <w:rFonts w:ascii="Times New Roman" w:hAnsi="Times New Roman" w:cs="Times New Roman"/>
          <w:color w:val="000000" w:themeColor="text1"/>
          <w:sz w:val="24"/>
          <w:szCs w:val="24"/>
        </w:rPr>
        <w:lastRenderedPageBreak/>
        <w:t xml:space="preserve">diretriz formal norteadora da atividade, processando-se, </w:t>
      </w:r>
      <w:r w:rsidR="00855DD2">
        <w:rPr>
          <w:rFonts w:ascii="Times New Roman" w:hAnsi="Times New Roman" w:cs="Times New Roman"/>
          <w:color w:val="000000" w:themeColor="text1"/>
          <w:sz w:val="24"/>
          <w:szCs w:val="24"/>
        </w:rPr>
        <w:t>por</w:t>
      </w:r>
      <w:r w:rsidRPr="00775054">
        <w:rPr>
          <w:rFonts w:ascii="Times New Roman" w:hAnsi="Times New Roman" w:cs="Times New Roman"/>
          <w:color w:val="000000" w:themeColor="text1"/>
          <w:sz w:val="24"/>
          <w:szCs w:val="24"/>
        </w:rPr>
        <w:t xml:space="preserve"> vezes, com base no poder discricionário da Administração</w:t>
      </w:r>
      <w:r w:rsidR="001B0125" w:rsidRPr="001B0125">
        <w:rPr>
          <w:rFonts w:ascii="Times New Roman" w:hAnsi="Times New Roman" w:cs="Times New Roman"/>
          <w:color w:val="0000CC"/>
          <w:sz w:val="24"/>
          <w:szCs w:val="24"/>
        </w:rPr>
        <w:t>.</w:t>
      </w:r>
      <w:r w:rsidR="000F7624" w:rsidRPr="001B0125">
        <w:rPr>
          <w:rFonts w:ascii="Times New Roman" w:hAnsi="Times New Roman" w:cs="Times New Roman"/>
          <w:color w:val="0000CC"/>
          <w:sz w:val="24"/>
          <w:szCs w:val="24"/>
        </w:rPr>
        <w:t xml:space="preserve">    </w:t>
      </w:r>
    </w:p>
    <w:p w:rsidR="00767299" w:rsidRPr="00775054" w:rsidRDefault="00767299"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w:t>
      </w:r>
      <w:r w:rsidR="00FD401D" w:rsidRPr="00775054">
        <w:rPr>
          <w:rFonts w:ascii="Times New Roman" w:hAnsi="Times New Roman" w:cs="Times New Roman"/>
          <w:i/>
          <w:color w:val="000000" w:themeColor="text1"/>
          <w:sz w:val="24"/>
          <w:szCs w:val="24"/>
        </w:rPr>
        <w:t>(s)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767299" w:rsidRPr="00775054" w:rsidRDefault="00A90666" w:rsidP="00A90666">
      <w:pPr>
        <w:numPr>
          <w:ilvl w:val="4"/>
          <w:numId w:val="1"/>
        </w:numPr>
        <w:spacing w:after="0" w:line="240" w:lineRule="auto"/>
        <w:jc w:val="both"/>
        <w:rPr>
          <w:rFonts w:ascii="Times New Roman" w:hAnsi="Times New Roman" w:cs="Times New Roman"/>
          <w:color w:val="000000" w:themeColor="text1"/>
          <w:spacing w:val="-6"/>
          <w:sz w:val="24"/>
          <w:szCs w:val="24"/>
        </w:rPr>
      </w:pPr>
      <w:r w:rsidRPr="00775054">
        <w:rPr>
          <w:rFonts w:ascii="Times New Roman" w:hAnsi="Times New Roman" w:cs="Times New Roman"/>
          <w:color w:val="000000" w:themeColor="text1"/>
          <w:spacing w:val="-6"/>
          <w:sz w:val="24"/>
          <w:szCs w:val="24"/>
        </w:rPr>
        <w:t xml:space="preserve">Resolução CNJ nº 111/2010, art. 2º, III; Decreto nº 9.203/2017, art. 5º, I; Referencial </w:t>
      </w:r>
      <w:r w:rsidR="00855DD2">
        <w:rPr>
          <w:rFonts w:ascii="Times New Roman" w:hAnsi="Times New Roman" w:cs="Times New Roman"/>
          <w:color w:val="000000" w:themeColor="text1"/>
          <w:spacing w:val="-6"/>
          <w:sz w:val="24"/>
          <w:szCs w:val="24"/>
        </w:rPr>
        <w:t>B</w:t>
      </w:r>
      <w:r w:rsidRPr="00775054">
        <w:rPr>
          <w:rFonts w:ascii="Times New Roman" w:hAnsi="Times New Roman" w:cs="Times New Roman"/>
          <w:color w:val="000000" w:themeColor="text1"/>
          <w:spacing w:val="-6"/>
          <w:sz w:val="24"/>
          <w:szCs w:val="24"/>
        </w:rPr>
        <w:t xml:space="preserve">ásico de </w:t>
      </w:r>
      <w:r w:rsidR="00855DD2">
        <w:rPr>
          <w:rFonts w:ascii="Times New Roman" w:hAnsi="Times New Roman" w:cs="Times New Roman"/>
          <w:color w:val="000000" w:themeColor="text1"/>
          <w:spacing w:val="-6"/>
          <w:sz w:val="24"/>
          <w:szCs w:val="24"/>
        </w:rPr>
        <w:t>G</w:t>
      </w:r>
      <w:r w:rsidRPr="00775054">
        <w:rPr>
          <w:rFonts w:ascii="Times New Roman" w:hAnsi="Times New Roman" w:cs="Times New Roman"/>
          <w:color w:val="000000" w:themeColor="text1"/>
          <w:spacing w:val="-6"/>
          <w:sz w:val="24"/>
          <w:szCs w:val="24"/>
        </w:rPr>
        <w:t xml:space="preserve">overnança aplicável a órgão e entidades da </w:t>
      </w:r>
      <w:r w:rsidR="00855DD2">
        <w:rPr>
          <w:rFonts w:ascii="Times New Roman" w:hAnsi="Times New Roman" w:cs="Times New Roman"/>
          <w:color w:val="000000" w:themeColor="text1"/>
          <w:spacing w:val="-6"/>
          <w:sz w:val="24"/>
          <w:szCs w:val="24"/>
        </w:rPr>
        <w:t>A</w:t>
      </w:r>
      <w:r w:rsidRPr="00775054">
        <w:rPr>
          <w:rFonts w:ascii="Times New Roman" w:hAnsi="Times New Roman" w:cs="Times New Roman"/>
          <w:color w:val="000000" w:themeColor="text1"/>
          <w:spacing w:val="-6"/>
          <w:sz w:val="24"/>
          <w:szCs w:val="24"/>
        </w:rPr>
        <w:t xml:space="preserve">dministração </w:t>
      </w:r>
      <w:r w:rsidR="00855DD2">
        <w:rPr>
          <w:rFonts w:ascii="Times New Roman" w:hAnsi="Times New Roman" w:cs="Times New Roman"/>
          <w:color w:val="000000" w:themeColor="text1"/>
          <w:spacing w:val="-6"/>
          <w:sz w:val="24"/>
          <w:szCs w:val="24"/>
        </w:rPr>
        <w:t>P</w:t>
      </w:r>
      <w:r w:rsidRPr="00775054">
        <w:rPr>
          <w:rFonts w:ascii="Times New Roman" w:hAnsi="Times New Roman" w:cs="Times New Roman"/>
          <w:color w:val="000000" w:themeColor="text1"/>
          <w:spacing w:val="-6"/>
          <w:sz w:val="24"/>
          <w:szCs w:val="24"/>
        </w:rPr>
        <w:t>ública</w:t>
      </w:r>
      <w:r w:rsidR="00855DD2">
        <w:rPr>
          <w:rFonts w:ascii="Times New Roman" w:hAnsi="Times New Roman" w:cs="Times New Roman"/>
          <w:color w:val="000000" w:themeColor="text1"/>
          <w:spacing w:val="-6"/>
          <w:sz w:val="24"/>
          <w:szCs w:val="24"/>
        </w:rPr>
        <w:t>, TCU,</w:t>
      </w:r>
      <w:r w:rsidRPr="00775054">
        <w:rPr>
          <w:rFonts w:ascii="Times New Roman" w:hAnsi="Times New Roman" w:cs="Times New Roman"/>
          <w:color w:val="000000" w:themeColor="text1"/>
          <w:spacing w:val="-6"/>
          <w:sz w:val="24"/>
          <w:szCs w:val="24"/>
        </w:rPr>
        <w:t xml:space="preserve"> Versão 2 – 2014, Prática </w:t>
      </w:r>
      <w:proofErr w:type="gramStart"/>
      <w:r w:rsidRPr="00775054">
        <w:rPr>
          <w:rFonts w:ascii="Times New Roman" w:hAnsi="Times New Roman" w:cs="Times New Roman"/>
          <w:color w:val="000000" w:themeColor="text1"/>
          <w:spacing w:val="-6"/>
          <w:sz w:val="24"/>
          <w:szCs w:val="24"/>
        </w:rPr>
        <w:t>L1.</w:t>
      </w:r>
      <w:proofErr w:type="gramEnd"/>
      <w:r w:rsidRPr="00775054">
        <w:rPr>
          <w:rFonts w:ascii="Times New Roman" w:hAnsi="Times New Roman" w:cs="Times New Roman"/>
          <w:color w:val="000000" w:themeColor="text1"/>
          <w:spacing w:val="-6"/>
          <w:sz w:val="24"/>
          <w:szCs w:val="24"/>
        </w:rPr>
        <w:t xml:space="preserve">1; Acórdão TCU Plenário nº 3.023/2013, subitem 9.1.4; e Gerenciamento de Riscos Corporativos Integrado com a Estratégia e Performance do COSO, traduzido por </w:t>
      </w:r>
      <w:proofErr w:type="spellStart"/>
      <w:r w:rsidRPr="00775054">
        <w:rPr>
          <w:rFonts w:ascii="Times New Roman" w:hAnsi="Times New Roman" w:cs="Times New Roman"/>
          <w:color w:val="000000" w:themeColor="text1"/>
          <w:spacing w:val="-6"/>
          <w:sz w:val="24"/>
          <w:szCs w:val="24"/>
        </w:rPr>
        <w:t>PwC</w:t>
      </w:r>
      <w:proofErr w:type="spellEnd"/>
      <w:r w:rsidRPr="00775054">
        <w:rPr>
          <w:rFonts w:ascii="Times New Roman" w:hAnsi="Times New Roman" w:cs="Times New Roman"/>
          <w:color w:val="000000" w:themeColor="text1"/>
          <w:spacing w:val="-6"/>
          <w:sz w:val="24"/>
          <w:szCs w:val="24"/>
        </w:rPr>
        <w:t>, junho de 2017, Componente e Princípio 5.</w:t>
      </w:r>
    </w:p>
    <w:p w:rsidR="00767299" w:rsidRPr="00775054" w:rsidRDefault="00767299"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w:t>
      </w:r>
      <w:r w:rsidR="00FD401D" w:rsidRPr="00775054">
        <w:rPr>
          <w:rFonts w:ascii="Times New Roman" w:hAnsi="Times New Roman" w:cs="Times New Roman"/>
          <w:i/>
          <w:color w:val="000000" w:themeColor="text1"/>
          <w:sz w:val="24"/>
          <w:szCs w:val="24"/>
        </w:rPr>
        <w:t>(s)</w:t>
      </w:r>
      <w:r w:rsidRPr="00775054">
        <w:rPr>
          <w:rFonts w:ascii="Times New Roman" w:hAnsi="Times New Roman" w:cs="Times New Roman"/>
          <w:i/>
          <w:color w:val="000000" w:themeColor="text1"/>
          <w:sz w:val="24"/>
          <w:szCs w:val="24"/>
        </w:rPr>
        <w:t>:</w:t>
      </w:r>
    </w:p>
    <w:p w:rsidR="00767299" w:rsidRPr="00775054" w:rsidRDefault="008B0EDB" w:rsidP="008B0EDB">
      <w:pPr>
        <w:numPr>
          <w:ilvl w:val="4"/>
          <w:numId w:val="1"/>
        </w:numPr>
        <w:spacing w:after="0" w:line="240" w:lineRule="auto"/>
        <w:jc w:val="both"/>
        <w:rPr>
          <w:rFonts w:ascii="Times New Roman" w:hAnsi="Times New Roman" w:cs="Times New Roman"/>
          <w:i/>
          <w:color w:val="000000" w:themeColor="text1"/>
          <w:sz w:val="24"/>
          <w:szCs w:val="24"/>
        </w:rPr>
      </w:pPr>
      <w:r w:rsidRPr="001B0125">
        <w:rPr>
          <w:rFonts w:ascii="Times New Roman" w:hAnsi="Times New Roman" w:cs="Times New Roman"/>
          <w:color w:val="000000" w:themeColor="text1"/>
          <w:sz w:val="24"/>
          <w:szCs w:val="24"/>
        </w:rPr>
        <w:t>Ausência de conclusão dos trabalhos afetos ao projeto gestão por competências; e</w:t>
      </w:r>
      <w:r w:rsidRPr="00775054">
        <w:rPr>
          <w:rFonts w:ascii="Times New Roman" w:hAnsi="Times New Roman" w:cs="Times New Roman"/>
          <w:color w:val="000000" w:themeColor="text1"/>
          <w:sz w:val="24"/>
          <w:szCs w:val="24"/>
        </w:rPr>
        <w:t xml:space="preserve"> </w:t>
      </w:r>
      <w:r w:rsidR="001B0125">
        <w:rPr>
          <w:rFonts w:ascii="Times New Roman" w:hAnsi="Times New Roman" w:cs="Times New Roman"/>
          <w:color w:val="000000" w:themeColor="text1"/>
          <w:sz w:val="24"/>
          <w:szCs w:val="24"/>
        </w:rPr>
        <w:t>C</w:t>
      </w:r>
      <w:r w:rsidRPr="00775054">
        <w:rPr>
          <w:rFonts w:ascii="Times New Roman" w:hAnsi="Times New Roman" w:cs="Times New Roman"/>
          <w:color w:val="000000" w:themeColor="text1"/>
          <w:sz w:val="24"/>
          <w:szCs w:val="24"/>
        </w:rPr>
        <w:t>ultura organizacional incipiente em seleção de líderes</w:t>
      </w:r>
      <w:r w:rsidR="00855DD2">
        <w:rPr>
          <w:rFonts w:ascii="Times New Roman" w:hAnsi="Times New Roman" w:cs="Times New Roman"/>
          <w:color w:val="000000" w:themeColor="text1"/>
          <w:sz w:val="24"/>
          <w:szCs w:val="24"/>
        </w:rPr>
        <w:t>, com base em critérios objetivos associados a competências técnicas e comportamentais</w:t>
      </w:r>
      <w:r w:rsidRPr="00775054">
        <w:rPr>
          <w:rFonts w:ascii="Times New Roman" w:hAnsi="Times New Roman" w:cs="Times New Roman"/>
          <w:color w:val="000000" w:themeColor="text1"/>
          <w:sz w:val="24"/>
          <w:szCs w:val="24"/>
        </w:rPr>
        <w:t>.</w:t>
      </w:r>
    </w:p>
    <w:p w:rsidR="00767299" w:rsidRPr="00775054" w:rsidRDefault="00767299"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767299" w:rsidRPr="00855DD2" w:rsidRDefault="008B0EDB" w:rsidP="008B0EDB">
      <w:pPr>
        <w:numPr>
          <w:ilvl w:val="4"/>
          <w:numId w:val="1"/>
        </w:numPr>
        <w:spacing w:after="0" w:line="240" w:lineRule="auto"/>
        <w:jc w:val="both"/>
        <w:rPr>
          <w:rFonts w:ascii="Times New Roman" w:hAnsi="Times New Roman" w:cs="Times New Roman"/>
          <w:i/>
          <w:color w:val="000000" w:themeColor="text1"/>
          <w:spacing w:val="-2"/>
          <w:sz w:val="24"/>
          <w:szCs w:val="24"/>
        </w:rPr>
      </w:pPr>
      <w:r w:rsidRPr="00855DD2">
        <w:rPr>
          <w:rFonts w:ascii="Times New Roman" w:hAnsi="Times New Roman" w:cs="Times New Roman"/>
          <w:color w:val="000000" w:themeColor="text1"/>
          <w:spacing w:val="-2"/>
          <w:sz w:val="24"/>
          <w:szCs w:val="24"/>
        </w:rPr>
        <w:t>Designação de gestores desprovidos de competências técnicas e comportamentais necessárias ao exercício de cargos e funções de direção; deficiência na profissionalização de gestores institucionais; indefinição quanto aos requisitos técnicos e comportamentais a serem atendidos para exercício de funções comissionadas e cargos em comissão; e desconfiança da sociedade e outras partes interessadas quanto à qualificação dos gestores públicos</w:t>
      </w:r>
      <w:r w:rsidR="00767299" w:rsidRPr="00855DD2">
        <w:rPr>
          <w:rFonts w:ascii="Times New Roman" w:hAnsi="Times New Roman" w:cs="Times New Roman"/>
          <w:color w:val="000000" w:themeColor="text1"/>
          <w:spacing w:val="-2"/>
          <w:sz w:val="24"/>
          <w:szCs w:val="24"/>
        </w:rPr>
        <w:t>.</w:t>
      </w:r>
    </w:p>
    <w:p w:rsidR="00767299" w:rsidRPr="00775054" w:rsidRDefault="00767299" w:rsidP="00BD421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767299" w:rsidRPr="00775054" w:rsidRDefault="00E36DD5" w:rsidP="00E36DD5">
      <w:pPr>
        <w:numPr>
          <w:ilvl w:val="4"/>
          <w:numId w:val="1"/>
        </w:numPr>
        <w:spacing w:after="0" w:line="240" w:lineRule="auto"/>
        <w:jc w:val="both"/>
        <w:rPr>
          <w:rFonts w:ascii="Times New Roman" w:hAnsi="Times New Roman" w:cs="Times New Roman"/>
          <w:i/>
          <w:color w:val="000000" w:themeColor="text1"/>
          <w:sz w:val="24"/>
          <w:szCs w:val="24"/>
        </w:rPr>
      </w:pPr>
      <w:r w:rsidRPr="00775054">
        <w:rPr>
          <w:rFonts w:ascii="Times New Roman" w:hAnsi="Times New Roman" w:cs="Times New Roman"/>
          <w:color w:val="000000" w:themeColor="text1"/>
          <w:sz w:val="24"/>
          <w:szCs w:val="24"/>
        </w:rPr>
        <w:t>PAD nº 14.851/2017 (Doc. nº 207.246/2017); PAD nº 14.853/2017 (Doc. nº 214.809/2017); PAD nº 15.855/2017 (Doc. nº 207.284/2017); PAD nº 14.857/2017 (Doc. nº 207.293/2017); PAD nº 14.859/2017 (Doc. nº 214.363/2017); PAD nº 14.866/2017 (Doc. nº 214.272/2017); PAD nº 14.875/2017 (Doc. nº 220.218/2017);</w:t>
      </w:r>
      <w:r w:rsidR="00FF1B84">
        <w:rPr>
          <w:rFonts w:ascii="Times New Roman" w:hAnsi="Times New Roman" w:cs="Times New Roman"/>
          <w:color w:val="000000" w:themeColor="text1"/>
          <w:sz w:val="24"/>
          <w:szCs w:val="24"/>
        </w:rPr>
        <w:t xml:space="preserve"> </w:t>
      </w:r>
      <w:r w:rsidR="00FF1B84" w:rsidRPr="00D70398">
        <w:rPr>
          <w:rFonts w:ascii="Times New Roman" w:hAnsi="Times New Roman" w:cs="Times New Roman"/>
          <w:sz w:val="24"/>
          <w:szCs w:val="24"/>
        </w:rPr>
        <w:t>PAD nº 4.727/2018 (Doc. nº 64.215/2018</w:t>
      </w:r>
      <w:r w:rsidR="00FF1B84" w:rsidRPr="0037091B">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e editais de seleção interna para ocupantes de funções comissionadas nº 1 e 2/2017 (publicados nos </w:t>
      </w:r>
      <w:proofErr w:type="spellStart"/>
      <w:r w:rsidRPr="00775054">
        <w:rPr>
          <w:rFonts w:ascii="Times New Roman" w:hAnsi="Times New Roman" w:cs="Times New Roman"/>
          <w:color w:val="000000" w:themeColor="text1"/>
          <w:sz w:val="24"/>
          <w:szCs w:val="24"/>
        </w:rPr>
        <w:t>DJEs</w:t>
      </w:r>
      <w:proofErr w:type="spellEnd"/>
      <w:r w:rsidRPr="00775054">
        <w:rPr>
          <w:rFonts w:ascii="Times New Roman" w:hAnsi="Times New Roman" w:cs="Times New Roman"/>
          <w:color w:val="000000" w:themeColor="text1"/>
          <w:sz w:val="24"/>
          <w:szCs w:val="24"/>
        </w:rPr>
        <w:t xml:space="preserve"> nº 99 e 185/2017, respectivamente).</w:t>
      </w:r>
    </w:p>
    <w:p w:rsidR="00FA4C47" w:rsidRPr="00775054" w:rsidRDefault="00BD4216" w:rsidP="00BD421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responsáveis:</w:t>
      </w:r>
    </w:p>
    <w:p w:rsidR="001E3B23" w:rsidRPr="00747A87" w:rsidRDefault="00FC185D" w:rsidP="00FC185D">
      <w:pPr>
        <w:numPr>
          <w:ilvl w:val="4"/>
          <w:numId w:val="1"/>
        </w:numPr>
        <w:spacing w:after="0" w:line="240" w:lineRule="auto"/>
        <w:jc w:val="both"/>
        <w:rPr>
          <w:rFonts w:ascii="Times New Roman" w:hAnsi="Times New Roman" w:cs="Times New Roman"/>
          <w:i/>
          <w:color w:val="000000" w:themeColor="text1"/>
          <w:spacing w:val="-2"/>
          <w:sz w:val="24"/>
          <w:szCs w:val="24"/>
        </w:rPr>
      </w:pPr>
      <w:r w:rsidRPr="00747A87">
        <w:rPr>
          <w:rFonts w:ascii="Times New Roman" w:hAnsi="Times New Roman" w:cs="Times New Roman"/>
          <w:color w:val="000000" w:themeColor="text1"/>
          <w:spacing w:val="-2"/>
          <w:sz w:val="24"/>
          <w:szCs w:val="24"/>
        </w:rPr>
        <w:t>Em resposta à RDI nº 6/2018 (PAD nº 1.307/2018, Doc. nº 23.874/2018), a Diretora</w:t>
      </w:r>
      <w:r w:rsidR="00855DD2" w:rsidRPr="00747A87">
        <w:rPr>
          <w:rFonts w:ascii="Times New Roman" w:hAnsi="Times New Roman" w:cs="Times New Roman"/>
          <w:color w:val="000000" w:themeColor="text1"/>
          <w:spacing w:val="-2"/>
          <w:sz w:val="24"/>
          <w:szCs w:val="24"/>
        </w:rPr>
        <w:t>-</w:t>
      </w:r>
      <w:r w:rsidRPr="00747A87">
        <w:rPr>
          <w:rFonts w:ascii="Times New Roman" w:hAnsi="Times New Roman" w:cs="Times New Roman"/>
          <w:color w:val="000000" w:themeColor="text1"/>
          <w:spacing w:val="-2"/>
          <w:sz w:val="24"/>
          <w:szCs w:val="24"/>
        </w:rPr>
        <w:t>Geral informou que a SGP já iniciou os trabalhos necessários à formalização do Mapa de Competências, sendo este um procedimento de alta complexidade e dispendioso, necessitando de prazo maior para a sua conclusão. O Projeto piloto foi feito com a COPEG, cujas competências já foram mapeadas, mediante consultoria de empresa especializada, que qualificou os servidores da CO</w:t>
      </w:r>
      <w:r w:rsidR="00F358DD" w:rsidRPr="00747A87">
        <w:rPr>
          <w:rFonts w:ascii="Times New Roman" w:hAnsi="Times New Roman" w:cs="Times New Roman"/>
          <w:color w:val="000000" w:themeColor="text1"/>
          <w:spacing w:val="-2"/>
          <w:sz w:val="24"/>
          <w:szCs w:val="24"/>
        </w:rPr>
        <w:t>E</w:t>
      </w:r>
      <w:r w:rsidRPr="00747A87">
        <w:rPr>
          <w:rFonts w:ascii="Times New Roman" w:hAnsi="Times New Roman" w:cs="Times New Roman"/>
          <w:color w:val="000000" w:themeColor="text1"/>
          <w:spacing w:val="-2"/>
          <w:sz w:val="24"/>
          <w:szCs w:val="24"/>
        </w:rPr>
        <w:t xml:space="preserve">DE, dando-lhes as ferramentas adequadas a traçar o perfil comportamental e técnico necessário à lotação das áreas bem como dos titulares de </w:t>
      </w:r>
      <w:r w:rsidR="00855DD2" w:rsidRPr="00747A87">
        <w:rPr>
          <w:rFonts w:ascii="Times New Roman" w:hAnsi="Times New Roman" w:cs="Times New Roman"/>
          <w:color w:val="000000" w:themeColor="text1"/>
          <w:spacing w:val="-2"/>
          <w:sz w:val="24"/>
          <w:szCs w:val="24"/>
        </w:rPr>
        <w:t>c</w:t>
      </w:r>
      <w:r w:rsidRPr="00747A87">
        <w:rPr>
          <w:rFonts w:ascii="Times New Roman" w:hAnsi="Times New Roman" w:cs="Times New Roman"/>
          <w:color w:val="000000" w:themeColor="text1"/>
          <w:spacing w:val="-2"/>
          <w:sz w:val="24"/>
          <w:szCs w:val="24"/>
        </w:rPr>
        <w:t xml:space="preserve">argos em </w:t>
      </w:r>
      <w:r w:rsidR="00855DD2" w:rsidRPr="00747A87">
        <w:rPr>
          <w:rFonts w:ascii="Times New Roman" w:hAnsi="Times New Roman" w:cs="Times New Roman"/>
          <w:color w:val="000000" w:themeColor="text1"/>
          <w:spacing w:val="-2"/>
          <w:sz w:val="24"/>
          <w:szCs w:val="24"/>
        </w:rPr>
        <w:t>c</w:t>
      </w:r>
      <w:r w:rsidRPr="00747A87">
        <w:rPr>
          <w:rFonts w:ascii="Times New Roman" w:hAnsi="Times New Roman" w:cs="Times New Roman"/>
          <w:color w:val="000000" w:themeColor="text1"/>
          <w:spacing w:val="-2"/>
          <w:sz w:val="24"/>
          <w:szCs w:val="24"/>
        </w:rPr>
        <w:t xml:space="preserve">omissão e </w:t>
      </w:r>
      <w:r w:rsidR="00855DD2" w:rsidRPr="00747A87">
        <w:rPr>
          <w:rFonts w:ascii="Times New Roman" w:hAnsi="Times New Roman" w:cs="Times New Roman"/>
          <w:color w:val="000000" w:themeColor="text1"/>
          <w:spacing w:val="-2"/>
          <w:sz w:val="24"/>
          <w:szCs w:val="24"/>
        </w:rPr>
        <w:t>f</w:t>
      </w:r>
      <w:r w:rsidRPr="00747A87">
        <w:rPr>
          <w:rFonts w:ascii="Times New Roman" w:hAnsi="Times New Roman" w:cs="Times New Roman"/>
          <w:color w:val="000000" w:themeColor="text1"/>
          <w:spacing w:val="-2"/>
          <w:sz w:val="24"/>
          <w:szCs w:val="24"/>
        </w:rPr>
        <w:t xml:space="preserve">unções </w:t>
      </w:r>
      <w:r w:rsidR="00855DD2" w:rsidRPr="00747A87">
        <w:rPr>
          <w:rFonts w:ascii="Times New Roman" w:hAnsi="Times New Roman" w:cs="Times New Roman"/>
          <w:color w:val="000000" w:themeColor="text1"/>
          <w:spacing w:val="-2"/>
          <w:sz w:val="24"/>
          <w:szCs w:val="24"/>
        </w:rPr>
        <w:t>c</w:t>
      </w:r>
      <w:r w:rsidRPr="00747A87">
        <w:rPr>
          <w:rFonts w:ascii="Times New Roman" w:hAnsi="Times New Roman" w:cs="Times New Roman"/>
          <w:color w:val="000000" w:themeColor="text1"/>
          <w:spacing w:val="-2"/>
          <w:sz w:val="24"/>
          <w:szCs w:val="24"/>
        </w:rPr>
        <w:t>omissionadas. Informou</w:t>
      </w:r>
      <w:r w:rsidR="00855DD2" w:rsidRPr="00747A87">
        <w:rPr>
          <w:rFonts w:ascii="Times New Roman" w:hAnsi="Times New Roman" w:cs="Times New Roman"/>
          <w:color w:val="000000" w:themeColor="text1"/>
          <w:spacing w:val="-2"/>
          <w:sz w:val="24"/>
          <w:szCs w:val="24"/>
        </w:rPr>
        <w:t>,</w:t>
      </w:r>
      <w:r w:rsidRPr="00747A87">
        <w:rPr>
          <w:rFonts w:ascii="Times New Roman" w:hAnsi="Times New Roman" w:cs="Times New Roman"/>
          <w:color w:val="000000" w:themeColor="text1"/>
          <w:spacing w:val="-2"/>
          <w:sz w:val="24"/>
          <w:szCs w:val="24"/>
        </w:rPr>
        <w:t xml:space="preserve"> também</w:t>
      </w:r>
      <w:r w:rsidR="00855DD2" w:rsidRPr="00747A87">
        <w:rPr>
          <w:rFonts w:ascii="Times New Roman" w:hAnsi="Times New Roman" w:cs="Times New Roman"/>
          <w:color w:val="000000" w:themeColor="text1"/>
          <w:spacing w:val="-2"/>
          <w:sz w:val="24"/>
          <w:szCs w:val="24"/>
        </w:rPr>
        <w:t>,</w:t>
      </w:r>
      <w:r w:rsidRPr="00747A87">
        <w:rPr>
          <w:rFonts w:ascii="Times New Roman" w:hAnsi="Times New Roman" w:cs="Times New Roman"/>
          <w:color w:val="000000" w:themeColor="text1"/>
          <w:spacing w:val="-2"/>
          <w:sz w:val="24"/>
          <w:szCs w:val="24"/>
        </w:rPr>
        <w:t xml:space="preserve"> que</w:t>
      </w:r>
      <w:r w:rsidR="00855DD2" w:rsidRPr="00747A87">
        <w:rPr>
          <w:rFonts w:ascii="Times New Roman" w:hAnsi="Times New Roman" w:cs="Times New Roman"/>
          <w:color w:val="000000" w:themeColor="text1"/>
          <w:spacing w:val="-2"/>
          <w:sz w:val="24"/>
          <w:szCs w:val="24"/>
        </w:rPr>
        <w:t xml:space="preserve"> </w:t>
      </w:r>
      <w:r w:rsidRPr="00747A87">
        <w:rPr>
          <w:rFonts w:ascii="Times New Roman" w:hAnsi="Times New Roman" w:cs="Times New Roman"/>
          <w:color w:val="000000" w:themeColor="text1"/>
          <w:spacing w:val="-2"/>
          <w:sz w:val="24"/>
          <w:szCs w:val="24"/>
        </w:rPr>
        <w:t>a SGP est</w:t>
      </w:r>
      <w:r w:rsidR="00855DD2" w:rsidRPr="00747A87">
        <w:rPr>
          <w:rFonts w:ascii="Times New Roman" w:hAnsi="Times New Roman" w:cs="Times New Roman"/>
          <w:color w:val="000000" w:themeColor="text1"/>
          <w:spacing w:val="-2"/>
          <w:sz w:val="24"/>
          <w:szCs w:val="24"/>
        </w:rPr>
        <w:t>aria</w:t>
      </w:r>
      <w:r w:rsidRPr="00747A87">
        <w:rPr>
          <w:rFonts w:ascii="Times New Roman" w:hAnsi="Times New Roman" w:cs="Times New Roman"/>
          <w:color w:val="000000" w:themeColor="text1"/>
          <w:spacing w:val="-2"/>
          <w:sz w:val="24"/>
          <w:szCs w:val="24"/>
        </w:rPr>
        <w:t xml:space="preserve"> finalizando o mapeamento da SGA, SGP e SOF, </w:t>
      </w:r>
      <w:r w:rsidR="00855DD2" w:rsidRPr="00747A87">
        <w:rPr>
          <w:rFonts w:ascii="Times New Roman" w:hAnsi="Times New Roman" w:cs="Times New Roman"/>
          <w:color w:val="000000" w:themeColor="text1"/>
          <w:spacing w:val="-2"/>
          <w:sz w:val="24"/>
          <w:szCs w:val="24"/>
        </w:rPr>
        <w:t xml:space="preserve">não tendo, </w:t>
      </w:r>
      <w:r w:rsidRPr="00747A87">
        <w:rPr>
          <w:rFonts w:ascii="Times New Roman" w:hAnsi="Times New Roman" w:cs="Times New Roman"/>
          <w:color w:val="000000" w:themeColor="text1"/>
          <w:spacing w:val="-2"/>
          <w:sz w:val="24"/>
          <w:szCs w:val="24"/>
        </w:rPr>
        <w:t>ainda</w:t>
      </w:r>
      <w:r w:rsidR="00855DD2" w:rsidRPr="00747A87">
        <w:rPr>
          <w:rFonts w:ascii="Times New Roman" w:hAnsi="Times New Roman" w:cs="Times New Roman"/>
          <w:color w:val="000000" w:themeColor="text1"/>
          <w:spacing w:val="-2"/>
          <w:sz w:val="24"/>
          <w:szCs w:val="24"/>
        </w:rPr>
        <w:t>,</w:t>
      </w:r>
      <w:r w:rsidRPr="00747A87">
        <w:rPr>
          <w:rFonts w:ascii="Times New Roman" w:hAnsi="Times New Roman" w:cs="Times New Roman"/>
          <w:color w:val="000000" w:themeColor="text1"/>
          <w:spacing w:val="-2"/>
          <w:sz w:val="24"/>
          <w:szCs w:val="24"/>
        </w:rPr>
        <w:t xml:space="preserve"> </w:t>
      </w:r>
      <w:r w:rsidR="00855DD2" w:rsidRPr="00747A87">
        <w:rPr>
          <w:rFonts w:ascii="Times New Roman" w:hAnsi="Times New Roman" w:cs="Times New Roman"/>
          <w:color w:val="000000" w:themeColor="text1"/>
          <w:spacing w:val="-2"/>
          <w:sz w:val="24"/>
          <w:szCs w:val="24"/>
        </w:rPr>
        <w:t>iniciado</w:t>
      </w:r>
      <w:r w:rsidRPr="00747A87">
        <w:rPr>
          <w:rFonts w:ascii="Times New Roman" w:hAnsi="Times New Roman" w:cs="Times New Roman"/>
          <w:color w:val="000000" w:themeColor="text1"/>
          <w:spacing w:val="-2"/>
          <w:sz w:val="24"/>
          <w:szCs w:val="24"/>
        </w:rPr>
        <w:t xml:space="preserve"> os estudos </w:t>
      </w:r>
      <w:r w:rsidR="00855DD2" w:rsidRPr="00747A87">
        <w:rPr>
          <w:rFonts w:ascii="Times New Roman" w:hAnsi="Times New Roman" w:cs="Times New Roman"/>
          <w:color w:val="000000" w:themeColor="text1"/>
          <w:spacing w:val="-2"/>
          <w:sz w:val="24"/>
          <w:szCs w:val="24"/>
        </w:rPr>
        <w:t xml:space="preserve">em </w:t>
      </w:r>
      <w:r w:rsidRPr="00747A87">
        <w:rPr>
          <w:rFonts w:ascii="Times New Roman" w:hAnsi="Times New Roman" w:cs="Times New Roman"/>
          <w:color w:val="000000" w:themeColor="text1"/>
          <w:spacing w:val="-2"/>
          <w:sz w:val="24"/>
          <w:szCs w:val="24"/>
        </w:rPr>
        <w:t>outras unidades do Tribunal</w:t>
      </w:r>
      <w:r w:rsidR="00A82AD2" w:rsidRPr="00747A87">
        <w:rPr>
          <w:rFonts w:ascii="Times New Roman" w:hAnsi="Times New Roman" w:cs="Times New Roman"/>
          <w:color w:val="000000" w:themeColor="text1"/>
          <w:spacing w:val="-2"/>
          <w:sz w:val="24"/>
          <w:szCs w:val="24"/>
        </w:rPr>
        <w:t>.</w:t>
      </w:r>
    </w:p>
    <w:p w:rsidR="00425097" w:rsidRDefault="00425097" w:rsidP="00425097">
      <w:pPr>
        <w:numPr>
          <w:ilvl w:val="4"/>
          <w:numId w:val="1"/>
        </w:numPr>
        <w:spacing w:after="0" w:line="240" w:lineRule="auto"/>
        <w:jc w:val="both"/>
        <w:rPr>
          <w:rFonts w:ascii="Times New Roman" w:hAnsi="Times New Roman" w:cs="Times New Roman"/>
          <w:color w:val="000000" w:themeColor="text1"/>
          <w:spacing w:val="-2"/>
          <w:sz w:val="24"/>
          <w:szCs w:val="24"/>
        </w:rPr>
      </w:pPr>
      <w:r w:rsidRPr="00747A87">
        <w:rPr>
          <w:rFonts w:ascii="Times New Roman" w:hAnsi="Times New Roman" w:cs="Times New Roman"/>
          <w:color w:val="000000" w:themeColor="text1"/>
          <w:spacing w:val="-2"/>
          <w:sz w:val="24"/>
          <w:szCs w:val="24"/>
        </w:rPr>
        <w:t>Em resposta à RDI nº 8/2018 (PAD nº 1.310/2018, Doc. nº 30.991/2018), a SGP sugeriu que</w:t>
      </w:r>
      <w:r w:rsidR="00565E61" w:rsidRPr="00747A87">
        <w:rPr>
          <w:rFonts w:ascii="Times New Roman" w:hAnsi="Times New Roman" w:cs="Times New Roman"/>
          <w:color w:val="000000" w:themeColor="text1"/>
          <w:spacing w:val="-2"/>
          <w:sz w:val="24"/>
          <w:szCs w:val="24"/>
        </w:rPr>
        <w:t>,</w:t>
      </w:r>
      <w:r w:rsidRPr="00747A87">
        <w:rPr>
          <w:rFonts w:ascii="Times New Roman" w:hAnsi="Times New Roman" w:cs="Times New Roman"/>
          <w:color w:val="000000" w:themeColor="text1"/>
          <w:spacing w:val="-2"/>
          <w:sz w:val="24"/>
          <w:szCs w:val="24"/>
        </w:rPr>
        <w:t xml:space="preserve"> </w:t>
      </w:r>
      <w:r w:rsidR="00855DD2" w:rsidRPr="00747A87">
        <w:rPr>
          <w:rFonts w:ascii="Times New Roman" w:hAnsi="Times New Roman" w:cs="Times New Roman"/>
          <w:color w:val="000000" w:themeColor="text1"/>
          <w:spacing w:val="-2"/>
          <w:sz w:val="24"/>
          <w:szCs w:val="24"/>
        </w:rPr>
        <w:t>à</w:t>
      </w:r>
      <w:r w:rsidRPr="00747A87">
        <w:rPr>
          <w:rFonts w:ascii="Times New Roman" w:hAnsi="Times New Roman" w:cs="Times New Roman"/>
          <w:color w:val="000000" w:themeColor="text1"/>
          <w:spacing w:val="-2"/>
          <w:sz w:val="24"/>
          <w:szCs w:val="24"/>
        </w:rPr>
        <w:t xml:space="preserve"> medida que as áreas fo</w:t>
      </w:r>
      <w:r w:rsidR="00855DD2" w:rsidRPr="00747A87">
        <w:rPr>
          <w:rFonts w:ascii="Times New Roman" w:hAnsi="Times New Roman" w:cs="Times New Roman"/>
          <w:color w:val="000000" w:themeColor="text1"/>
          <w:spacing w:val="-2"/>
          <w:sz w:val="24"/>
          <w:szCs w:val="24"/>
        </w:rPr>
        <w:t>ss</w:t>
      </w:r>
      <w:r w:rsidRPr="00747A87">
        <w:rPr>
          <w:rFonts w:ascii="Times New Roman" w:hAnsi="Times New Roman" w:cs="Times New Roman"/>
          <w:color w:val="000000" w:themeColor="text1"/>
          <w:spacing w:val="-2"/>
          <w:sz w:val="24"/>
          <w:szCs w:val="24"/>
        </w:rPr>
        <w:t xml:space="preserve">em sendo </w:t>
      </w:r>
      <w:proofErr w:type="gramStart"/>
      <w:r w:rsidRPr="00747A87">
        <w:rPr>
          <w:rFonts w:ascii="Times New Roman" w:hAnsi="Times New Roman" w:cs="Times New Roman"/>
          <w:color w:val="000000" w:themeColor="text1"/>
          <w:spacing w:val="-2"/>
          <w:sz w:val="24"/>
          <w:szCs w:val="24"/>
        </w:rPr>
        <w:t>alcançadas</w:t>
      </w:r>
      <w:proofErr w:type="gramEnd"/>
      <w:r w:rsidRPr="00747A87">
        <w:rPr>
          <w:rFonts w:ascii="Times New Roman" w:hAnsi="Times New Roman" w:cs="Times New Roman"/>
          <w:color w:val="000000" w:themeColor="text1"/>
          <w:spacing w:val="-2"/>
          <w:sz w:val="24"/>
          <w:szCs w:val="24"/>
        </w:rPr>
        <w:t xml:space="preserve"> pelo Projeto Gestão por Competências, o mapeamento realizado </w:t>
      </w:r>
      <w:r w:rsidR="00855DD2" w:rsidRPr="00747A87">
        <w:rPr>
          <w:rFonts w:ascii="Times New Roman" w:hAnsi="Times New Roman" w:cs="Times New Roman"/>
          <w:color w:val="000000" w:themeColor="text1"/>
          <w:spacing w:val="-2"/>
          <w:sz w:val="24"/>
          <w:szCs w:val="24"/>
        </w:rPr>
        <w:t>fosse</w:t>
      </w:r>
      <w:r w:rsidRPr="00747A87">
        <w:rPr>
          <w:rFonts w:ascii="Times New Roman" w:hAnsi="Times New Roman" w:cs="Times New Roman"/>
          <w:color w:val="000000" w:themeColor="text1"/>
          <w:spacing w:val="-2"/>
          <w:sz w:val="24"/>
          <w:szCs w:val="24"/>
        </w:rPr>
        <w:t xml:space="preserve"> considerado quando da nomeação de servidores para ocupação de funções comissionadas e cargos em comissão, </w:t>
      </w:r>
      <w:r w:rsidR="00855DD2" w:rsidRPr="00747A87">
        <w:rPr>
          <w:rFonts w:ascii="Times New Roman" w:hAnsi="Times New Roman" w:cs="Times New Roman"/>
          <w:color w:val="000000" w:themeColor="text1"/>
          <w:spacing w:val="-2"/>
          <w:sz w:val="24"/>
          <w:szCs w:val="24"/>
        </w:rPr>
        <w:t xml:space="preserve">com base </w:t>
      </w:r>
      <w:r w:rsidR="00565E61" w:rsidRPr="00747A87">
        <w:rPr>
          <w:rFonts w:ascii="Times New Roman" w:hAnsi="Times New Roman" w:cs="Times New Roman"/>
          <w:color w:val="000000" w:themeColor="text1"/>
          <w:spacing w:val="-2"/>
          <w:sz w:val="24"/>
          <w:szCs w:val="24"/>
        </w:rPr>
        <w:t xml:space="preserve">em </w:t>
      </w:r>
      <w:r w:rsidRPr="00747A87">
        <w:rPr>
          <w:rFonts w:ascii="Times New Roman" w:hAnsi="Times New Roman" w:cs="Times New Roman"/>
          <w:color w:val="000000" w:themeColor="text1"/>
          <w:spacing w:val="-2"/>
          <w:sz w:val="24"/>
          <w:szCs w:val="24"/>
        </w:rPr>
        <w:t>normat</w:t>
      </w:r>
      <w:r w:rsidR="00565E61" w:rsidRPr="00747A87">
        <w:rPr>
          <w:rFonts w:ascii="Times New Roman" w:hAnsi="Times New Roman" w:cs="Times New Roman"/>
          <w:color w:val="000000" w:themeColor="text1"/>
          <w:spacing w:val="-2"/>
          <w:sz w:val="24"/>
          <w:szCs w:val="24"/>
        </w:rPr>
        <w:t>ização</w:t>
      </w:r>
      <w:r w:rsidRPr="00747A87">
        <w:rPr>
          <w:rFonts w:ascii="Times New Roman" w:hAnsi="Times New Roman" w:cs="Times New Roman"/>
          <w:color w:val="000000" w:themeColor="text1"/>
          <w:spacing w:val="-2"/>
          <w:sz w:val="24"/>
          <w:szCs w:val="24"/>
        </w:rPr>
        <w:t xml:space="preserve"> </w:t>
      </w:r>
      <w:r w:rsidR="00855DD2" w:rsidRPr="00747A87">
        <w:rPr>
          <w:rFonts w:ascii="Times New Roman" w:hAnsi="Times New Roman" w:cs="Times New Roman"/>
          <w:color w:val="000000" w:themeColor="text1"/>
          <w:spacing w:val="-2"/>
          <w:sz w:val="24"/>
          <w:szCs w:val="24"/>
        </w:rPr>
        <w:t>específic</w:t>
      </w:r>
      <w:r w:rsidR="00565E61" w:rsidRPr="00747A87">
        <w:rPr>
          <w:rFonts w:ascii="Times New Roman" w:hAnsi="Times New Roman" w:cs="Times New Roman"/>
          <w:color w:val="000000" w:themeColor="text1"/>
          <w:spacing w:val="-2"/>
          <w:sz w:val="24"/>
          <w:szCs w:val="24"/>
        </w:rPr>
        <w:t>a</w:t>
      </w:r>
      <w:r w:rsidR="00855DD2" w:rsidRPr="00747A87">
        <w:rPr>
          <w:rFonts w:ascii="Times New Roman" w:hAnsi="Times New Roman" w:cs="Times New Roman"/>
          <w:color w:val="000000" w:themeColor="text1"/>
          <w:spacing w:val="-2"/>
          <w:sz w:val="24"/>
          <w:szCs w:val="24"/>
        </w:rPr>
        <w:t xml:space="preserve"> a ser </w:t>
      </w:r>
      <w:r w:rsidR="00565E61" w:rsidRPr="00747A87">
        <w:rPr>
          <w:rFonts w:ascii="Times New Roman" w:hAnsi="Times New Roman" w:cs="Times New Roman"/>
          <w:color w:val="000000" w:themeColor="text1"/>
          <w:spacing w:val="-2"/>
          <w:sz w:val="24"/>
          <w:szCs w:val="24"/>
        </w:rPr>
        <w:t>formalizada</w:t>
      </w:r>
      <w:r w:rsidRPr="00747A87">
        <w:rPr>
          <w:rFonts w:ascii="Times New Roman" w:hAnsi="Times New Roman" w:cs="Times New Roman"/>
          <w:color w:val="000000" w:themeColor="text1"/>
          <w:spacing w:val="-2"/>
          <w:sz w:val="24"/>
          <w:szCs w:val="24"/>
        </w:rPr>
        <w:t xml:space="preserve">. </w:t>
      </w:r>
      <w:r w:rsidR="00565E61" w:rsidRPr="00747A87">
        <w:rPr>
          <w:rFonts w:ascii="Times New Roman" w:hAnsi="Times New Roman" w:cs="Times New Roman"/>
          <w:color w:val="000000" w:themeColor="text1"/>
          <w:spacing w:val="-2"/>
          <w:sz w:val="24"/>
          <w:szCs w:val="24"/>
        </w:rPr>
        <w:t>Ponderou, ainda, que a inclusão de unidades no cron</w:t>
      </w:r>
      <w:r w:rsidR="00BD5668" w:rsidRPr="00747A87">
        <w:rPr>
          <w:rFonts w:ascii="Times New Roman" w:hAnsi="Times New Roman" w:cs="Times New Roman"/>
          <w:color w:val="000000" w:themeColor="text1"/>
          <w:spacing w:val="-2"/>
          <w:sz w:val="24"/>
          <w:szCs w:val="24"/>
        </w:rPr>
        <w:t>o</w:t>
      </w:r>
      <w:r w:rsidR="00565E61" w:rsidRPr="00747A87">
        <w:rPr>
          <w:rFonts w:ascii="Times New Roman" w:hAnsi="Times New Roman" w:cs="Times New Roman"/>
          <w:color w:val="000000" w:themeColor="text1"/>
          <w:spacing w:val="-2"/>
          <w:sz w:val="24"/>
          <w:szCs w:val="24"/>
        </w:rPr>
        <w:t>gra</w:t>
      </w:r>
      <w:r w:rsidR="00BD5668" w:rsidRPr="00747A87">
        <w:rPr>
          <w:rFonts w:ascii="Times New Roman" w:hAnsi="Times New Roman" w:cs="Times New Roman"/>
          <w:color w:val="000000" w:themeColor="text1"/>
          <w:spacing w:val="-2"/>
          <w:sz w:val="24"/>
          <w:szCs w:val="24"/>
        </w:rPr>
        <w:t>m</w:t>
      </w:r>
      <w:r w:rsidR="00565E61" w:rsidRPr="00747A87">
        <w:rPr>
          <w:rFonts w:ascii="Times New Roman" w:hAnsi="Times New Roman" w:cs="Times New Roman"/>
          <w:color w:val="000000" w:themeColor="text1"/>
          <w:spacing w:val="-2"/>
          <w:sz w:val="24"/>
          <w:szCs w:val="24"/>
        </w:rPr>
        <w:t>a de trabalhos do referido</w:t>
      </w:r>
      <w:r w:rsidRPr="00747A87">
        <w:rPr>
          <w:rFonts w:ascii="Times New Roman" w:hAnsi="Times New Roman" w:cs="Times New Roman"/>
          <w:color w:val="000000" w:themeColor="text1"/>
          <w:spacing w:val="-2"/>
          <w:sz w:val="24"/>
          <w:szCs w:val="24"/>
        </w:rPr>
        <w:t xml:space="preserve"> Projeto </w:t>
      </w:r>
      <w:r w:rsidR="00565E61" w:rsidRPr="00747A87">
        <w:rPr>
          <w:rFonts w:ascii="Times New Roman" w:hAnsi="Times New Roman" w:cs="Times New Roman"/>
          <w:color w:val="000000" w:themeColor="text1"/>
          <w:spacing w:val="-2"/>
          <w:sz w:val="24"/>
          <w:szCs w:val="24"/>
        </w:rPr>
        <w:t>e</w:t>
      </w:r>
      <w:r w:rsidRPr="00747A87">
        <w:rPr>
          <w:rFonts w:ascii="Times New Roman" w:hAnsi="Times New Roman" w:cs="Times New Roman"/>
          <w:color w:val="000000" w:themeColor="text1"/>
          <w:spacing w:val="-2"/>
          <w:sz w:val="24"/>
          <w:szCs w:val="24"/>
        </w:rPr>
        <w:t xml:space="preserve">stabelecido no PAD nº 10.701/2017, Doc. </w:t>
      </w:r>
      <w:proofErr w:type="gramStart"/>
      <w:r w:rsidRPr="00747A87">
        <w:rPr>
          <w:rFonts w:ascii="Times New Roman" w:hAnsi="Times New Roman" w:cs="Times New Roman"/>
          <w:color w:val="000000" w:themeColor="text1"/>
          <w:spacing w:val="-2"/>
          <w:sz w:val="24"/>
          <w:szCs w:val="24"/>
        </w:rPr>
        <w:t>nº</w:t>
      </w:r>
      <w:proofErr w:type="gramEnd"/>
      <w:r w:rsidRPr="00747A87">
        <w:rPr>
          <w:rFonts w:ascii="Times New Roman" w:hAnsi="Times New Roman" w:cs="Times New Roman"/>
          <w:color w:val="000000" w:themeColor="text1"/>
          <w:spacing w:val="-2"/>
          <w:sz w:val="24"/>
          <w:szCs w:val="24"/>
        </w:rPr>
        <w:t xml:space="preserve"> 184.430/2017</w:t>
      </w:r>
      <w:r w:rsidR="00565E61" w:rsidRPr="00747A87">
        <w:rPr>
          <w:rFonts w:ascii="Times New Roman" w:hAnsi="Times New Roman" w:cs="Times New Roman"/>
          <w:color w:val="000000" w:themeColor="text1"/>
          <w:spacing w:val="-2"/>
          <w:sz w:val="24"/>
          <w:szCs w:val="24"/>
        </w:rPr>
        <w:t>,</w:t>
      </w:r>
      <w:r w:rsidRPr="00747A87">
        <w:rPr>
          <w:rFonts w:ascii="Times New Roman" w:hAnsi="Times New Roman" w:cs="Times New Roman"/>
          <w:color w:val="000000" w:themeColor="text1"/>
          <w:spacing w:val="-2"/>
          <w:sz w:val="24"/>
          <w:szCs w:val="24"/>
        </w:rPr>
        <w:t xml:space="preserve"> </w:t>
      </w:r>
      <w:r w:rsidR="00565E61" w:rsidRPr="00747A87">
        <w:rPr>
          <w:rFonts w:ascii="Times New Roman" w:hAnsi="Times New Roman" w:cs="Times New Roman"/>
          <w:color w:val="000000" w:themeColor="text1"/>
          <w:spacing w:val="-2"/>
          <w:sz w:val="24"/>
          <w:szCs w:val="24"/>
        </w:rPr>
        <w:lastRenderedPageBreak/>
        <w:t xml:space="preserve">se processasse de forma escalonada, de modo a </w:t>
      </w:r>
      <w:r w:rsidRPr="00747A87">
        <w:rPr>
          <w:rFonts w:ascii="Times New Roman" w:hAnsi="Times New Roman" w:cs="Times New Roman"/>
          <w:color w:val="000000" w:themeColor="text1"/>
          <w:spacing w:val="-2"/>
          <w:sz w:val="24"/>
          <w:szCs w:val="24"/>
        </w:rPr>
        <w:t>garantir a realização de um trabalho consistente. Por fim, inform</w:t>
      </w:r>
      <w:r w:rsidR="00565E61" w:rsidRPr="00747A87">
        <w:rPr>
          <w:rFonts w:ascii="Times New Roman" w:hAnsi="Times New Roman" w:cs="Times New Roman"/>
          <w:color w:val="000000" w:themeColor="text1"/>
          <w:spacing w:val="-2"/>
          <w:sz w:val="24"/>
          <w:szCs w:val="24"/>
        </w:rPr>
        <w:t>ou</w:t>
      </w:r>
      <w:r w:rsidRPr="00747A87">
        <w:rPr>
          <w:rFonts w:ascii="Times New Roman" w:hAnsi="Times New Roman" w:cs="Times New Roman"/>
          <w:color w:val="000000" w:themeColor="text1"/>
          <w:spacing w:val="-2"/>
          <w:sz w:val="24"/>
          <w:szCs w:val="24"/>
        </w:rPr>
        <w:t xml:space="preserve"> que, até </w:t>
      </w:r>
      <w:r w:rsidR="00CE2B62" w:rsidRPr="00747A87">
        <w:rPr>
          <w:rFonts w:ascii="Times New Roman" w:hAnsi="Times New Roman" w:cs="Times New Roman"/>
          <w:color w:val="000000" w:themeColor="text1"/>
          <w:spacing w:val="-2"/>
          <w:sz w:val="24"/>
          <w:szCs w:val="24"/>
        </w:rPr>
        <w:t>1/3/2018</w:t>
      </w:r>
      <w:r w:rsidRPr="00747A87">
        <w:rPr>
          <w:rFonts w:ascii="Times New Roman" w:hAnsi="Times New Roman" w:cs="Times New Roman"/>
          <w:color w:val="000000" w:themeColor="text1"/>
          <w:spacing w:val="-2"/>
          <w:sz w:val="24"/>
          <w:szCs w:val="24"/>
        </w:rPr>
        <w:t xml:space="preserve">, 49 unidades </w:t>
      </w:r>
      <w:r w:rsidR="00331CBF" w:rsidRPr="00747A87">
        <w:rPr>
          <w:rFonts w:ascii="Times New Roman" w:hAnsi="Times New Roman" w:cs="Times New Roman"/>
          <w:color w:val="000000" w:themeColor="text1"/>
          <w:spacing w:val="-2"/>
          <w:sz w:val="24"/>
          <w:szCs w:val="24"/>
        </w:rPr>
        <w:t xml:space="preserve">(SGP, COPEG, SGA, SOF) </w:t>
      </w:r>
      <w:r w:rsidR="00565E61" w:rsidRPr="00747A87">
        <w:rPr>
          <w:rFonts w:ascii="Times New Roman" w:hAnsi="Times New Roman" w:cs="Times New Roman"/>
          <w:color w:val="000000" w:themeColor="text1"/>
          <w:spacing w:val="-2"/>
          <w:sz w:val="24"/>
          <w:szCs w:val="24"/>
        </w:rPr>
        <w:t>já haviam sido</w:t>
      </w:r>
      <w:r w:rsidR="00331CBF" w:rsidRPr="00747A87">
        <w:rPr>
          <w:rFonts w:ascii="Times New Roman" w:hAnsi="Times New Roman" w:cs="Times New Roman"/>
          <w:color w:val="000000" w:themeColor="text1"/>
          <w:spacing w:val="-2"/>
          <w:sz w:val="24"/>
          <w:szCs w:val="24"/>
        </w:rPr>
        <w:t xml:space="preserve"> mapeadas.</w:t>
      </w:r>
    </w:p>
    <w:p w:rsidR="00B1318F" w:rsidRPr="00D70398" w:rsidRDefault="00B1318F" w:rsidP="00B1318F">
      <w:pPr>
        <w:numPr>
          <w:ilvl w:val="4"/>
          <w:numId w:val="1"/>
        </w:numPr>
        <w:spacing w:after="0" w:line="240" w:lineRule="auto"/>
        <w:jc w:val="both"/>
        <w:rPr>
          <w:rFonts w:ascii="Times New Roman" w:hAnsi="Times New Roman" w:cs="Times New Roman"/>
          <w:spacing w:val="-2"/>
          <w:sz w:val="24"/>
          <w:szCs w:val="24"/>
        </w:rPr>
      </w:pPr>
      <w:r w:rsidRPr="00D70398">
        <w:rPr>
          <w:rFonts w:ascii="Times New Roman" w:hAnsi="Times New Roman" w:cs="Times New Roman"/>
          <w:spacing w:val="-2"/>
          <w:sz w:val="24"/>
          <w:szCs w:val="24"/>
        </w:rPr>
        <w:t>Em resposta à RDI Circular nº 5/2018 (PAD nº 4.727/2018, Doc. nº 64.215/2018), a ASSESP acrescentou que, conquanto ainda não tenha sido realizado um processo formal de seleção de líderes para ocupação de cargos em comissão e funções comissionadas, o Presidente deste Regional, previamente à nomeação de servidores para a ocupação de cargo em comissão ou designação de servidores para o exercício de função de confiança, notadamente da COPEG, tem instado o Secretário de Gestão de Pessoas com o fim de se assegurar acerca das competências técnicas e comportamentais dos respectivos servidores.</w:t>
      </w:r>
    </w:p>
    <w:p w:rsidR="0025072D" w:rsidRPr="00D70398" w:rsidRDefault="0025072D" w:rsidP="0025072D">
      <w:pPr>
        <w:numPr>
          <w:ilvl w:val="4"/>
          <w:numId w:val="1"/>
        </w:numPr>
        <w:spacing w:after="0" w:line="240" w:lineRule="auto"/>
        <w:jc w:val="both"/>
        <w:rPr>
          <w:rFonts w:ascii="Times New Roman" w:hAnsi="Times New Roman" w:cs="Times New Roman"/>
          <w:spacing w:val="-2"/>
          <w:sz w:val="24"/>
          <w:szCs w:val="24"/>
        </w:rPr>
      </w:pPr>
      <w:r w:rsidRPr="00D70398">
        <w:rPr>
          <w:rFonts w:ascii="Times New Roman" w:hAnsi="Times New Roman" w:cs="Times New Roman"/>
          <w:spacing w:val="-2"/>
          <w:sz w:val="24"/>
          <w:szCs w:val="24"/>
        </w:rPr>
        <w:t xml:space="preserve">Em resposta à RDI Circular nº 5/2018 (PAD nº 4.727/2018, Doc. nº 66.886/2018), a SGP informou que a elaboração do </w:t>
      </w:r>
      <w:r w:rsidR="00175653" w:rsidRPr="00D70398">
        <w:rPr>
          <w:rFonts w:ascii="Times New Roman" w:hAnsi="Times New Roman" w:cs="Times New Roman"/>
          <w:spacing w:val="-2"/>
          <w:sz w:val="24"/>
          <w:szCs w:val="24"/>
        </w:rPr>
        <w:t>Plano de Desenvolvimento Individual (</w:t>
      </w:r>
      <w:r w:rsidRPr="00D70398">
        <w:rPr>
          <w:rFonts w:ascii="Times New Roman" w:hAnsi="Times New Roman" w:cs="Times New Roman"/>
          <w:spacing w:val="-2"/>
          <w:sz w:val="24"/>
          <w:szCs w:val="24"/>
        </w:rPr>
        <w:t>PDI</w:t>
      </w:r>
      <w:r w:rsidR="00175653" w:rsidRPr="00D70398">
        <w:rPr>
          <w:rFonts w:ascii="Times New Roman" w:hAnsi="Times New Roman" w:cs="Times New Roman"/>
          <w:spacing w:val="-2"/>
          <w:sz w:val="24"/>
          <w:szCs w:val="24"/>
        </w:rPr>
        <w:t>)</w:t>
      </w:r>
      <w:r w:rsidRPr="00D70398">
        <w:rPr>
          <w:rFonts w:ascii="Times New Roman" w:hAnsi="Times New Roman" w:cs="Times New Roman"/>
          <w:spacing w:val="-2"/>
          <w:sz w:val="24"/>
          <w:szCs w:val="24"/>
        </w:rPr>
        <w:t xml:space="preserve"> é resultado d</w:t>
      </w:r>
      <w:r w:rsidR="00175653" w:rsidRPr="00D70398">
        <w:rPr>
          <w:rFonts w:ascii="Times New Roman" w:hAnsi="Times New Roman" w:cs="Times New Roman"/>
          <w:spacing w:val="-2"/>
          <w:sz w:val="24"/>
          <w:szCs w:val="24"/>
        </w:rPr>
        <w:t>e</w:t>
      </w:r>
      <w:r w:rsidRPr="00D70398">
        <w:rPr>
          <w:rFonts w:ascii="Times New Roman" w:hAnsi="Times New Roman" w:cs="Times New Roman"/>
          <w:spacing w:val="-2"/>
          <w:sz w:val="24"/>
          <w:szCs w:val="24"/>
        </w:rPr>
        <w:t xml:space="preserve"> reunião de </w:t>
      </w:r>
      <w:proofErr w:type="gramStart"/>
      <w:r w:rsidRPr="00D70398">
        <w:rPr>
          <w:rFonts w:ascii="Times New Roman" w:hAnsi="Times New Roman" w:cs="Times New Roman"/>
          <w:i/>
          <w:spacing w:val="-2"/>
          <w:sz w:val="24"/>
          <w:szCs w:val="24"/>
        </w:rPr>
        <w:t>feedback</w:t>
      </w:r>
      <w:proofErr w:type="gramEnd"/>
      <w:r w:rsidRPr="00D70398">
        <w:rPr>
          <w:rFonts w:ascii="Times New Roman" w:hAnsi="Times New Roman" w:cs="Times New Roman"/>
          <w:i/>
          <w:spacing w:val="-2"/>
          <w:sz w:val="24"/>
          <w:szCs w:val="24"/>
        </w:rPr>
        <w:t xml:space="preserve"> </w:t>
      </w:r>
      <w:r w:rsidRPr="00D70398">
        <w:rPr>
          <w:rFonts w:ascii="Times New Roman" w:hAnsi="Times New Roman" w:cs="Times New Roman"/>
          <w:spacing w:val="-2"/>
          <w:sz w:val="24"/>
          <w:szCs w:val="24"/>
        </w:rPr>
        <w:t>da avaliação e deve ser realizada pelo gestor e liderado, sendo a SGP responsável pela orientação e suporte na elaboração dos planos de desenvolvimento.</w:t>
      </w:r>
    </w:p>
    <w:p w:rsidR="002629DA" w:rsidRPr="006A4542" w:rsidRDefault="002629DA" w:rsidP="006A3BC9">
      <w:pPr>
        <w:numPr>
          <w:ilvl w:val="3"/>
          <w:numId w:val="1"/>
        </w:numPr>
        <w:spacing w:after="0" w:line="240" w:lineRule="auto"/>
        <w:ind w:left="1077" w:hanging="1077"/>
        <w:jc w:val="both"/>
        <w:rPr>
          <w:rFonts w:ascii="Times New Roman" w:hAnsi="Times New Roman" w:cs="Times New Roman"/>
          <w:i/>
          <w:sz w:val="24"/>
          <w:szCs w:val="24"/>
        </w:rPr>
      </w:pPr>
      <w:r w:rsidRPr="006A4542">
        <w:rPr>
          <w:rFonts w:ascii="Times New Roman" w:hAnsi="Times New Roman" w:cs="Times New Roman"/>
          <w:i/>
          <w:sz w:val="24"/>
          <w:szCs w:val="24"/>
        </w:rPr>
        <w:t>Conclusão da equipe de auditoria</w:t>
      </w:r>
      <w:r w:rsidR="004C3E04" w:rsidRPr="006A4542">
        <w:rPr>
          <w:rFonts w:ascii="Times New Roman" w:hAnsi="Times New Roman" w:cs="Times New Roman"/>
          <w:i/>
          <w:sz w:val="24"/>
          <w:szCs w:val="24"/>
        </w:rPr>
        <w:t>:</w:t>
      </w:r>
    </w:p>
    <w:p w:rsidR="001B0125" w:rsidRDefault="00EC5175" w:rsidP="001B0125">
      <w:pPr>
        <w:numPr>
          <w:ilvl w:val="4"/>
          <w:numId w:val="1"/>
        </w:numPr>
        <w:spacing w:after="0" w:line="240" w:lineRule="auto"/>
        <w:jc w:val="both"/>
        <w:rPr>
          <w:rFonts w:ascii="Times New Roman" w:hAnsi="Times New Roman" w:cs="Times New Roman"/>
          <w:color w:val="000000" w:themeColor="text1"/>
          <w:sz w:val="24"/>
          <w:szCs w:val="24"/>
        </w:rPr>
      </w:pPr>
      <w:r w:rsidRPr="007567BF">
        <w:rPr>
          <w:rFonts w:ascii="Times New Roman" w:hAnsi="Times New Roman" w:cs="Times New Roman"/>
          <w:color w:val="000000" w:themeColor="text1"/>
          <w:sz w:val="24"/>
          <w:szCs w:val="24"/>
        </w:rPr>
        <w:t>Não obstante</w:t>
      </w:r>
      <w:r w:rsidR="006A3BC9" w:rsidRPr="007567BF">
        <w:rPr>
          <w:rFonts w:ascii="Times New Roman" w:hAnsi="Times New Roman" w:cs="Times New Roman"/>
          <w:color w:val="000000" w:themeColor="text1"/>
          <w:sz w:val="24"/>
          <w:szCs w:val="24"/>
        </w:rPr>
        <w:t xml:space="preserve"> </w:t>
      </w:r>
      <w:r w:rsidRPr="007567BF">
        <w:rPr>
          <w:rFonts w:ascii="Times New Roman" w:hAnsi="Times New Roman" w:cs="Times New Roman"/>
          <w:color w:val="000000" w:themeColor="text1"/>
          <w:sz w:val="24"/>
          <w:szCs w:val="24"/>
        </w:rPr>
        <w:t>registro de efetivo mapeamento das</w:t>
      </w:r>
      <w:r w:rsidR="006A3BC9" w:rsidRPr="007567BF">
        <w:rPr>
          <w:rFonts w:ascii="Times New Roman" w:hAnsi="Times New Roman" w:cs="Times New Roman"/>
          <w:color w:val="000000" w:themeColor="text1"/>
          <w:sz w:val="24"/>
          <w:szCs w:val="24"/>
        </w:rPr>
        <w:t xml:space="preserve"> competências técnicas e comportamentais </w:t>
      </w:r>
      <w:r w:rsidRPr="007567BF">
        <w:rPr>
          <w:rFonts w:ascii="Times New Roman" w:hAnsi="Times New Roman" w:cs="Times New Roman"/>
          <w:color w:val="000000" w:themeColor="text1"/>
          <w:sz w:val="24"/>
          <w:szCs w:val="24"/>
        </w:rPr>
        <w:t>requeridas de gestores e demais colaboradores da</w:t>
      </w:r>
      <w:r w:rsidR="006A3BC9" w:rsidRPr="007567BF">
        <w:rPr>
          <w:rFonts w:ascii="Times New Roman" w:hAnsi="Times New Roman" w:cs="Times New Roman"/>
          <w:color w:val="000000" w:themeColor="text1"/>
          <w:sz w:val="24"/>
          <w:szCs w:val="24"/>
        </w:rPr>
        <w:t xml:space="preserve"> COPEG</w:t>
      </w:r>
      <w:r w:rsidRPr="007567BF">
        <w:rPr>
          <w:rFonts w:ascii="Times New Roman" w:hAnsi="Times New Roman" w:cs="Times New Roman"/>
          <w:color w:val="000000" w:themeColor="text1"/>
          <w:sz w:val="24"/>
          <w:szCs w:val="24"/>
        </w:rPr>
        <w:t xml:space="preserve">, quando da </w:t>
      </w:r>
      <w:proofErr w:type="gramStart"/>
      <w:r w:rsidRPr="007567BF">
        <w:rPr>
          <w:rFonts w:ascii="Times New Roman" w:hAnsi="Times New Roman" w:cs="Times New Roman"/>
          <w:color w:val="000000" w:themeColor="text1"/>
          <w:sz w:val="24"/>
          <w:szCs w:val="24"/>
        </w:rPr>
        <w:t>implementação</w:t>
      </w:r>
      <w:proofErr w:type="gramEnd"/>
      <w:r w:rsidRPr="007567BF">
        <w:rPr>
          <w:rFonts w:ascii="Times New Roman" w:hAnsi="Times New Roman" w:cs="Times New Roman"/>
          <w:color w:val="000000" w:themeColor="text1"/>
          <w:sz w:val="24"/>
          <w:szCs w:val="24"/>
        </w:rPr>
        <w:t xml:space="preserve"> de versão</w:t>
      </w:r>
      <w:r w:rsidR="006A3BC9" w:rsidRPr="007567BF">
        <w:rPr>
          <w:rFonts w:ascii="Times New Roman" w:hAnsi="Times New Roman" w:cs="Times New Roman"/>
          <w:color w:val="000000" w:themeColor="text1"/>
          <w:sz w:val="24"/>
          <w:szCs w:val="24"/>
        </w:rPr>
        <w:t xml:space="preserve"> piloto</w:t>
      </w:r>
      <w:r w:rsidRPr="007567BF">
        <w:rPr>
          <w:rFonts w:ascii="Times New Roman" w:hAnsi="Times New Roman" w:cs="Times New Roman"/>
          <w:color w:val="000000" w:themeColor="text1"/>
          <w:sz w:val="24"/>
          <w:szCs w:val="24"/>
        </w:rPr>
        <w:t xml:space="preserve">, do Projeto Gestão por Competências, </w:t>
      </w:r>
      <w:r w:rsidR="00C65E96" w:rsidRPr="007567BF">
        <w:rPr>
          <w:rFonts w:ascii="Times New Roman" w:hAnsi="Times New Roman" w:cs="Times New Roman"/>
          <w:color w:val="000000" w:themeColor="text1"/>
          <w:sz w:val="24"/>
          <w:szCs w:val="24"/>
        </w:rPr>
        <w:t xml:space="preserve">observa-se carência de divulgação do resultado dos trabalhos, e, por consequência, de sistemática utilização do rol de competências referenciais definido, quando do preenchimento dos postos de gestão da </w:t>
      </w:r>
      <w:r w:rsidR="00393A9F" w:rsidRPr="007567BF">
        <w:rPr>
          <w:rFonts w:ascii="Times New Roman" w:hAnsi="Times New Roman" w:cs="Times New Roman"/>
          <w:color w:val="000000" w:themeColor="text1"/>
          <w:sz w:val="24"/>
          <w:szCs w:val="24"/>
        </w:rPr>
        <w:t xml:space="preserve">referida </w:t>
      </w:r>
      <w:r w:rsidR="00C65E96" w:rsidRPr="007567BF">
        <w:rPr>
          <w:rFonts w:ascii="Times New Roman" w:hAnsi="Times New Roman" w:cs="Times New Roman"/>
          <w:color w:val="000000" w:themeColor="text1"/>
          <w:sz w:val="24"/>
          <w:szCs w:val="24"/>
        </w:rPr>
        <w:t>unidade.</w:t>
      </w:r>
      <w:r w:rsidR="001B0125" w:rsidRPr="007567BF">
        <w:rPr>
          <w:rFonts w:ascii="Times New Roman" w:hAnsi="Times New Roman" w:cs="Times New Roman"/>
          <w:color w:val="000000" w:themeColor="text1"/>
          <w:sz w:val="24"/>
          <w:szCs w:val="24"/>
        </w:rPr>
        <w:t xml:space="preserve"> </w:t>
      </w:r>
      <w:r w:rsidR="00C65E96" w:rsidRPr="007567BF">
        <w:rPr>
          <w:rFonts w:ascii="Times New Roman" w:hAnsi="Times New Roman" w:cs="Times New Roman"/>
          <w:color w:val="000000" w:themeColor="text1"/>
          <w:sz w:val="24"/>
          <w:szCs w:val="24"/>
        </w:rPr>
        <w:t xml:space="preserve"> </w:t>
      </w:r>
    </w:p>
    <w:p w:rsidR="0048462F" w:rsidRPr="00D70398" w:rsidRDefault="0048462F" w:rsidP="001B0125">
      <w:pPr>
        <w:numPr>
          <w:ilvl w:val="4"/>
          <w:numId w:val="1"/>
        </w:numPr>
        <w:spacing w:after="0" w:line="240" w:lineRule="auto"/>
        <w:jc w:val="both"/>
        <w:rPr>
          <w:rFonts w:ascii="Times New Roman" w:hAnsi="Times New Roman" w:cs="Times New Roman"/>
          <w:sz w:val="24"/>
          <w:szCs w:val="24"/>
        </w:rPr>
      </w:pPr>
      <w:r w:rsidRPr="00D70398">
        <w:rPr>
          <w:rFonts w:ascii="Times New Roman" w:hAnsi="Times New Roman" w:cs="Times New Roman"/>
          <w:sz w:val="24"/>
          <w:szCs w:val="24"/>
        </w:rPr>
        <w:t>Acrescente-se que a reestruturação administrativa processada por meio da Resolução Administrativa TRE-BA nº 12/2018, alterou, de forma significativa, o rol de atribuições e entregas afetas à referida unidade, demandando, portanto, revisão das conclusões apresentadas em 2017, não só quanto a competências requeridas de gestores e demais colaboradores, mas também no que tange ao dimensionamento da força de trabalho anteriormente apurado.</w:t>
      </w:r>
    </w:p>
    <w:p w:rsidR="001B0125" w:rsidRPr="00D70398" w:rsidRDefault="00DE2292" w:rsidP="001B0125">
      <w:pPr>
        <w:numPr>
          <w:ilvl w:val="4"/>
          <w:numId w:val="1"/>
        </w:numPr>
        <w:spacing w:after="0" w:line="240" w:lineRule="auto"/>
        <w:jc w:val="both"/>
        <w:rPr>
          <w:rFonts w:ascii="Times New Roman" w:hAnsi="Times New Roman" w:cs="Times New Roman"/>
          <w:sz w:val="24"/>
          <w:szCs w:val="24"/>
        </w:rPr>
      </w:pPr>
      <w:r w:rsidRPr="00D70398">
        <w:rPr>
          <w:rFonts w:ascii="Times New Roman" w:hAnsi="Times New Roman" w:cs="Times New Roman"/>
          <w:sz w:val="24"/>
          <w:szCs w:val="24"/>
        </w:rPr>
        <w:t>Registre-se, ainda</w:t>
      </w:r>
      <w:r w:rsidR="00C65E96" w:rsidRPr="00D70398">
        <w:rPr>
          <w:rFonts w:ascii="Times New Roman" w:hAnsi="Times New Roman" w:cs="Times New Roman"/>
          <w:sz w:val="24"/>
          <w:szCs w:val="24"/>
        </w:rPr>
        <w:t xml:space="preserve">, </w:t>
      </w:r>
      <w:r w:rsidRPr="00D70398">
        <w:rPr>
          <w:rFonts w:ascii="Times New Roman" w:hAnsi="Times New Roman" w:cs="Times New Roman"/>
          <w:sz w:val="24"/>
          <w:szCs w:val="24"/>
        </w:rPr>
        <w:t xml:space="preserve">que </w:t>
      </w:r>
      <w:r w:rsidR="00C65E96" w:rsidRPr="00D70398">
        <w:rPr>
          <w:rFonts w:ascii="Times New Roman" w:hAnsi="Times New Roman" w:cs="Times New Roman"/>
          <w:sz w:val="24"/>
          <w:szCs w:val="24"/>
        </w:rPr>
        <w:t xml:space="preserve">a </w:t>
      </w:r>
      <w:r w:rsidR="00C65E96" w:rsidRPr="007567BF">
        <w:rPr>
          <w:rFonts w:ascii="Times New Roman" w:hAnsi="Times New Roman" w:cs="Times New Roman"/>
          <w:color w:val="000000" w:themeColor="text1"/>
          <w:sz w:val="24"/>
          <w:szCs w:val="24"/>
        </w:rPr>
        <w:t>sugestão formulada pela SGP no sentido de regulamentação de critérios de seleção de líderes em associação com o quanto definido pelo Projeto Gestão por Competências, ainda que de modo gradual, apresenta-se como oportunidade de saneamento futuro da fragilid</w:t>
      </w:r>
      <w:r w:rsidR="00175653">
        <w:rPr>
          <w:rFonts w:ascii="Times New Roman" w:hAnsi="Times New Roman" w:cs="Times New Roman"/>
          <w:color w:val="000000" w:themeColor="text1"/>
          <w:sz w:val="24"/>
          <w:szCs w:val="24"/>
        </w:rPr>
        <w:t>ade ora evidenciada</w:t>
      </w:r>
      <w:r w:rsidR="00175653" w:rsidRPr="00175653">
        <w:rPr>
          <w:rFonts w:ascii="Times New Roman" w:hAnsi="Times New Roman" w:cs="Times New Roman"/>
          <w:color w:val="000099"/>
          <w:sz w:val="24"/>
          <w:szCs w:val="24"/>
        </w:rPr>
        <w:t xml:space="preserve">, </w:t>
      </w:r>
      <w:r w:rsidR="00175653" w:rsidRPr="00D70398">
        <w:rPr>
          <w:rFonts w:ascii="Times New Roman" w:hAnsi="Times New Roman" w:cs="Times New Roman"/>
          <w:sz w:val="24"/>
          <w:szCs w:val="24"/>
        </w:rPr>
        <w:t xml:space="preserve">norteando, ainda, a elaboração de </w:t>
      </w:r>
      <w:proofErr w:type="spellStart"/>
      <w:r w:rsidR="00175653" w:rsidRPr="00D70398">
        <w:rPr>
          <w:rFonts w:ascii="Times New Roman" w:hAnsi="Times New Roman" w:cs="Times New Roman"/>
          <w:sz w:val="24"/>
          <w:szCs w:val="24"/>
        </w:rPr>
        <w:t>PDIs</w:t>
      </w:r>
      <w:proofErr w:type="spellEnd"/>
      <w:r w:rsidR="00175653" w:rsidRPr="00D70398">
        <w:rPr>
          <w:rFonts w:ascii="Times New Roman" w:hAnsi="Times New Roman" w:cs="Times New Roman"/>
          <w:sz w:val="24"/>
          <w:szCs w:val="24"/>
        </w:rPr>
        <w:t>, pelo</w:t>
      </w:r>
      <w:r w:rsidR="002331BA" w:rsidRPr="00D70398">
        <w:rPr>
          <w:rFonts w:ascii="Times New Roman" w:hAnsi="Times New Roman" w:cs="Times New Roman"/>
          <w:sz w:val="24"/>
          <w:szCs w:val="24"/>
        </w:rPr>
        <w:t>s</w:t>
      </w:r>
      <w:r w:rsidR="00175653" w:rsidRPr="00D70398">
        <w:rPr>
          <w:rFonts w:ascii="Times New Roman" w:hAnsi="Times New Roman" w:cs="Times New Roman"/>
          <w:sz w:val="24"/>
          <w:szCs w:val="24"/>
        </w:rPr>
        <w:t xml:space="preserve"> gestores avaliados, observado suporte da referida Secretaria, visando à diminuição de eventuais lacunas de competência identificadas.</w:t>
      </w:r>
    </w:p>
    <w:p w:rsidR="00FA4C47" w:rsidRPr="007567BF" w:rsidRDefault="001B0125" w:rsidP="001B0125">
      <w:pPr>
        <w:numPr>
          <w:ilvl w:val="4"/>
          <w:numId w:val="1"/>
        </w:numPr>
        <w:spacing w:after="0" w:line="240" w:lineRule="auto"/>
        <w:jc w:val="both"/>
        <w:rPr>
          <w:rFonts w:ascii="Times New Roman" w:hAnsi="Times New Roman" w:cs="Times New Roman"/>
          <w:color w:val="000000" w:themeColor="text1"/>
          <w:sz w:val="24"/>
          <w:szCs w:val="24"/>
        </w:rPr>
      </w:pPr>
      <w:r w:rsidRPr="007567BF">
        <w:rPr>
          <w:rFonts w:ascii="Times New Roman" w:hAnsi="Times New Roman" w:cs="Times New Roman"/>
          <w:color w:val="000000" w:themeColor="text1"/>
          <w:sz w:val="24"/>
          <w:szCs w:val="24"/>
        </w:rPr>
        <w:t>Contudo</w:t>
      </w:r>
      <w:r w:rsidR="00C65E96" w:rsidRPr="007567BF">
        <w:rPr>
          <w:rFonts w:ascii="Times New Roman" w:hAnsi="Times New Roman" w:cs="Times New Roman"/>
          <w:color w:val="000000" w:themeColor="text1"/>
          <w:sz w:val="24"/>
          <w:szCs w:val="24"/>
        </w:rPr>
        <w:t xml:space="preserve">, enquanto não apresentado o normativo </w:t>
      </w:r>
      <w:r w:rsidR="00393A9F" w:rsidRPr="007567BF">
        <w:rPr>
          <w:rFonts w:ascii="Times New Roman" w:hAnsi="Times New Roman" w:cs="Times New Roman"/>
          <w:color w:val="000000" w:themeColor="text1"/>
          <w:sz w:val="24"/>
          <w:szCs w:val="24"/>
        </w:rPr>
        <w:t xml:space="preserve">supra referido ou efetivamente comprovada </w:t>
      </w:r>
      <w:proofErr w:type="gramStart"/>
      <w:r w:rsidR="00393A9F" w:rsidRPr="007567BF">
        <w:rPr>
          <w:rFonts w:ascii="Times New Roman" w:hAnsi="Times New Roman" w:cs="Times New Roman"/>
          <w:color w:val="000000" w:themeColor="text1"/>
          <w:sz w:val="24"/>
          <w:szCs w:val="24"/>
        </w:rPr>
        <w:t>a</w:t>
      </w:r>
      <w:proofErr w:type="gramEnd"/>
      <w:r w:rsidR="00393A9F" w:rsidRPr="007567BF">
        <w:rPr>
          <w:rFonts w:ascii="Times New Roman" w:hAnsi="Times New Roman" w:cs="Times New Roman"/>
          <w:color w:val="000000" w:themeColor="text1"/>
          <w:sz w:val="24"/>
          <w:szCs w:val="24"/>
        </w:rPr>
        <w:t xml:space="preserve"> utilização de critérios objetivos </w:t>
      </w:r>
      <w:r w:rsidR="00175653" w:rsidRPr="00D70398">
        <w:rPr>
          <w:rFonts w:ascii="Times New Roman" w:hAnsi="Times New Roman" w:cs="Times New Roman"/>
          <w:sz w:val="24"/>
          <w:szCs w:val="24"/>
        </w:rPr>
        <w:t xml:space="preserve">referenciais </w:t>
      </w:r>
      <w:r w:rsidR="00393A9F" w:rsidRPr="00D70398">
        <w:rPr>
          <w:rFonts w:ascii="Times New Roman" w:hAnsi="Times New Roman" w:cs="Times New Roman"/>
          <w:sz w:val="24"/>
          <w:szCs w:val="24"/>
        </w:rPr>
        <w:t>para</w:t>
      </w:r>
      <w:r w:rsidR="00175653" w:rsidRPr="00D70398">
        <w:rPr>
          <w:rFonts w:ascii="Times New Roman" w:hAnsi="Times New Roman" w:cs="Times New Roman"/>
          <w:sz w:val="24"/>
          <w:szCs w:val="24"/>
        </w:rPr>
        <w:t xml:space="preserve"> </w:t>
      </w:r>
      <w:r w:rsidR="00393A9F" w:rsidRPr="00D70398">
        <w:rPr>
          <w:rFonts w:ascii="Times New Roman" w:hAnsi="Times New Roman" w:cs="Times New Roman"/>
          <w:sz w:val="24"/>
          <w:szCs w:val="24"/>
        </w:rPr>
        <w:t xml:space="preserve">seleção </w:t>
      </w:r>
      <w:r w:rsidR="00175653" w:rsidRPr="00D70398">
        <w:rPr>
          <w:rFonts w:ascii="Times New Roman" w:hAnsi="Times New Roman" w:cs="Times New Roman"/>
          <w:sz w:val="24"/>
          <w:szCs w:val="24"/>
        </w:rPr>
        <w:t xml:space="preserve">e desenvolvimento </w:t>
      </w:r>
      <w:r w:rsidR="00393A9F" w:rsidRPr="00D70398">
        <w:rPr>
          <w:rFonts w:ascii="Times New Roman" w:hAnsi="Times New Roman" w:cs="Times New Roman"/>
          <w:sz w:val="24"/>
          <w:szCs w:val="24"/>
        </w:rPr>
        <w:t>de</w:t>
      </w:r>
      <w:r w:rsidR="00393A9F" w:rsidRPr="007567BF">
        <w:rPr>
          <w:rFonts w:ascii="Times New Roman" w:hAnsi="Times New Roman" w:cs="Times New Roman"/>
          <w:color w:val="000000" w:themeColor="text1"/>
          <w:sz w:val="24"/>
          <w:szCs w:val="24"/>
        </w:rPr>
        <w:t xml:space="preserve"> líderes</w:t>
      </w:r>
      <w:r w:rsidRPr="007567BF">
        <w:rPr>
          <w:rFonts w:ascii="Times New Roman" w:hAnsi="Times New Roman" w:cs="Times New Roman"/>
          <w:color w:val="000000" w:themeColor="text1"/>
          <w:sz w:val="24"/>
          <w:szCs w:val="24"/>
        </w:rPr>
        <w:t>,</w:t>
      </w:r>
      <w:r w:rsidR="00393A9F" w:rsidRPr="007567BF">
        <w:rPr>
          <w:rFonts w:ascii="Times New Roman" w:hAnsi="Times New Roman" w:cs="Times New Roman"/>
          <w:color w:val="000000" w:themeColor="text1"/>
          <w:sz w:val="24"/>
          <w:szCs w:val="24"/>
        </w:rPr>
        <w:t xml:space="preserve"> no âmbito da unidade gestora do processo de trabalho auditado, subsiste</w:t>
      </w:r>
      <w:r w:rsidR="002E625A" w:rsidRPr="007567BF">
        <w:rPr>
          <w:rFonts w:ascii="Times New Roman" w:hAnsi="Times New Roman" w:cs="Times New Roman"/>
          <w:color w:val="000000" w:themeColor="text1"/>
          <w:sz w:val="24"/>
          <w:szCs w:val="24"/>
        </w:rPr>
        <w:t>m</w:t>
      </w:r>
      <w:r w:rsidR="00393A9F" w:rsidRPr="007567BF">
        <w:rPr>
          <w:rFonts w:ascii="Times New Roman" w:hAnsi="Times New Roman" w:cs="Times New Roman"/>
          <w:color w:val="000000" w:themeColor="text1"/>
          <w:sz w:val="24"/>
          <w:szCs w:val="24"/>
        </w:rPr>
        <w:t xml:space="preserve"> a fragilidade apontada e respectivos riscos reais e potenciais sinalizados.</w:t>
      </w:r>
    </w:p>
    <w:p w:rsidR="00E95B02" w:rsidRPr="00775054" w:rsidRDefault="00E36DD5"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 xml:space="preserve">Cumprimento insuficiente de sistemática de monitoramento da </w:t>
      </w:r>
      <w:r w:rsidR="00393A9F">
        <w:rPr>
          <w:rFonts w:ascii="Times New Roman" w:hAnsi="Times New Roman" w:cs="Times New Roman"/>
          <w:color w:val="000000" w:themeColor="text1"/>
          <w:sz w:val="24"/>
          <w:szCs w:val="24"/>
          <w:u w:val="single"/>
        </w:rPr>
        <w:t>e</w:t>
      </w:r>
      <w:r w:rsidRPr="00775054">
        <w:rPr>
          <w:rFonts w:ascii="Times New Roman" w:hAnsi="Times New Roman" w:cs="Times New Roman"/>
          <w:color w:val="000000" w:themeColor="text1"/>
          <w:sz w:val="24"/>
          <w:szCs w:val="24"/>
          <w:u w:val="single"/>
        </w:rPr>
        <w:t xml:space="preserve">stratégia </w:t>
      </w:r>
      <w:r w:rsidR="00393A9F">
        <w:rPr>
          <w:rFonts w:ascii="Times New Roman" w:hAnsi="Times New Roman" w:cs="Times New Roman"/>
          <w:color w:val="000000" w:themeColor="text1"/>
          <w:sz w:val="24"/>
          <w:szCs w:val="24"/>
          <w:u w:val="single"/>
        </w:rPr>
        <w:t>o</w:t>
      </w:r>
      <w:r w:rsidRPr="00775054">
        <w:rPr>
          <w:rFonts w:ascii="Times New Roman" w:hAnsi="Times New Roman" w:cs="Times New Roman"/>
          <w:color w:val="000000" w:themeColor="text1"/>
          <w:sz w:val="24"/>
          <w:szCs w:val="24"/>
          <w:u w:val="single"/>
        </w:rPr>
        <w:t>rganizacional</w:t>
      </w:r>
      <w:r w:rsidR="00697B58" w:rsidRPr="00775054">
        <w:rPr>
          <w:rFonts w:ascii="Times New Roman" w:hAnsi="Times New Roman" w:cs="Times New Roman"/>
          <w:color w:val="000000" w:themeColor="text1"/>
          <w:sz w:val="24"/>
          <w:szCs w:val="24"/>
          <w:u w:val="single"/>
        </w:rPr>
        <w:t>.</w:t>
      </w:r>
    </w:p>
    <w:p w:rsidR="00E95B02" w:rsidRPr="00775054" w:rsidRDefault="00E95B02"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 xml:space="preserve">: </w:t>
      </w:r>
    </w:p>
    <w:p w:rsidR="00EC6221" w:rsidRDefault="00E36DD5" w:rsidP="00E36DD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lastRenderedPageBreak/>
        <w:t xml:space="preserve">A sistemática de monitoramento da </w:t>
      </w:r>
      <w:r w:rsidR="00393A9F">
        <w:rPr>
          <w:rFonts w:ascii="Times New Roman" w:hAnsi="Times New Roman" w:cs="Times New Roman"/>
          <w:color w:val="000000" w:themeColor="text1"/>
          <w:sz w:val="24"/>
          <w:szCs w:val="24"/>
        </w:rPr>
        <w:t>e</w:t>
      </w:r>
      <w:r w:rsidRPr="00775054">
        <w:rPr>
          <w:rFonts w:ascii="Times New Roman" w:hAnsi="Times New Roman" w:cs="Times New Roman"/>
          <w:color w:val="000000" w:themeColor="text1"/>
          <w:sz w:val="24"/>
          <w:szCs w:val="24"/>
        </w:rPr>
        <w:t>stratégia 2016-2021 foi aprovada na RAE realizada em 8/9/2016, prevendo papéis, responsabilidades e procedimentos voltados ao acompanhamento de indicadores de desempenho e iniciativas estratégicas organizacionais. Na referida reunião, restou deliberado que o acompanhamento dos projetos estratégicos seria realizado mensalmente, por meio de PAD específico, pela SEGEPRO</w:t>
      </w:r>
      <w:r w:rsidR="00393A9F">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e que o monitoramento dos indicadores estratégicos seria ultimado, trimestralmente, pela SESTAT, também por meio de PAD, bem como de ferramenta de suporte à execução da Estratégia denominada GEPLANES. No entanto, não se verificou registro de formalização de normativo ou promoção de ampla divulgação do quanto deliberado na mencionada </w:t>
      </w:r>
      <w:r w:rsidR="002E625A">
        <w:rPr>
          <w:rFonts w:ascii="Times New Roman" w:hAnsi="Times New Roman" w:cs="Times New Roman"/>
          <w:color w:val="000000" w:themeColor="text1"/>
          <w:sz w:val="24"/>
          <w:szCs w:val="24"/>
        </w:rPr>
        <w:t>RAE</w:t>
      </w:r>
      <w:r w:rsidR="00393A9F">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nos canais de comunicação do órgão ou no Portal da Estratégia institucional.</w:t>
      </w:r>
    </w:p>
    <w:p w:rsidR="00E95B02" w:rsidRPr="00EC6221" w:rsidRDefault="00393A9F" w:rsidP="00E36DD5">
      <w:pPr>
        <w:numPr>
          <w:ilvl w:val="4"/>
          <w:numId w:val="1"/>
        </w:numPr>
        <w:spacing w:after="0" w:line="240" w:lineRule="auto"/>
        <w:jc w:val="both"/>
        <w:rPr>
          <w:rFonts w:ascii="Times New Roman" w:hAnsi="Times New Roman" w:cs="Times New Roman"/>
          <w:color w:val="000000" w:themeColor="text1"/>
          <w:spacing w:val="-4"/>
          <w:sz w:val="24"/>
          <w:szCs w:val="24"/>
        </w:rPr>
      </w:pPr>
      <w:r w:rsidRPr="00EC6221">
        <w:rPr>
          <w:rFonts w:ascii="Times New Roman" w:hAnsi="Times New Roman" w:cs="Times New Roman"/>
          <w:color w:val="000000" w:themeColor="text1"/>
          <w:spacing w:val="-4"/>
          <w:sz w:val="24"/>
          <w:szCs w:val="24"/>
        </w:rPr>
        <w:t>Adicionalmente, d</w:t>
      </w:r>
      <w:r w:rsidR="00E36DD5" w:rsidRPr="00EC6221">
        <w:rPr>
          <w:rFonts w:ascii="Times New Roman" w:hAnsi="Times New Roman" w:cs="Times New Roman"/>
          <w:color w:val="000000" w:themeColor="text1"/>
          <w:spacing w:val="-4"/>
          <w:sz w:val="24"/>
          <w:szCs w:val="24"/>
        </w:rPr>
        <w:t xml:space="preserve">a análise dos </w:t>
      </w:r>
      <w:proofErr w:type="spellStart"/>
      <w:r w:rsidR="00E36DD5" w:rsidRPr="00EC6221">
        <w:rPr>
          <w:rFonts w:ascii="Times New Roman" w:hAnsi="Times New Roman" w:cs="Times New Roman"/>
          <w:color w:val="000000" w:themeColor="text1"/>
          <w:spacing w:val="-4"/>
          <w:sz w:val="24"/>
          <w:szCs w:val="24"/>
        </w:rPr>
        <w:t>PADs</w:t>
      </w:r>
      <w:proofErr w:type="spellEnd"/>
      <w:r w:rsidR="00E36DD5" w:rsidRPr="00EC6221">
        <w:rPr>
          <w:rFonts w:ascii="Times New Roman" w:hAnsi="Times New Roman" w:cs="Times New Roman"/>
          <w:color w:val="000000" w:themeColor="text1"/>
          <w:spacing w:val="-4"/>
          <w:sz w:val="24"/>
          <w:szCs w:val="24"/>
        </w:rPr>
        <w:t xml:space="preserve"> dos projetos objeto da amostra, evidenciou-se que gerentes designados para condução das iniciativas estratégicas não apresentaram os relatórios mensais de atividades dos projetos ou o fizeram de forma esparsa no decorrer do período destinado </w:t>
      </w:r>
      <w:r w:rsidRPr="00EC6221">
        <w:rPr>
          <w:rFonts w:ascii="Times New Roman" w:hAnsi="Times New Roman" w:cs="Times New Roman"/>
          <w:color w:val="000000" w:themeColor="text1"/>
          <w:spacing w:val="-4"/>
          <w:sz w:val="24"/>
          <w:szCs w:val="24"/>
        </w:rPr>
        <w:t>a</w:t>
      </w:r>
      <w:r w:rsidR="00E36DD5" w:rsidRPr="00EC6221">
        <w:rPr>
          <w:rFonts w:ascii="Times New Roman" w:hAnsi="Times New Roman" w:cs="Times New Roman"/>
          <w:color w:val="000000" w:themeColor="text1"/>
          <w:spacing w:val="-4"/>
          <w:sz w:val="24"/>
          <w:szCs w:val="24"/>
        </w:rPr>
        <w:t xml:space="preserve"> sua execução. No que se refere aos indicadores estratégicos, </w:t>
      </w:r>
      <w:r w:rsidRPr="00EC6221">
        <w:rPr>
          <w:rFonts w:ascii="Times New Roman" w:hAnsi="Times New Roman" w:cs="Times New Roman"/>
          <w:color w:val="000000" w:themeColor="text1"/>
          <w:spacing w:val="-4"/>
          <w:sz w:val="24"/>
          <w:szCs w:val="24"/>
        </w:rPr>
        <w:t xml:space="preserve">constatou-se que </w:t>
      </w:r>
      <w:r w:rsidR="00E36DD5" w:rsidRPr="00EC6221">
        <w:rPr>
          <w:rFonts w:ascii="Times New Roman" w:hAnsi="Times New Roman" w:cs="Times New Roman"/>
          <w:color w:val="000000" w:themeColor="text1"/>
          <w:spacing w:val="-4"/>
          <w:sz w:val="24"/>
          <w:szCs w:val="24"/>
        </w:rPr>
        <w:t>a SESTAT tem realizado abertura de trâmite colaborativo</w:t>
      </w:r>
      <w:r w:rsidRPr="00EC6221">
        <w:rPr>
          <w:rFonts w:ascii="Times New Roman" w:hAnsi="Times New Roman" w:cs="Times New Roman"/>
          <w:color w:val="000000" w:themeColor="text1"/>
          <w:spacing w:val="-4"/>
          <w:sz w:val="24"/>
          <w:szCs w:val="24"/>
        </w:rPr>
        <w:t>,</w:t>
      </w:r>
      <w:r w:rsidR="00E36DD5" w:rsidRPr="00EC6221">
        <w:rPr>
          <w:rFonts w:ascii="Times New Roman" w:hAnsi="Times New Roman" w:cs="Times New Roman"/>
          <w:color w:val="000000" w:themeColor="text1"/>
          <w:spacing w:val="-4"/>
          <w:sz w:val="24"/>
          <w:szCs w:val="24"/>
        </w:rPr>
        <w:t xml:space="preserve"> por meio d</w:t>
      </w:r>
      <w:r w:rsidRPr="00EC6221">
        <w:rPr>
          <w:rFonts w:ascii="Times New Roman" w:hAnsi="Times New Roman" w:cs="Times New Roman"/>
          <w:color w:val="000000" w:themeColor="text1"/>
          <w:spacing w:val="-4"/>
          <w:sz w:val="24"/>
          <w:szCs w:val="24"/>
        </w:rPr>
        <w:t>e</w:t>
      </w:r>
      <w:r w:rsidR="00E36DD5" w:rsidRPr="00EC6221">
        <w:rPr>
          <w:rFonts w:ascii="Times New Roman" w:hAnsi="Times New Roman" w:cs="Times New Roman"/>
          <w:color w:val="000000" w:themeColor="text1"/>
          <w:spacing w:val="-4"/>
          <w:sz w:val="24"/>
          <w:szCs w:val="24"/>
        </w:rPr>
        <w:t xml:space="preserve"> PAD</w:t>
      </w:r>
      <w:r w:rsidRPr="00EC6221">
        <w:rPr>
          <w:rFonts w:ascii="Times New Roman" w:hAnsi="Times New Roman" w:cs="Times New Roman"/>
          <w:color w:val="000000" w:themeColor="text1"/>
          <w:spacing w:val="-4"/>
          <w:sz w:val="24"/>
          <w:szCs w:val="24"/>
        </w:rPr>
        <w:t>,</w:t>
      </w:r>
      <w:r w:rsidR="00E36DD5" w:rsidRPr="00EC6221">
        <w:rPr>
          <w:rFonts w:ascii="Times New Roman" w:hAnsi="Times New Roman" w:cs="Times New Roman"/>
          <w:color w:val="000000" w:themeColor="text1"/>
          <w:spacing w:val="-4"/>
          <w:sz w:val="24"/>
          <w:szCs w:val="24"/>
        </w:rPr>
        <w:t xml:space="preserve"> e </w:t>
      </w:r>
      <w:r w:rsidRPr="00EC6221">
        <w:rPr>
          <w:rFonts w:ascii="Times New Roman" w:hAnsi="Times New Roman" w:cs="Times New Roman"/>
          <w:color w:val="000000" w:themeColor="text1"/>
          <w:spacing w:val="-4"/>
          <w:sz w:val="24"/>
          <w:szCs w:val="24"/>
        </w:rPr>
        <w:t xml:space="preserve">que </w:t>
      </w:r>
      <w:r w:rsidR="00E36DD5" w:rsidRPr="00EC6221">
        <w:rPr>
          <w:rFonts w:ascii="Times New Roman" w:hAnsi="Times New Roman" w:cs="Times New Roman"/>
          <w:color w:val="000000" w:themeColor="text1"/>
          <w:spacing w:val="-4"/>
          <w:sz w:val="24"/>
          <w:szCs w:val="24"/>
        </w:rPr>
        <w:t>as unidades gestoras de indicadores têm dado ciência e efetivado os lançamentos correspondentes</w:t>
      </w:r>
      <w:r w:rsidRPr="00EC6221">
        <w:rPr>
          <w:rFonts w:ascii="Times New Roman" w:hAnsi="Times New Roman" w:cs="Times New Roman"/>
          <w:color w:val="000000" w:themeColor="text1"/>
          <w:spacing w:val="-4"/>
          <w:sz w:val="24"/>
          <w:szCs w:val="24"/>
        </w:rPr>
        <w:t>,</w:t>
      </w:r>
      <w:r w:rsidR="00E36DD5" w:rsidRPr="00EC6221">
        <w:rPr>
          <w:rFonts w:ascii="Times New Roman" w:hAnsi="Times New Roman" w:cs="Times New Roman"/>
          <w:color w:val="000000" w:themeColor="text1"/>
          <w:spacing w:val="-4"/>
          <w:sz w:val="24"/>
          <w:szCs w:val="24"/>
        </w:rPr>
        <w:t xml:space="preserve"> no GEPLANES, observada a periodicidade definida</w:t>
      </w:r>
      <w:r w:rsidR="00697B58" w:rsidRPr="00EC6221">
        <w:rPr>
          <w:rFonts w:ascii="Times New Roman" w:hAnsi="Times New Roman" w:cs="Times New Roman"/>
          <w:color w:val="000000" w:themeColor="text1"/>
          <w:spacing w:val="-4"/>
          <w:sz w:val="24"/>
          <w:szCs w:val="24"/>
        </w:rPr>
        <w:t xml:space="preserve">. </w:t>
      </w:r>
    </w:p>
    <w:p w:rsidR="00E95B02" w:rsidRPr="00775054" w:rsidRDefault="00E95B02"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E95B02" w:rsidRPr="00775054" w:rsidRDefault="00E36DD5" w:rsidP="00D82A45">
      <w:pPr>
        <w:numPr>
          <w:ilvl w:val="4"/>
          <w:numId w:val="1"/>
        </w:numPr>
        <w:spacing w:after="0" w:line="240" w:lineRule="auto"/>
        <w:jc w:val="both"/>
        <w:rPr>
          <w:rFonts w:ascii="Times New Roman" w:hAnsi="Times New Roman" w:cs="Times New Roman"/>
          <w:color w:val="000000" w:themeColor="text1"/>
          <w:spacing w:val="-4"/>
          <w:sz w:val="24"/>
          <w:szCs w:val="24"/>
        </w:rPr>
      </w:pPr>
      <w:r w:rsidRPr="00775054">
        <w:rPr>
          <w:rFonts w:ascii="Times New Roman" w:hAnsi="Times New Roman" w:cs="Times New Roman"/>
          <w:color w:val="000000" w:themeColor="text1"/>
          <w:sz w:val="24"/>
          <w:szCs w:val="24"/>
        </w:rPr>
        <w:t>Deliberação d</w:t>
      </w:r>
      <w:r w:rsidR="00393A9F">
        <w:rPr>
          <w:rFonts w:ascii="Times New Roman" w:hAnsi="Times New Roman" w:cs="Times New Roman"/>
          <w:color w:val="000000" w:themeColor="text1"/>
          <w:sz w:val="24"/>
          <w:szCs w:val="24"/>
        </w:rPr>
        <w:t xml:space="preserve">a </w:t>
      </w:r>
      <w:r w:rsidRPr="00775054">
        <w:rPr>
          <w:rFonts w:ascii="Times New Roman" w:hAnsi="Times New Roman" w:cs="Times New Roman"/>
          <w:color w:val="000000" w:themeColor="text1"/>
          <w:sz w:val="24"/>
          <w:szCs w:val="24"/>
        </w:rPr>
        <w:t>RAE realizada em 8/9/2016, item 5.1.1; Decreto nº 9.203/2017, art. 4º, III;</w:t>
      </w:r>
      <w:r w:rsidR="00D82A45" w:rsidRPr="00D82A45">
        <w:t xml:space="preserve"> </w:t>
      </w:r>
      <w:r w:rsidR="00D82A45" w:rsidRPr="00D82A45">
        <w:rPr>
          <w:rFonts w:ascii="Times New Roman" w:hAnsi="Times New Roman" w:cs="Times New Roman"/>
          <w:color w:val="000000" w:themeColor="text1"/>
          <w:sz w:val="24"/>
          <w:szCs w:val="24"/>
        </w:rPr>
        <w:t>subitem 9.1.1.</w:t>
      </w:r>
      <w:r w:rsidR="00D82A45">
        <w:rPr>
          <w:rFonts w:ascii="Times New Roman" w:hAnsi="Times New Roman" w:cs="Times New Roman"/>
          <w:color w:val="000000" w:themeColor="text1"/>
          <w:sz w:val="24"/>
          <w:szCs w:val="24"/>
        </w:rPr>
        <w:t>5</w:t>
      </w:r>
      <w:r w:rsidR="00D82A45" w:rsidRPr="00D82A45">
        <w:rPr>
          <w:rFonts w:ascii="Times New Roman" w:hAnsi="Times New Roman" w:cs="Times New Roman"/>
          <w:color w:val="000000" w:themeColor="text1"/>
          <w:sz w:val="24"/>
          <w:szCs w:val="24"/>
        </w:rPr>
        <w:t>, do Acórdão TCU Plenário nº 1.233/2012</w:t>
      </w:r>
      <w:r w:rsidR="00D82A45">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Referencial </w:t>
      </w:r>
      <w:r w:rsidR="00393A9F">
        <w:rPr>
          <w:rFonts w:ascii="Times New Roman" w:hAnsi="Times New Roman" w:cs="Times New Roman"/>
          <w:color w:val="000000" w:themeColor="text1"/>
          <w:sz w:val="24"/>
          <w:szCs w:val="24"/>
        </w:rPr>
        <w:t>B</w:t>
      </w:r>
      <w:r w:rsidRPr="00775054">
        <w:rPr>
          <w:rFonts w:ascii="Times New Roman" w:hAnsi="Times New Roman" w:cs="Times New Roman"/>
          <w:color w:val="000000" w:themeColor="text1"/>
          <w:sz w:val="24"/>
          <w:szCs w:val="24"/>
        </w:rPr>
        <w:t xml:space="preserve">ásico de </w:t>
      </w:r>
      <w:r w:rsidR="00393A9F">
        <w:rPr>
          <w:rFonts w:ascii="Times New Roman" w:hAnsi="Times New Roman" w:cs="Times New Roman"/>
          <w:color w:val="000000" w:themeColor="text1"/>
          <w:sz w:val="24"/>
          <w:szCs w:val="24"/>
        </w:rPr>
        <w:t>G</w:t>
      </w:r>
      <w:r w:rsidRPr="00775054">
        <w:rPr>
          <w:rFonts w:ascii="Times New Roman" w:hAnsi="Times New Roman" w:cs="Times New Roman"/>
          <w:color w:val="000000" w:themeColor="text1"/>
          <w:sz w:val="24"/>
          <w:szCs w:val="24"/>
        </w:rPr>
        <w:t>overnança aplicável a órgão</w:t>
      </w:r>
      <w:r w:rsidR="00393A9F">
        <w:rPr>
          <w:rFonts w:ascii="Times New Roman" w:hAnsi="Times New Roman" w:cs="Times New Roman"/>
          <w:color w:val="000000" w:themeColor="text1"/>
          <w:sz w:val="24"/>
          <w:szCs w:val="24"/>
        </w:rPr>
        <w:t>s</w:t>
      </w:r>
      <w:r w:rsidRPr="00775054">
        <w:rPr>
          <w:rFonts w:ascii="Times New Roman" w:hAnsi="Times New Roman" w:cs="Times New Roman"/>
          <w:color w:val="000000" w:themeColor="text1"/>
          <w:sz w:val="24"/>
          <w:szCs w:val="24"/>
        </w:rPr>
        <w:t xml:space="preserve"> e entidades da </w:t>
      </w:r>
      <w:r w:rsidR="00393A9F">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 xml:space="preserve">dministração </w:t>
      </w:r>
      <w:r w:rsidR="00393A9F">
        <w:rPr>
          <w:rFonts w:ascii="Times New Roman" w:hAnsi="Times New Roman" w:cs="Times New Roman"/>
          <w:color w:val="000000" w:themeColor="text1"/>
          <w:sz w:val="24"/>
          <w:szCs w:val="24"/>
        </w:rPr>
        <w:t>P</w:t>
      </w:r>
      <w:r w:rsidRPr="00775054">
        <w:rPr>
          <w:rFonts w:ascii="Times New Roman" w:hAnsi="Times New Roman" w:cs="Times New Roman"/>
          <w:color w:val="000000" w:themeColor="text1"/>
          <w:sz w:val="24"/>
          <w:szCs w:val="24"/>
        </w:rPr>
        <w:t>ública</w:t>
      </w:r>
      <w:r w:rsidR="00393A9F">
        <w:rPr>
          <w:rFonts w:ascii="Times New Roman" w:hAnsi="Times New Roman" w:cs="Times New Roman"/>
          <w:color w:val="000000" w:themeColor="text1"/>
          <w:sz w:val="24"/>
          <w:szCs w:val="24"/>
        </w:rPr>
        <w:t>, TCU,</w:t>
      </w:r>
      <w:r w:rsidRPr="00775054">
        <w:rPr>
          <w:rFonts w:ascii="Times New Roman" w:hAnsi="Times New Roman" w:cs="Times New Roman"/>
          <w:color w:val="000000" w:themeColor="text1"/>
          <w:sz w:val="24"/>
          <w:szCs w:val="24"/>
        </w:rPr>
        <w:t xml:space="preserve"> Versão 2 – 2014, Práticas </w:t>
      </w:r>
      <w:proofErr w:type="gramStart"/>
      <w:r w:rsidRPr="00775054">
        <w:rPr>
          <w:rFonts w:ascii="Times New Roman" w:hAnsi="Times New Roman" w:cs="Times New Roman"/>
          <w:color w:val="000000" w:themeColor="text1"/>
          <w:sz w:val="24"/>
          <w:szCs w:val="24"/>
        </w:rPr>
        <w:t>L2.</w:t>
      </w:r>
      <w:proofErr w:type="gramEnd"/>
      <w:r w:rsidRPr="00775054">
        <w:rPr>
          <w:rFonts w:ascii="Times New Roman" w:hAnsi="Times New Roman" w:cs="Times New Roman"/>
          <w:color w:val="000000" w:themeColor="text1"/>
          <w:sz w:val="24"/>
          <w:szCs w:val="24"/>
        </w:rPr>
        <w:t xml:space="preserve">2, L3.2, L3.4, L3.5, L4.2, C1.1 e C1.2; Gerenciamento de Riscos Corporativos Integrado com a Estratégia e Performance do COSO, traduzido por </w:t>
      </w:r>
      <w:proofErr w:type="spellStart"/>
      <w:r w:rsidRPr="00775054">
        <w:rPr>
          <w:rFonts w:ascii="Times New Roman" w:hAnsi="Times New Roman" w:cs="Times New Roman"/>
          <w:color w:val="000000" w:themeColor="text1"/>
          <w:sz w:val="24"/>
          <w:szCs w:val="24"/>
        </w:rPr>
        <w:t>PwC</w:t>
      </w:r>
      <w:proofErr w:type="spellEnd"/>
      <w:r w:rsidRPr="00775054">
        <w:rPr>
          <w:rFonts w:ascii="Times New Roman" w:hAnsi="Times New Roman" w:cs="Times New Roman"/>
          <w:color w:val="000000" w:themeColor="text1"/>
          <w:sz w:val="24"/>
          <w:szCs w:val="24"/>
        </w:rPr>
        <w:t>, junho de 2017, Componentes e Princípios 10 a 14.</w:t>
      </w:r>
    </w:p>
    <w:p w:rsidR="00E95B02" w:rsidRPr="00775054" w:rsidRDefault="00E95B02"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E95B02" w:rsidRPr="00775054" w:rsidRDefault="00E36DD5" w:rsidP="00E36DD5">
      <w:pPr>
        <w:numPr>
          <w:ilvl w:val="4"/>
          <w:numId w:val="1"/>
        </w:numPr>
        <w:spacing w:after="0" w:line="240" w:lineRule="auto"/>
        <w:jc w:val="both"/>
        <w:rPr>
          <w:rFonts w:ascii="Times New Roman" w:hAnsi="Times New Roman" w:cs="Times New Roman"/>
          <w:i/>
          <w:color w:val="000000" w:themeColor="text1"/>
          <w:sz w:val="24"/>
          <w:szCs w:val="24"/>
        </w:rPr>
      </w:pPr>
      <w:r w:rsidRPr="00775054">
        <w:rPr>
          <w:rFonts w:ascii="Times New Roman" w:hAnsi="Times New Roman" w:cs="Times New Roman"/>
          <w:color w:val="000000" w:themeColor="text1"/>
          <w:sz w:val="24"/>
          <w:szCs w:val="24"/>
        </w:rPr>
        <w:t xml:space="preserve">Deficiência de controles internos associados à atividade; insuficiência de capacitação de servidores designados gerentes de projetos; </w:t>
      </w:r>
      <w:r w:rsidR="00393A9F" w:rsidRPr="005C052E">
        <w:rPr>
          <w:rFonts w:ascii="Times New Roman" w:hAnsi="Times New Roman" w:cs="Times New Roman"/>
          <w:color w:val="000000" w:themeColor="text1"/>
          <w:sz w:val="24"/>
          <w:szCs w:val="24"/>
        </w:rPr>
        <w:t>divulgação insuficiente da sistemática de monitoramento da estratégia organizacional</w:t>
      </w:r>
      <w:r w:rsidR="00393A9F" w:rsidRPr="002E625A">
        <w:rPr>
          <w:rFonts w:ascii="Times New Roman" w:hAnsi="Times New Roman" w:cs="Times New Roman"/>
          <w:sz w:val="24"/>
          <w:szCs w:val="24"/>
        </w:rPr>
        <w:t xml:space="preserve">; </w:t>
      </w:r>
      <w:r w:rsidRPr="00775054">
        <w:rPr>
          <w:rFonts w:ascii="Times New Roman" w:hAnsi="Times New Roman" w:cs="Times New Roman"/>
          <w:color w:val="000000" w:themeColor="text1"/>
          <w:sz w:val="24"/>
          <w:szCs w:val="24"/>
        </w:rPr>
        <w:t>e cultura organizacional incipiente em gerenciamento de riscos e proposição de controles.</w:t>
      </w:r>
    </w:p>
    <w:p w:rsidR="00E95B02" w:rsidRPr="00775054" w:rsidRDefault="00E95B02"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E95B02" w:rsidRPr="00775054" w:rsidRDefault="00E36DD5" w:rsidP="00E36DD5">
      <w:pPr>
        <w:numPr>
          <w:ilvl w:val="4"/>
          <w:numId w:val="1"/>
        </w:numPr>
        <w:spacing w:after="0" w:line="240" w:lineRule="auto"/>
        <w:jc w:val="both"/>
        <w:rPr>
          <w:rFonts w:ascii="Times New Roman" w:hAnsi="Times New Roman" w:cs="Times New Roman"/>
          <w:i/>
          <w:color w:val="000000" w:themeColor="text1"/>
          <w:spacing w:val="-2"/>
          <w:sz w:val="24"/>
          <w:szCs w:val="24"/>
        </w:rPr>
      </w:pPr>
      <w:r w:rsidRPr="00775054">
        <w:rPr>
          <w:rFonts w:ascii="Times New Roman" w:hAnsi="Times New Roman" w:cs="Times New Roman"/>
          <w:color w:val="000000" w:themeColor="text1"/>
          <w:spacing w:val="-2"/>
          <w:sz w:val="24"/>
          <w:szCs w:val="24"/>
        </w:rPr>
        <w:t xml:space="preserve">Comprometimento da concretização da missão e do alcance da visão de futuro organizacionais; comprometimento do monitoramento e avaliação da </w:t>
      </w:r>
      <w:r w:rsidR="00393A9F">
        <w:rPr>
          <w:rFonts w:ascii="Times New Roman" w:hAnsi="Times New Roman" w:cs="Times New Roman"/>
          <w:color w:val="000000" w:themeColor="text1"/>
          <w:spacing w:val="-2"/>
          <w:sz w:val="24"/>
          <w:szCs w:val="24"/>
        </w:rPr>
        <w:t>e</w:t>
      </w:r>
      <w:r w:rsidRPr="00775054">
        <w:rPr>
          <w:rFonts w:ascii="Times New Roman" w:hAnsi="Times New Roman" w:cs="Times New Roman"/>
          <w:color w:val="000000" w:themeColor="text1"/>
          <w:spacing w:val="-2"/>
          <w:sz w:val="24"/>
          <w:szCs w:val="24"/>
        </w:rPr>
        <w:t>stratégia e consequente não adoção de medidas corretivas voltadas à asseguração dos resultados pretendidos; não alcance dos objetivos estratégicos por falha no monitoramento dos projetos; e desperdício de recursos.</w:t>
      </w:r>
    </w:p>
    <w:p w:rsidR="00E95B02" w:rsidRPr="00775054" w:rsidRDefault="00E95B02" w:rsidP="00F408F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E95B02" w:rsidRPr="00D70398" w:rsidRDefault="00A667B9" w:rsidP="00A667B9">
      <w:pPr>
        <w:numPr>
          <w:ilvl w:val="4"/>
          <w:numId w:val="1"/>
        </w:numPr>
        <w:spacing w:after="0" w:line="240" w:lineRule="auto"/>
        <w:jc w:val="both"/>
        <w:rPr>
          <w:rFonts w:ascii="Times New Roman" w:hAnsi="Times New Roman" w:cs="Times New Roman"/>
          <w:i/>
          <w:sz w:val="24"/>
          <w:szCs w:val="24"/>
        </w:rPr>
      </w:pPr>
      <w:proofErr w:type="spellStart"/>
      <w:r w:rsidRPr="00775054">
        <w:rPr>
          <w:rFonts w:ascii="Times New Roman" w:hAnsi="Times New Roman" w:cs="Times New Roman"/>
          <w:color w:val="000000" w:themeColor="text1"/>
          <w:sz w:val="24"/>
          <w:szCs w:val="24"/>
        </w:rPr>
        <w:t>PADs</w:t>
      </w:r>
      <w:proofErr w:type="spellEnd"/>
      <w:r w:rsidRPr="00775054">
        <w:rPr>
          <w:rFonts w:ascii="Times New Roman" w:hAnsi="Times New Roman" w:cs="Times New Roman"/>
          <w:color w:val="000000" w:themeColor="text1"/>
          <w:sz w:val="24"/>
          <w:szCs w:val="24"/>
        </w:rPr>
        <w:t xml:space="preserve"> nº 15.098/2016, 15.713/2017, 8.995/2017, 15.094/2016, 9.918/2017, 9.499/2017, 15.213/2017, 10.701/2017, 10.814/2017, 13.682/2016, 15.097/2016; 15.090/2016; 5.304/2017; e 12.027/2017 (Doc. nº 171.447/2017</w:t>
      </w:r>
      <w:r w:rsidRPr="00D70398">
        <w:rPr>
          <w:rFonts w:ascii="Times New Roman" w:hAnsi="Times New Roman" w:cs="Times New Roman"/>
          <w:sz w:val="24"/>
          <w:szCs w:val="24"/>
        </w:rPr>
        <w:t>)</w:t>
      </w:r>
      <w:r w:rsidR="00251397" w:rsidRPr="00D70398">
        <w:rPr>
          <w:rFonts w:ascii="Times New Roman" w:hAnsi="Times New Roman" w:cs="Times New Roman"/>
          <w:sz w:val="24"/>
          <w:szCs w:val="24"/>
        </w:rPr>
        <w:t>; 4.727/2018 (Doc. nº 80</w:t>
      </w:r>
      <w:r w:rsidRPr="00D70398">
        <w:rPr>
          <w:rFonts w:ascii="Times New Roman" w:hAnsi="Times New Roman" w:cs="Times New Roman"/>
          <w:sz w:val="24"/>
          <w:szCs w:val="24"/>
        </w:rPr>
        <w:t>.</w:t>
      </w:r>
      <w:r w:rsidR="00251397" w:rsidRPr="00D70398">
        <w:rPr>
          <w:rFonts w:ascii="Times New Roman" w:hAnsi="Times New Roman" w:cs="Times New Roman"/>
          <w:sz w:val="24"/>
          <w:szCs w:val="24"/>
        </w:rPr>
        <w:t>064/2018).</w:t>
      </w:r>
    </w:p>
    <w:p w:rsidR="0073304A" w:rsidRPr="0073304A" w:rsidRDefault="0073304A" w:rsidP="0073304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3304A">
        <w:rPr>
          <w:rFonts w:ascii="Times New Roman" w:hAnsi="Times New Roman" w:cs="Times New Roman"/>
          <w:i/>
          <w:color w:val="000000" w:themeColor="text1"/>
          <w:sz w:val="24"/>
          <w:szCs w:val="24"/>
        </w:rPr>
        <w:t>Esclarecimentos dos responsáveis:</w:t>
      </w:r>
    </w:p>
    <w:p w:rsidR="001511BD" w:rsidRPr="00D70398" w:rsidRDefault="001511BD" w:rsidP="001511BD">
      <w:pPr>
        <w:numPr>
          <w:ilvl w:val="4"/>
          <w:numId w:val="1"/>
        </w:numPr>
        <w:spacing w:after="0" w:line="240" w:lineRule="auto"/>
        <w:jc w:val="both"/>
        <w:rPr>
          <w:rFonts w:ascii="Times New Roman" w:hAnsi="Times New Roman" w:cs="Times New Roman"/>
          <w:spacing w:val="-2"/>
          <w:sz w:val="24"/>
          <w:szCs w:val="24"/>
        </w:rPr>
      </w:pPr>
      <w:r w:rsidRPr="00D70398">
        <w:rPr>
          <w:rFonts w:ascii="Times New Roman" w:hAnsi="Times New Roman" w:cs="Times New Roman"/>
          <w:spacing w:val="-2"/>
          <w:sz w:val="24"/>
          <w:szCs w:val="24"/>
        </w:rPr>
        <w:t xml:space="preserve">Em resposta à RDI Circular nº 5/2018 (PAD nº 4.727/2018, Doc. nº 80.064/2018), a COPEG esclareceu que embora </w:t>
      </w:r>
      <w:r w:rsidR="00DE2292" w:rsidRPr="00D70398">
        <w:rPr>
          <w:rFonts w:ascii="Times New Roman" w:hAnsi="Times New Roman" w:cs="Times New Roman"/>
          <w:spacing w:val="-2"/>
          <w:sz w:val="24"/>
          <w:szCs w:val="24"/>
        </w:rPr>
        <w:t xml:space="preserve">a </w:t>
      </w:r>
      <w:r w:rsidRPr="00D70398">
        <w:rPr>
          <w:rFonts w:ascii="Times New Roman" w:hAnsi="Times New Roman" w:cs="Times New Roman"/>
          <w:spacing w:val="-2"/>
          <w:sz w:val="24"/>
          <w:szCs w:val="24"/>
        </w:rPr>
        <w:t xml:space="preserve">sistemática de monitoramento da estratégia 2016-2021, aprovada na RAE realizada em </w:t>
      </w:r>
      <w:r w:rsidRPr="00D70398">
        <w:rPr>
          <w:rFonts w:ascii="Times New Roman" w:hAnsi="Times New Roman" w:cs="Times New Roman"/>
          <w:spacing w:val="-2"/>
          <w:sz w:val="24"/>
          <w:szCs w:val="24"/>
        </w:rPr>
        <w:lastRenderedPageBreak/>
        <w:t xml:space="preserve">8/9/2016, não tenha sido formalizada mediante normativo, a COPEG adotou, em grande parte, o quanto deliberado na referida reunião. Desde então os projetos estratégicos são acompanhados, por meio de PAD específico, pela SEGEPRO, e o monitoramento dos indicadores estratégicos são monitorados, trimestralmente, pela SESTAT, também por meio de PAD, com o cadastramento dos resultados em ferramenta de suporte à execução da Estratégia denominada GEPLANES. </w:t>
      </w:r>
    </w:p>
    <w:p w:rsidR="0073304A" w:rsidRPr="00D819FE" w:rsidRDefault="002331BA" w:rsidP="001511BD">
      <w:pPr>
        <w:numPr>
          <w:ilvl w:val="4"/>
          <w:numId w:val="1"/>
        </w:numPr>
        <w:spacing w:after="0" w:line="240" w:lineRule="auto"/>
        <w:jc w:val="both"/>
        <w:rPr>
          <w:rFonts w:ascii="Times New Roman" w:hAnsi="Times New Roman" w:cs="Times New Roman"/>
          <w:spacing w:val="-2"/>
          <w:sz w:val="24"/>
          <w:szCs w:val="24"/>
        </w:rPr>
      </w:pPr>
      <w:r w:rsidRPr="00D819FE">
        <w:rPr>
          <w:rFonts w:ascii="Times New Roman" w:hAnsi="Times New Roman" w:cs="Times New Roman"/>
          <w:spacing w:val="-2"/>
          <w:sz w:val="24"/>
          <w:szCs w:val="24"/>
        </w:rPr>
        <w:t>Destacou</w:t>
      </w:r>
      <w:r w:rsidR="001511BD" w:rsidRPr="00D819FE">
        <w:rPr>
          <w:rFonts w:ascii="Times New Roman" w:hAnsi="Times New Roman" w:cs="Times New Roman"/>
          <w:spacing w:val="-2"/>
          <w:sz w:val="24"/>
          <w:szCs w:val="24"/>
        </w:rPr>
        <w:t>, também, no que se refere ao acompanhamento das metas da Justiça Eleitoral, a utilização do Portal da Transparência da Corregedoria Regional Eleitoral (PORTCRE), ferramenta</w:t>
      </w:r>
      <w:r w:rsidRPr="00D819FE">
        <w:rPr>
          <w:rFonts w:ascii="Times New Roman" w:hAnsi="Times New Roman" w:cs="Times New Roman"/>
          <w:spacing w:val="-2"/>
          <w:sz w:val="24"/>
          <w:szCs w:val="24"/>
        </w:rPr>
        <w:t xml:space="preserve"> empregada na consolidação e exportação dos dados do 1º Grau de Jurisdição solicitados pelo CNJ, tais como o percentual de cumprimento das Metas Nacionais n.º 1 e 2/2017 e Meta Específica n.º 1/2017,</w:t>
      </w:r>
      <w:r w:rsidR="001511BD" w:rsidRPr="00D819FE">
        <w:rPr>
          <w:rFonts w:ascii="Times New Roman" w:hAnsi="Times New Roman" w:cs="Times New Roman"/>
          <w:spacing w:val="-2"/>
          <w:sz w:val="24"/>
          <w:szCs w:val="24"/>
        </w:rPr>
        <w:t xml:space="preserve"> que verifica</w:t>
      </w:r>
      <w:r w:rsidRPr="00D819FE">
        <w:rPr>
          <w:rFonts w:ascii="Times New Roman" w:hAnsi="Times New Roman" w:cs="Times New Roman"/>
          <w:spacing w:val="-2"/>
          <w:sz w:val="24"/>
          <w:szCs w:val="24"/>
        </w:rPr>
        <w:t>,</w:t>
      </w:r>
      <w:r w:rsidR="001511BD" w:rsidRPr="00D819FE">
        <w:rPr>
          <w:rFonts w:ascii="Times New Roman" w:hAnsi="Times New Roman" w:cs="Times New Roman"/>
          <w:spacing w:val="-2"/>
          <w:sz w:val="24"/>
          <w:szCs w:val="24"/>
        </w:rPr>
        <w:t xml:space="preserve"> diariamente</w:t>
      </w:r>
      <w:r w:rsidR="00DE2292" w:rsidRPr="00D819FE">
        <w:rPr>
          <w:rFonts w:ascii="Times New Roman" w:hAnsi="Times New Roman" w:cs="Times New Roman"/>
          <w:spacing w:val="-2"/>
          <w:sz w:val="24"/>
          <w:szCs w:val="24"/>
        </w:rPr>
        <w:t>, por meio de rotinas informatizadas,</w:t>
      </w:r>
      <w:r w:rsidR="001511BD" w:rsidRPr="00D819FE">
        <w:rPr>
          <w:rFonts w:ascii="Times New Roman" w:hAnsi="Times New Roman" w:cs="Times New Roman"/>
          <w:spacing w:val="-2"/>
          <w:sz w:val="24"/>
          <w:szCs w:val="24"/>
        </w:rPr>
        <w:t xml:space="preserve"> os reg</w:t>
      </w:r>
      <w:r w:rsidR="00D819FE" w:rsidRPr="00D819FE">
        <w:rPr>
          <w:rFonts w:ascii="Times New Roman" w:hAnsi="Times New Roman" w:cs="Times New Roman"/>
          <w:spacing w:val="-2"/>
          <w:sz w:val="24"/>
          <w:szCs w:val="24"/>
        </w:rPr>
        <w:t>istros de tramitação processual.</w:t>
      </w:r>
      <w:r w:rsidR="001511BD" w:rsidRPr="00D819FE">
        <w:rPr>
          <w:rFonts w:ascii="Times New Roman" w:hAnsi="Times New Roman" w:cs="Times New Roman"/>
          <w:spacing w:val="-2"/>
          <w:sz w:val="24"/>
          <w:szCs w:val="24"/>
        </w:rPr>
        <w:t xml:space="preserve"> </w:t>
      </w:r>
      <w:r w:rsidRPr="00D819FE">
        <w:rPr>
          <w:rFonts w:ascii="Times New Roman" w:hAnsi="Times New Roman" w:cs="Times New Roman"/>
          <w:spacing w:val="-2"/>
          <w:sz w:val="24"/>
          <w:szCs w:val="24"/>
        </w:rPr>
        <w:t xml:space="preserve"> Acrescentou, ainda, </w:t>
      </w:r>
      <w:r w:rsidR="001511BD" w:rsidRPr="00D819FE">
        <w:rPr>
          <w:rFonts w:ascii="Times New Roman" w:hAnsi="Times New Roman" w:cs="Times New Roman"/>
          <w:spacing w:val="-2"/>
          <w:sz w:val="24"/>
          <w:szCs w:val="24"/>
        </w:rPr>
        <w:t>que a rotina para extração dos referidos dados do 2º Grau de Jurisdição encontra-se em fase de ajustes.</w:t>
      </w:r>
    </w:p>
    <w:p w:rsidR="001511BD" w:rsidRPr="00D819FE" w:rsidRDefault="001511BD" w:rsidP="005B3C90">
      <w:pPr>
        <w:numPr>
          <w:ilvl w:val="4"/>
          <w:numId w:val="1"/>
        </w:numPr>
        <w:spacing w:after="0" w:line="240" w:lineRule="auto"/>
        <w:jc w:val="both"/>
        <w:rPr>
          <w:rFonts w:ascii="Times New Roman" w:hAnsi="Times New Roman" w:cs="Times New Roman"/>
          <w:spacing w:val="-2"/>
          <w:sz w:val="24"/>
          <w:szCs w:val="24"/>
        </w:rPr>
      </w:pPr>
      <w:r w:rsidRPr="00D819FE">
        <w:rPr>
          <w:rFonts w:ascii="Times New Roman" w:hAnsi="Times New Roman" w:cs="Times New Roman"/>
          <w:spacing w:val="-2"/>
          <w:sz w:val="24"/>
          <w:szCs w:val="24"/>
        </w:rPr>
        <w:t>Ressaltou</w:t>
      </w:r>
      <w:r w:rsidR="005B3C90" w:rsidRPr="00D819FE">
        <w:rPr>
          <w:rFonts w:ascii="Times New Roman" w:hAnsi="Times New Roman" w:cs="Times New Roman"/>
          <w:spacing w:val="-2"/>
          <w:sz w:val="24"/>
          <w:szCs w:val="24"/>
        </w:rPr>
        <w:t xml:space="preserve"> que a sistemática de monitoramento das Metas do Poder Judiciário Nacional (PJN) é iniciada a partir da disponibilização anual do glossário de metas do PJN, bem como do calendário para o cadastramento das informações no sistema de metas do CNJ e que, em 2017, o sistema do CNJ foi aberto somente em 26 de junho de 2017, possibilitando o cadastramento das metas referente</w:t>
      </w:r>
      <w:r w:rsidR="00DE2292" w:rsidRPr="00D819FE">
        <w:rPr>
          <w:rFonts w:ascii="Times New Roman" w:hAnsi="Times New Roman" w:cs="Times New Roman"/>
          <w:spacing w:val="-2"/>
          <w:sz w:val="24"/>
          <w:szCs w:val="24"/>
        </w:rPr>
        <w:t>s</w:t>
      </w:r>
      <w:r w:rsidR="005B3C90" w:rsidRPr="00D819FE">
        <w:rPr>
          <w:rFonts w:ascii="Times New Roman" w:hAnsi="Times New Roman" w:cs="Times New Roman"/>
          <w:spacing w:val="-2"/>
          <w:sz w:val="24"/>
          <w:szCs w:val="24"/>
        </w:rPr>
        <w:t xml:space="preserve"> aos meses (janeiro a junho/2017). Já em 2018, o prazo para lançamento das metas referentes aos meses de janeiro a abril do presente exercício</w:t>
      </w:r>
      <w:r w:rsidR="00701317" w:rsidRPr="00D819FE">
        <w:rPr>
          <w:rFonts w:ascii="Times New Roman" w:hAnsi="Times New Roman" w:cs="Times New Roman"/>
          <w:spacing w:val="-2"/>
          <w:sz w:val="24"/>
          <w:szCs w:val="24"/>
        </w:rPr>
        <w:t>, será 25 de maio.</w:t>
      </w:r>
    </w:p>
    <w:p w:rsidR="00701317" w:rsidRPr="00D819FE" w:rsidRDefault="005B3C90" w:rsidP="005B3C90">
      <w:pPr>
        <w:numPr>
          <w:ilvl w:val="4"/>
          <w:numId w:val="1"/>
        </w:numPr>
        <w:spacing w:after="0" w:line="240" w:lineRule="auto"/>
        <w:jc w:val="both"/>
        <w:rPr>
          <w:rFonts w:ascii="Times New Roman" w:hAnsi="Times New Roman" w:cs="Times New Roman"/>
          <w:spacing w:val="-2"/>
          <w:sz w:val="24"/>
          <w:szCs w:val="24"/>
        </w:rPr>
      </w:pPr>
      <w:r w:rsidRPr="00D819FE">
        <w:rPr>
          <w:rFonts w:ascii="Times New Roman" w:hAnsi="Times New Roman" w:cs="Times New Roman"/>
          <w:spacing w:val="-2"/>
          <w:sz w:val="24"/>
          <w:szCs w:val="24"/>
        </w:rPr>
        <w:t xml:space="preserve">Informou que em reunião realizada pela COPEG, </w:t>
      </w:r>
      <w:r w:rsidR="00701317" w:rsidRPr="00D819FE">
        <w:rPr>
          <w:rFonts w:ascii="Times New Roman" w:hAnsi="Times New Roman" w:cs="Times New Roman"/>
          <w:spacing w:val="-2"/>
          <w:sz w:val="24"/>
          <w:szCs w:val="24"/>
        </w:rPr>
        <w:t>S</w:t>
      </w:r>
      <w:r w:rsidRPr="00D819FE">
        <w:rPr>
          <w:rFonts w:ascii="Times New Roman" w:hAnsi="Times New Roman" w:cs="Times New Roman"/>
          <w:spacing w:val="-2"/>
          <w:sz w:val="24"/>
          <w:szCs w:val="24"/>
        </w:rPr>
        <w:t xml:space="preserve">CR e SJU foram acertadas as seguintes medidas para aperfeiçoar a sistemática de monitoramento referente às Metas PJN: estabelecimento de cronograma para a extração dos dados no Portal da Transparência, conforme cronograma disponibilizado pelo CNJ; </w:t>
      </w:r>
      <w:r w:rsidR="002331BA" w:rsidRPr="00D819FE">
        <w:rPr>
          <w:rFonts w:ascii="Times New Roman" w:hAnsi="Times New Roman" w:cs="Times New Roman"/>
          <w:spacing w:val="-2"/>
          <w:sz w:val="24"/>
          <w:szCs w:val="24"/>
        </w:rPr>
        <w:t>e e</w:t>
      </w:r>
      <w:r w:rsidRPr="00D819FE">
        <w:rPr>
          <w:rFonts w:ascii="Times New Roman" w:hAnsi="Times New Roman" w:cs="Times New Roman"/>
          <w:spacing w:val="-2"/>
          <w:sz w:val="24"/>
          <w:szCs w:val="24"/>
        </w:rPr>
        <w:t xml:space="preserve">stabelecimento de uma nova rotina para o cadastramento dos indicadores estratégicos </w:t>
      </w:r>
      <w:r w:rsidR="00701317" w:rsidRPr="00D819FE">
        <w:rPr>
          <w:rFonts w:ascii="Times New Roman" w:hAnsi="Times New Roman" w:cs="Times New Roman"/>
          <w:spacing w:val="-2"/>
          <w:sz w:val="24"/>
          <w:szCs w:val="24"/>
        </w:rPr>
        <w:t xml:space="preserve">de forma </w:t>
      </w:r>
      <w:r w:rsidRPr="00D819FE">
        <w:rPr>
          <w:rFonts w:ascii="Times New Roman" w:hAnsi="Times New Roman" w:cs="Times New Roman"/>
          <w:spacing w:val="-2"/>
          <w:sz w:val="24"/>
          <w:szCs w:val="24"/>
        </w:rPr>
        <w:t>concomitante com o cadastramento das Metas Nacionais do PJN</w:t>
      </w:r>
      <w:r w:rsidR="00701317" w:rsidRPr="00D819FE">
        <w:rPr>
          <w:rFonts w:ascii="Times New Roman" w:hAnsi="Times New Roman" w:cs="Times New Roman"/>
          <w:spacing w:val="-2"/>
          <w:sz w:val="24"/>
          <w:szCs w:val="24"/>
        </w:rPr>
        <w:t xml:space="preserve">. </w:t>
      </w:r>
    </w:p>
    <w:p w:rsidR="005B3C90" w:rsidRPr="00D819FE" w:rsidRDefault="00701317" w:rsidP="005B3C90">
      <w:pPr>
        <w:numPr>
          <w:ilvl w:val="4"/>
          <w:numId w:val="1"/>
        </w:numPr>
        <w:spacing w:after="0" w:line="240" w:lineRule="auto"/>
        <w:jc w:val="both"/>
        <w:rPr>
          <w:rFonts w:ascii="Times New Roman" w:hAnsi="Times New Roman" w:cs="Times New Roman"/>
          <w:spacing w:val="-2"/>
          <w:sz w:val="24"/>
          <w:szCs w:val="24"/>
        </w:rPr>
      </w:pPr>
      <w:r w:rsidRPr="00D819FE">
        <w:rPr>
          <w:rFonts w:ascii="Times New Roman" w:hAnsi="Times New Roman" w:cs="Times New Roman"/>
          <w:spacing w:val="-2"/>
          <w:sz w:val="24"/>
          <w:szCs w:val="24"/>
        </w:rPr>
        <w:t>Registrou, por fim, que</w:t>
      </w:r>
      <w:r w:rsidR="005B3C90" w:rsidRPr="00D819FE">
        <w:rPr>
          <w:rFonts w:ascii="Times New Roman" w:hAnsi="Times New Roman" w:cs="Times New Roman"/>
          <w:spacing w:val="-2"/>
          <w:sz w:val="24"/>
          <w:szCs w:val="24"/>
        </w:rPr>
        <w:t xml:space="preserve"> a nova rotina será comunicada à SCR e SJU após disponibilização do calendário para lançamento de dados no Sistema de Metas – 2018 pelo CNJ.</w:t>
      </w:r>
    </w:p>
    <w:p w:rsidR="005B3C90" w:rsidRPr="005B3C90" w:rsidRDefault="005B3C90" w:rsidP="005B3C90">
      <w:pPr>
        <w:numPr>
          <w:ilvl w:val="3"/>
          <w:numId w:val="1"/>
        </w:numPr>
        <w:spacing w:after="0" w:line="240" w:lineRule="auto"/>
        <w:ind w:left="1077" w:hanging="1077"/>
        <w:jc w:val="both"/>
        <w:rPr>
          <w:rFonts w:ascii="Times New Roman" w:hAnsi="Times New Roman" w:cs="Times New Roman"/>
          <w:i/>
          <w:sz w:val="24"/>
          <w:szCs w:val="24"/>
        </w:rPr>
      </w:pPr>
      <w:r w:rsidRPr="005B3C90">
        <w:rPr>
          <w:rFonts w:ascii="Times New Roman" w:hAnsi="Times New Roman" w:cs="Times New Roman"/>
          <w:i/>
          <w:sz w:val="24"/>
          <w:szCs w:val="24"/>
        </w:rPr>
        <w:t>Conclusão da equipe de auditoria:</w:t>
      </w:r>
    </w:p>
    <w:p w:rsidR="00865BE6" w:rsidRPr="00D819FE" w:rsidRDefault="00A645E3" w:rsidP="005B3C90">
      <w:pPr>
        <w:numPr>
          <w:ilvl w:val="4"/>
          <w:numId w:val="1"/>
        </w:numPr>
        <w:spacing w:after="0" w:line="240" w:lineRule="auto"/>
        <w:jc w:val="both"/>
        <w:rPr>
          <w:rFonts w:ascii="Times New Roman" w:hAnsi="Times New Roman" w:cs="Times New Roman"/>
          <w:spacing w:val="-2"/>
          <w:sz w:val="24"/>
          <w:szCs w:val="24"/>
        </w:rPr>
      </w:pPr>
      <w:r w:rsidRPr="00D819FE">
        <w:rPr>
          <w:rFonts w:ascii="Times New Roman" w:hAnsi="Times New Roman" w:cs="Times New Roman"/>
          <w:spacing w:val="-2"/>
          <w:sz w:val="24"/>
          <w:szCs w:val="24"/>
        </w:rPr>
        <w:t>Em que pese os esclarecimentos prestados pela COPEG acerca das medidas adotadas</w:t>
      </w:r>
      <w:r w:rsidR="00ED21A5" w:rsidRPr="00D819FE">
        <w:rPr>
          <w:rFonts w:ascii="Times New Roman" w:hAnsi="Times New Roman" w:cs="Times New Roman"/>
          <w:spacing w:val="-2"/>
          <w:sz w:val="24"/>
          <w:szCs w:val="24"/>
        </w:rPr>
        <w:t xml:space="preserve"> e </w:t>
      </w:r>
      <w:r w:rsidR="00701317" w:rsidRPr="00D819FE">
        <w:rPr>
          <w:rFonts w:ascii="Times New Roman" w:hAnsi="Times New Roman" w:cs="Times New Roman"/>
          <w:spacing w:val="-2"/>
          <w:sz w:val="24"/>
          <w:szCs w:val="24"/>
        </w:rPr>
        <w:t xml:space="preserve">a </w:t>
      </w:r>
      <w:r w:rsidR="00ED21A5" w:rsidRPr="00D819FE">
        <w:rPr>
          <w:rFonts w:ascii="Times New Roman" w:hAnsi="Times New Roman" w:cs="Times New Roman"/>
          <w:spacing w:val="-2"/>
          <w:sz w:val="24"/>
          <w:szCs w:val="24"/>
        </w:rPr>
        <w:t>serem definidas</w:t>
      </w:r>
      <w:r w:rsidRPr="00D819FE">
        <w:rPr>
          <w:rFonts w:ascii="Times New Roman" w:hAnsi="Times New Roman" w:cs="Times New Roman"/>
          <w:spacing w:val="-2"/>
          <w:sz w:val="24"/>
          <w:szCs w:val="24"/>
        </w:rPr>
        <w:t xml:space="preserve"> para aperfeiçoa</w:t>
      </w:r>
      <w:r w:rsidR="00701317" w:rsidRPr="00D819FE">
        <w:rPr>
          <w:rFonts w:ascii="Times New Roman" w:hAnsi="Times New Roman" w:cs="Times New Roman"/>
          <w:spacing w:val="-2"/>
          <w:sz w:val="24"/>
          <w:szCs w:val="24"/>
        </w:rPr>
        <w:t>mento</w:t>
      </w:r>
      <w:r w:rsidRPr="00D819FE">
        <w:rPr>
          <w:rFonts w:ascii="Times New Roman" w:hAnsi="Times New Roman" w:cs="Times New Roman"/>
          <w:spacing w:val="-2"/>
          <w:sz w:val="24"/>
          <w:szCs w:val="24"/>
        </w:rPr>
        <w:t xml:space="preserve"> </w:t>
      </w:r>
      <w:r w:rsidR="00701317" w:rsidRPr="00D819FE">
        <w:rPr>
          <w:rFonts w:ascii="Times New Roman" w:hAnsi="Times New Roman" w:cs="Times New Roman"/>
          <w:spacing w:val="-2"/>
          <w:sz w:val="24"/>
          <w:szCs w:val="24"/>
        </w:rPr>
        <w:t>d</w:t>
      </w:r>
      <w:r w:rsidRPr="00D819FE">
        <w:rPr>
          <w:rFonts w:ascii="Times New Roman" w:hAnsi="Times New Roman" w:cs="Times New Roman"/>
          <w:spacing w:val="-2"/>
          <w:sz w:val="24"/>
          <w:szCs w:val="24"/>
        </w:rPr>
        <w:t>a sistemática de monitoramento</w:t>
      </w:r>
      <w:r w:rsidR="00701317" w:rsidRPr="00D819FE">
        <w:rPr>
          <w:rFonts w:ascii="Times New Roman" w:hAnsi="Times New Roman" w:cs="Times New Roman"/>
          <w:spacing w:val="-2"/>
          <w:sz w:val="24"/>
          <w:szCs w:val="24"/>
        </w:rPr>
        <w:t xml:space="preserve"> da execução da estratégia deste Regional</w:t>
      </w:r>
      <w:r w:rsidR="005D5679" w:rsidRPr="00D819FE">
        <w:rPr>
          <w:rFonts w:ascii="Times New Roman" w:hAnsi="Times New Roman" w:cs="Times New Roman"/>
          <w:spacing w:val="-2"/>
          <w:sz w:val="24"/>
          <w:szCs w:val="24"/>
        </w:rPr>
        <w:t xml:space="preserve">, </w:t>
      </w:r>
      <w:r w:rsidR="002331BA" w:rsidRPr="00D819FE">
        <w:rPr>
          <w:rFonts w:ascii="Times New Roman" w:hAnsi="Times New Roman" w:cs="Times New Roman"/>
          <w:spacing w:val="-2"/>
          <w:sz w:val="24"/>
          <w:szCs w:val="24"/>
        </w:rPr>
        <w:t xml:space="preserve">as evidências colacionadas ao longo do curso da presente auditoria denotaram insuficiente cumprimento de rotinas aprovadas em RAE realizada em 8/9/2016, cuja documentação </w:t>
      </w:r>
      <w:r w:rsidR="00865BE6" w:rsidRPr="00D819FE">
        <w:rPr>
          <w:rFonts w:ascii="Times New Roman" w:hAnsi="Times New Roman" w:cs="Times New Roman"/>
          <w:spacing w:val="-2"/>
          <w:sz w:val="24"/>
          <w:szCs w:val="24"/>
        </w:rPr>
        <w:t xml:space="preserve">de procedimentos </w:t>
      </w:r>
      <w:r w:rsidR="002331BA" w:rsidRPr="00D819FE">
        <w:rPr>
          <w:rFonts w:ascii="Times New Roman" w:hAnsi="Times New Roman" w:cs="Times New Roman"/>
          <w:spacing w:val="-2"/>
          <w:sz w:val="24"/>
          <w:szCs w:val="24"/>
        </w:rPr>
        <w:t>restou reservada à ata da referida reunião, não se verificando divulgação da sistemática, nos portais da Intranet ou Internet institucional</w:t>
      </w:r>
      <w:r w:rsidR="00865BE6" w:rsidRPr="00D819FE">
        <w:rPr>
          <w:rFonts w:ascii="Times New Roman" w:hAnsi="Times New Roman" w:cs="Times New Roman"/>
          <w:spacing w:val="-2"/>
          <w:sz w:val="24"/>
          <w:szCs w:val="24"/>
        </w:rPr>
        <w:t xml:space="preserve">, fato limitador, portanto, de sua internalização e efetivo cumprimento, por gestores e demais colaboradores das áreas responsáveis por gestão de metas e iniciativas estratégicas. </w:t>
      </w:r>
    </w:p>
    <w:p w:rsidR="005B3C90" w:rsidRPr="00D819FE" w:rsidRDefault="00865BE6" w:rsidP="005B3C90">
      <w:pPr>
        <w:numPr>
          <w:ilvl w:val="4"/>
          <w:numId w:val="1"/>
        </w:numPr>
        <w:spacing w:after="0" w:line="240" w:lineRule="auto"/>
        <w:jc w:val="both"/>
        <w:rPr>
          <w:rFonts w:ascii="Times New Roman" w:hAnsi="Times New Roman" w:cs="Times New Roman"/>
          <w:spacing w:val="-2"/>
          <w:sz w:val="24"/>
          <w:szCs w:val="24"/>
        </w:rPr>
      </w:pPr>
      <w:r w:rsidRPr="00D819FE">
        <w:rPr>
          <w:rFonts w:ascii="Times New Roman" w:hAnsi="Times New Roman" w:cs="Times New Roman"/>
          <w:spacing w:val="-2"/>
          <w:sz w:val="24"/>
          <w:szCs w:val="24"/>
        </w:rPr>
        <w:t>Acrescente-se que as rotinas definidas em 2017 não contemplavam procedimentos afetos ao acompanhamento das metas nacionais do Poder Judiciário que, embora recentemente definidos em reunião setorial, não constituíram objeto de aprovação em RAE ou, ainda, de divulgação em portais</w:t>
      </w:r>
      <w:r w:rsidR="00627446" w:rsidRPr="00D819FE">
        <w:rPr>
          <w:rFonts w:ascii="Times New Roman" w:hAnsi="Times New Roman" w:cs="Times New Roman"/>
          <w:spacing w:val="-2"/>
          <w:sz w:val="24"/>
          <w:szCs w:val="24"/>
        </w:rPr>
        <w:t xml:space="preserve"> </w:t>
      </w:r>
      <w:r w:rsidR="00627446" w:rsidRPr="00D819FE">
        <w:rPr>
          <w:rFonts w:ascii="Times New Roman" w:hAnsi="Times New Roman" w:cs="Times New Roman"/>
          <w:spacing w:val="-2"/>
          <w:sz w:val="24"/>
          <w:szCs w:val="24"/>
        </w:rPr>
        <w:lastRenderedPageBreak/>
        <w:t>institucionais</w:t>
      </w:r>
      <w:r w:rsidRPr="00D819FE">
        <w:rPr>
          <w:rFonts w:ascii="Times New Roman" w:hAnsi="Times New Roman" w:cs="Times New Roman"/>
          <w:spacing w:val="-2"/>
          <w:sz w:val="24"/>
          <w:szCs w:val="24"/>
        </w:rPr>
        <w:t xml:space="preserve"> </w:t>
      </w:r>
      <w:r w:rsidR="00627446" w:rsidRPr="00D819FE">
        <w:rPr>
          <w:rFonts w:ascii="Times New Roman" w:hAnsi="Times New Roman" w:cs="Times New Roman"/>
          <w:spacing w:val="-2"/>
          <w:sz w:val="24"/>
          <w:szCs w:val="24"/>
        </w:rPr>
        <w:t>afetos à temática</w:t>
      </w:r>
      <w:r w:rsidRPr="00D819FE">
        <w:rPr>
          <w:rFonts w:ascii="Times New Roman" w:hAnsi="Times New Roman" w:cs="Times New Roman"/>
          <w:spacing w:val="-2"/>
          <w:sz w:val="24"/>
          <w:szCs w:val="24"/>
        </w:rPr>
        <w:t xml:space="preserve">. Nesse sentido, entende-se que </w:t>
      </w:r>
      <w:r w:rsidR="005D5679" w:rsidRPr="00D819FE">
        <w:rPr>
          <w:rFonts w:ascii="Times New Roman" w:hAnsi="Times New Roman" w:cs="Times New Roman"/>
          <w:spacing w:val="-2"/>
          <w:sz w:val="24"/>
          <w:szCs w:val="24"/>
        </w:rPr>
        <w:t xml:space="preserve">enquanto não </w:t>
      </w:r>
      <w:r w:rsidR="00701317" w:rsidRPr="00D819FE">
        <w:rPr>
          <w:rFonts w:ascii="Times New Roman" w:hAnsi="Times New Roman" w:cs="Times New Roman"/>
          <w:spacing w:val="-2"/>
          <w:sz w:val="24"/>
          <w:szCs w:val="24"/>
        </w:rPr>
        <w:t xml:space="preserve">formalizada </w:t>
      </w:r>
      <w:r w:rsidR="005D5679" w:rsidRPr="00D819FE">
        <w:rPr>
          <w:rFonts w:ascii="Times New Roman" w:hAnsi="Times New Roman" w:cs="Times New Roman"/>
          <w:spacing w:val="-2"/>
          <w:sz w:val="24"/>
          <w:szCs w:val="24"/>
        </w:rPr>
        <w:t>normati</w:t>
      </w:r>
      <w:r w:rsidR="00701317" w:rsidRPr="00D819FE">
        <w:rPr>
          <w:rFonts w:ascii="Times New Roman" w:hAnsi="Times New Roman" w:cs="Times New Roman"/>
          <w:spacing w:val="-2"/>
          <w:sz w:val="24"/>
          <w:szCs w:val="24"/>
        </w:rPr>
        <w:t>zação</w:t>
      </w:r>
      <w:r w:rsidR="005D5679" w:rsidRPr="00D819FE">
        <w:rPr>
          <w:rFonts w:ascii="Times New Roman" w:hAnsi="Times New Roman" w:cs="Times New Roman"/>
          <w:spacing w:val="-2"/>
          <w:sz w:val="24"/>
          <w:szCs w:val="24"/>
        </w:rPr>
        <w:t xml:space="preserve"> </w:t>
      </w:r>
      <w:r w:rsidR="00701317" w:rsidRPr="00D819FE">
        <w:rPr>
          <w:rFonts w:ascii="Times New Roman" w:hAnsi="Times New Roman" w:cs="Times New Roman"/>
          <w:spacing w:val="-2"/>
          <w:sz w:val="24"/>
          <w:szCs w:val="24"/>
        </w:rPr>
        <w:t>específica, de modo a definir e comunicar, de forma inequívoca, papeis e responsabilidades, procedimentos e respectivos prazos</w:t>
      </w:r>
      <w:r w:rsidR="00ED56F8" w:rsidRPr="00D819FE">
        <w:rPr>
          <w:rFonts w:ascii="Times New Roman" w:hAnsi="Times New Roman" w:cs="Times New Roman"/>
          <w:spacing w:val="-2"/>
          <w:sz w:val="24"/>
          <w:szCs w:val="24"/>
        </w:rPr>
        <w:t>, bem como medidas assecuratórias de cumprimento de rotinas afetas</w:t>
      </w:r>
      <w:r w:rsidRPr="00D819FE">
        <w:rPr>
          <w:rFonts w:ascii="Times New Roman" w:hAnsi="Times New Roman" w:cs="Times New Roman"/>
          <w:spacing w:val="-2"/>
          <w:sz w:val="24"/>
          <w:szCs w:val="24"/>
        </w:rPr>
        <w:t xml:space="preserve"> à execução da estratégica</w:t>
      </w:r>
      <w:r w:rsidR="00701317" w:rsidRPr="00D819FE">
        <w:rPr>
          <w:rFonts w:ascii="Times New Roman" w:hAnsi="Times New Roman" w:cs="Times New Roman"/>
          <w:spacing w:val="-2"/>
          <w:sz w:val="24"/>
          <w:szCs w:val="24"/>
        </w:rPr>
        <w:t xml:space="preserve">, </w:t>
      </w:r>
      <w:r w:rsidR="00701317" w:rsidRPr="00D819FE">
        <w:rPr>
          <w:rFonts w:ascii="Times New Roman" w:hAnsi="Times New Roman" w:cs="Times New Roman"/>
          <w:sz w:val="24"/>
          <w:szCs w:val="24"/>
        </w:rPr>
        <w:t xml:space="preserve">subsistirá </w:t>
      </w:r>
      <w:proofErr w:type="gramStart"/>
      <w:r w:rsidR="00701317" w:rsidRPr="00D819FE">
        <w:rPr>
          <w:rFonts w:ascii="Times New Roman" w:hAnsi="Times New Roman" w:cs="Times New Roman"/>
          <w:sz w:val="24"/>
          <w:szCs w:val="24"/>
        </w:rPr>
        <w:t xml:space="preserve">a fragilidade </w:t>
      </w:r>
      <w:r w:rsidR="00CA2274" w:rsidRPr="00D819FE">
        <w:rPr>
          <w:rFonts w:ascii="Times New Roman" w:hAnsi="Times New Roman" w:cs="Times New Roman"/>
          <w:sz w:val="24"/>
          <w:szCs w:val="24"/>
        </w:rPr>
        <w:t>anteriormente evidenciad</w:t>
      </w:r>
      <w:r w:rsidR="00701317" w:rsidRPr="00D819FE">
        <w:rPr>
          <w:rFonts w:ascii="Times New Roman" w:hAnsi="Times New Roman" w:cs="Times New Roman"/>
          <w:sz w:val="24"/>
          <w:szCs w:val="24"/>
        </w:rPr>
        <w:t>a</w:t>
      </w:r>
      <w:r w:rsidR="00627446" w:rsidRPr="00D819FE">
        <w:rPr>
          <w:rFonts w:ascii="Times New Roman" w:hAnsi="Times New Roman" w:cs="Times New Roman"/>
          <w:sz w:val="24"/>
          <w:szCs w:val="24"/>
        </w:rPr>
        <w:t xml:space="preserve"> determinante do cumprimento insuficiente ora apurado</w:t>
      </w:r>
      <w:proofErr w:type="gramEnd"/>
      <w:r w:rsidR="00627446" w:rsidRPr="00D819FE">
        <w:rPr>
          <w:rFonts w:ascii="Times New Roman" w:hAnsi="Times New Roman" w:cs="Times New Roman"/>
          <w:sz w:val="24"/>
          <w:szCs w:val="24"/>
        </w:rPr>
        <w:t>.</w:t>
      </w:r>
    </w:p>
    <w:p w:rsidR="00C353EE" w:rsidRPr="00775054" w:rsidRDefault="00A667B9" w:rsidP="003438A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 xml:space="preserve">Insuficiência no cumprimento das obrigações de </w:t>
      </w:r>
      <w:proofErr w:type="spellStart"/>
      <w:r w:rsidRPr="003438A8">
        <w:rPr>
          <w:rFonts w:ascii="Times New Roman" w:hAnsi="Times New Roman" w:cs="Times New Roman"/>
          <w:color w:val="000000" w:themeColor="text1"/>
          <w:sz w:val="24"/>
          <w:szCs w:val="24"/>
          <w:u w:val="single"/>
        </w:rPr>
        <w:t>acco</w:t>
      </w:r>
      <w:r w:rsidR="00393A9F" w:rsidRPr="003438A8">
        <w:rPr>
          <w:rFonts w:ascii="Times New Roman" w:hAnsi="Times New Roman" w:cs="Times New Roman"/>
          <w:color w:val="000000" w:themeColor="text1"/>
          <w:sz w:val="24"/>
          <w:szCs w:val="24"/>
          <w:u w:val="single"/>
        </w:rPr>
        <w:t>u</w:t>
      </w:r>
      <w:r w:rsidRPr="003438A8">
        <w:rPr>
          <w:rFonts w:ascii="Times New Roman" w:hAnsi="Times New Roman" w:cs="Times New Roman"/>
          <w:color w:val="000000" w:themeColor="text1"/>
          <w:sz w:val="24"/>
          <w:szCs w:val="24"/>
          <w:u w:val="single"/>
        </w:rPr>
        <w:t>ntability</w:t>
      </w:r>
      <w:proofErr w:type="spellEnd"/>
      <w:r w:rsidR="00076FF0" w:rsidRPr="00775054">
        <w:rPr>
          <w:rFonts w:ascii="Times New Roman" w:hAnsi="Times New Roman" w:cs="Times New Roman"/>
          <w:color w:val="000000" w:themeColor="text1"/>
          <w:sz w:val="24"/>
          <w:szCs w:val="24"/>
          <w:u w:val="single"/>
        </w:rPr>
        <w:t>.</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w:t>
      </w:r>
    </w:p>
    <w:p w:rsidR="00A31F42" w:rsidRDefault="00A667B9" w:rsidP="00A667B9">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O planejamento estratégico organizacional para o quinquênio 2016-2021 encontra-se divulgado no Portal da Internet do TRE-BA</w:t>
      </w:r>
      <w:r w:rsidR="00393A9F">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na versão original da formulação, aprovada por meio da Resolução Administrativa do TRE-BA nº 14/2015. Não se evidenciou, contudo, publicação do teor das revisões resultantes de deliberação do CGPE, em </w:t>
      </w:r>
      <w:proofErr w:type="spellStart"/>
      <w:r w:rsidRPr="00775054">
        <w:rPr>
          <w:rFonts w:ascii="Times New Roman" w:hAnsi="Times New Roman" w:cs="Times New Roman"/>
          <w:color w:val="000000" w:themeColor="text1"/>
          <w:sz w:val="24"/>
          <w:szCs w:val="24"/>
        </w:rPr>
        <w:t>RAEs</w:t>
      </w:r>
      <w:proofErr w:type="spellEnd"/>
      <w:r w:rsidRPr="00775054">
        <w:rPr>
          <w:rFonts w:ascii="Times New Roman" w:hAnsi="Times New Roman" w:cs="Times New Roman"/>
          <w:color w:val="000000" w:themeColor="text1"/>
          <w:sz w:val="24"/>
          <w:szCs w:val="24"/>
        </w:rPr>
        <w:t xml:space="preserve"> realizadas em 2016 e 2017, ou da Corte deste Tribunal, nem a republicação de arquivo retificado, notadamente no que tange às alterações referentes às iniciativas e indicadores de desempenho estratégicos inicialmente estabelecidos. O mesmo se processa relativamente à </w:t>
      </w:r>
      <w:r w:rsidR="00393A9F">
        <w:rPr>
          <w:rFonts w:ascii="Times New Roman" w:hAnsi="Times New Roman" w:cs="Times New Roman"/>
          <w:color w:val="000000" w:themeColor="text1"/>
          <w:sz w:val="24"/>
          <w:szCs w:val="24"/>
        </w:rPr>
        <w:t>e</w:t>
      </w:r>
      <w:r w:rsidRPr="00775054">
        <w:rPr>
          <w:rFonts w:ascii="Times New Roman" w:hAnsi="Times New Roman" w:cs="Times New Roman"/>
          <w:color w:val="000000" w:themeColor="text1"/>
          <w:sz w:val="24"/>
          <w:szCs w:val="24"/>
        </w:rPr>
        <w:t xml:space="preserve">stratégia organizacional para o período 2012-2015, acessível no mesmo endereço eletrônico. </w:t>
      </w:r>
    </w:p>
    <w:p w:rsidR="00A31F42" w:rsidRDefault="00A667B9" w:rsidP="00A667B9">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Paralelamente, constatou-se que os resultados da gestão estratégica do TRE-BA são divulgados ao público externo, apenas anualmente, por meio do Relatório de Gestão Anual do Órgão, no Portal da Transparência, acessível, também, no site institucional. No entanto, verificou-se não ser possível localizar com facilidade os dados referentes à execução da estratégia do Tribunal, no corpo do referido documento, considerando, inclusive, utilização de sumário não indexado ou de remissão automática, </w:t>
      </w:r>
      <w:proofErr w:type="gramStart"/>
      <w:r w:rsidRPr="00775054">
        <w:rPr>
          <w:rFonts w:ascii="Times New Roman" w:hAnsi="Times New Roman" w:cs="Times New Roman"/>
          <w:color w:val="000000" w:themeColor="text1"/>
          <w:sz w:val="24"/>
          <w:szCs w:val="24"/>
        </w:rPr>
        <w:t>integrado por 85 tópicos, por vezes descritos com linguagem técnica ou de difícil compreensão</w:t>
      </w:r>
      <w:proofErr w:type="gramEnd"/>
      <w:r w:rsidRPr="00775054">
        <w:rPr>
          <w:rFonts w:ascii="Times New Roman" w:hAnsi="Times New Roman" w:cs="Times New Roman"/>
          <w:color w:val="000000" w:themeColor="text1"/>
          <w:sz w:val="24"/>
          <w:szCs w:val="24"/>
        </w:rPr>
        <w:t xml:space="preserve"> para as partes interessadas, notadamente para a sociedade em geral. Esclareça-se que as informações atinentes à formulação e execução da estratégia não são objeto de sigilo ou restrição, consoante teor de normativo interno regulamentador de dispositivos da Lei de Acesso à Informação (LAI)</w:t>
      </w:r>
      <w:r w:rsidR="00393A9F">
        <w:rPr>
          <w:rFonts w:ascii="Times New Roman" w:hAnsi="Times New Roman" w:cs="Times New Roman"/>
          <w:color w:val="000000" w:themeColor="text1"/>
          <w:sz w:val="24"/>
          <w:szCs w:val="24"/>
        </w:rPr>
        <w:t>, no âmbito do Tribunal</w:t>
      </w:r>
      <w:r w:rsidRPr="00775054">
        <w:rPr>
          <w:rFonts w:ascii="Times New Roman" w:hAnsi="Times New Roman" w:cs="Times New Roman"/>
          <w:color w:val="000000" w:themeColor="text1"/>
          <w:sz w:val="24"/>
          <w:szCs w:val="24"/>
        </w:rPr>
        <w:t xml:space="preserve">. </w:t>
      </w:r>
    </w:p>
    <w:p w:rsidR="00A31F42" w:rsidRDefault="00A667B9" w:rsidP="00A667B9">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Nesse sentido, não obstante </w:t>
      </w:r>
      <w:proofErr w:type="gramStart"/>
      <w:r w:rsidRPr="00775054">
        <w:rPr>
          <w:rFonts w:ascii="Times New Roman" w:hAnsi="Times New Roman" w:cs="Times New Roman"/>
          <w:color w:val="000000" w:themeColor="text1"/>
          <w:sz w:val="24"/>
          <w:szCs w:val="24"/>
        </w:rPr>
        <w:t xml:space="preserve">utilização de formato PDF pesquisável e possibilidade de realização de </w:t>
      </w:r>
      <w:r w:rsidRPr="00393A9F">
        <w:rPr>
          <w:rFonts w:ascii="Times New Roman" w:hAnsi="Times New Roman" w:cs="Times New Roman"/>
          <w:i/>
          <w:color w:val="000000" w:themeColor="text1"/>
          <w:sz w:val="24"/>
          <w:szCs w:val="24"/>
        </w:rPr>
        <w:t>download</w:t>
      </w:r>
      <w:r w:rsidRPr="00775054">
        <w:rPr>
          <w:rFonts w:ascii="Times New Roman" w:hAnsi="Times New Roman" w:cs="Times New Roman"/>
          <w:color w:val="000000" w:themeColor="text1"/>
          <w:sz w:val="24"/>
          <w:szCs w:val="24"/>
        </w:rPr>
        <w:t xml:space="preserve"> dos arquivos disponibilizados, não restou</w:t>
      </w:r>
      <w:proofErr w:type="gramEnd"/>
      <w:r w:rsidRPr="00775054">
        <w:rPr>
          <w:rFonts w:ascii="Times New Roman" w:hAnsi="Times New Roman" w:cs="Times New Roman"/>
          <w:color w:val="000000" w:themeColor="text1"/>
          <w:sz w:val="24"/>
          <w:szCs w:val="24"/>
        </w:rPr>
        <w:t xml:space="preserve"> evidenciada a utilização de ferramenta auxiliar de consulta que permit</w:t>
      </w:r>
      <w:r w:rsidR="00393A9F">
        <w:rPr>
          <w:rFonts w:ascii="Times New Roman" w:hAnsi="Times New Roman" w:cs="Times New Roman"/>
          <w:color w:val="000000" w:themeColor="text1"/>
          <w:sz w:val="24"/>
          <w:szCs w:val="24"/>
        </w:rPr>
        <w:t>isse</w:t>
      </w:r>
      <w:r w:rsidRPr="00775054">
        <w:rPr>
          <w:rFonts w:ascii="Times New Roman" w:hAnsi="Times New Roman" w:cs="Times New Roman"/>
          <w:color w:val="000000" w:themeColor="text1"/>
          <w:sz w:val="24"/>
          <w:szCs w:val="24"/>
        </w:rPr>
        <w:t xml:space="preserve"> o acesso à informação desejada de forma objetiva, transparente, clara e em linguagem de fácil compreensão. Por oportuno, registre-se que, em consonância com boa p</w:t>
      </w:r>
      <w:r w:rsidR="00EC6221">
        <w:rPr>
          <w:rFonts w:ascii="Times New Roman" w:hAnsi="Times New Roman" w:cs="Times New Roman"/>
          <w:color w:val="000000" w:themeColor="text1"/>
          <w:sz w:val="24"/>
          <w:szCs w:val="24"/>
        </w:rPr>
        <w:t xml:space="preserve">rática constante do Referencial </w:t>
      </w:r>
      <w:r w:rsidRPr="00775054">
        <w:rPr>
          <w:rFonts w:ascii="Times New Roman" w:hAnsi="Times New Roman" w:cs="Times New Roman"/>
          <w:color w:val="000000" w:themeColor="text1"/>
          <w:sz w:val="24"/>
          <w:szCs w:val="24"/>
        </w:rPr>
        <w:t xml:space="preserve">Básico de Governança do TCU e de acordo com o quanto disposto no art. 23, § 2º, da Lei 13.460, </w:t>
      </w:r>
      <w:r w:rsidR="00393A9F">
        <w:rPr>
          <w:rFonts w:ascii="Times New Roman" w:hAnsi="Times New Roman" w:cs="Times New Roman"/>
          <w:color w:val="000000" w:themeColor="text1"/>
          <w:sz w:val="24"/>
          <w:szCs w:val="24"/>
        </w:rPr>
        <w:t>publicada em</w:t>
      </w:r>
      <w:r w:rsidRPr="00775054">
        <w:rPr>
          <w:rFonts w:ascii="Times New Roman" w:hAnsi="Times New Roman" w:cs="Times New Roman"/>
          <w:color w:val="000000" w:themeColor="text1"/>
          <w:sz w:val="24"/>
          <w:szCs w:val="24"/>
        </w:rPr>
        <w:t xml:space="preserve"> 27 de junho de 2017, que entrará em vigor para </w:t>
      </w:r>
      <w:r w:rsidR="00393A9F">
        <w:rPr>
          <w:rFonts w:ascii="Times New Roman" w:hAnsi="Times New Roman" w:cs="Times New Roman"/>
          <w:color w:val="000000" w:themeColor="text1"/>
          <w:sz w:val="24"/>
          <w:szCs w:val="24"/>
        </w:rPr>
        <w:t xml:space="preserve">a </w:t>
      </w:r>
      <w:r w:rsidRPr="00775054">
        <w:rPr>
          <w:rFonts w:ascii="Times New Roman" w:hAnsi="Times New Roman" w:cs="Times New Roman"/>
          <w:color w:val="000000" w:themeColor="text1"/>
          <w:sz w:val="24"/>
          <w:szCs w:val="24"/>
        </w:rPr>
        <w:t xml:space="preserve">União 360 dias contados a partir da sua publicação, o Tribunal deverá divulgar, no sítio </w:t>
      </w:r>
      <w:r w:rsidR="00A52B84">
        <w:rPr>
          <w:rFonts w:ascii="Times New Roman" w:hAnsi="Times New Roman" w:cs="Times New Roman"/>
          <w:color w:val="000000" w:themeColor="text1"/>
          <w:sz w:val="24"/>
          <w:szCs w:val="24"/>
        </w:rPr>
        <w:t>institucional</w:t>
      </w:r>
      <w:r w:rsidRPr="00775054">
        <w:rPr>
          <w:rFonts w:ascii="Times New Roman" w:hAnsi="Times New Roman" w:cs="Times New Roman"/>
          <w:color w:val="000000" w:themeColor="text1"/>
          <w:sz w:val="24"/>
          <w:szCs w:val="24"/>
        </w:rPr>
        <w:t xml:space="preserve">, no mínimo anualmente, o resultado integral da avaliação dos serviços prestados, incluindo </w:t>
      </w:r>
      <w:r w:rsidRPr="00A52B84">
        <w:rPr>
          <w:rFonts w:ascii="Times New Roman" w:hAnsi="Times New Roman" w:cs="Times New Roman"/>
          <w:i/>
          <w:color w:val="000000" w:themeColor="text1"/>
          <w:sz w:val="24"/>
          <w:szCs w:val="24"/>
        </w:rPr>
        <w:t>ranking</w:t>
      </w:r>
      <w:r w:rsidRPr="00775054">
        <w:rPr>
          <w:rFonts w:ascii="Times New Roman" w:hAnsi="Times New Roman" w:cs="Times New Roman"/>
          <w:color w:val="000000" w:themeColor="text1"/>
          <w:sz w:val="24"/>
          <w:szCs w:val="24"/>
        </w:rPr>
        <w:t xml:space="preserve"> das entidades com maior incidência de reclamação dos usuários. </w:t>
      </w:r>
    </w:p>
    <w:p w:rsidR="00C353EE" w:rsidRPr="00775054" w:rsidRDefault="00A667B9" w:rsidP="00A667B9">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Esclareça-se que, não obstante realização de pesquisa de satisfação junto aos usuários dos serviços prestados por este Regional, cujos resultados instrumentalizam a mensuração do "índice de satisfação de clientes", a correspondente divulgação do quanto apurado na referida consulta não </w:t>
      </w:r>
      <w:r w:rsidRPr="00775054">
        <w:rPr>
          <w:rFonts w:ascii="Times New Roman" w:hAnsi="Times New Roman" w:cs="Times New Roman"/>
          <w:color w:val="000000" w:themeColor="text1"/>
          <w:sz w:val="24"/>
          <w:szCs w:val="24"/>
        </w:rPr>
        <w:lastRenderedPageBreak/>
        <w:t>restou evidenciada, a título de boa prática, em acesso realizado ao sítio eletrônico do Tribunal.</w:t>
      </w:r>
      <w:r w:rsidR="00C353EE" w:rsidRPr="00775054">
        <w:rPr>
          <w:rFonts w:ascii="Times New Roman" w:hAnsi="Times New Roman" w:cs="Times New Roman"/>
          <w:color w:val="000000" w:themeColor="text1"/>
          <w:sz w:val="24"/>
          <w:szCs w:val="24"/>
        </w:rPr>
        <w:t xml:space="preserve"> </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C353EE" w:rsidRPr="00775054" w:rsidRDefault="00A667B9" w:rsidP="00705A22">
      <w:pPr>
        <w:numPr>
          <w:ilvl w:val="4"/>
          <w:numId w:val="1"/>
        </w:numPr>
        <w:spacing w:after="0" w:line="240" w:lineRule="auto"/>
        <w:jc w:val="both"/>
        <w:rPr>
          <w:rFonts w:ascii="Times New Roman" w:hAnsi="Times New Roman" w:cs="Times New Roman"/>
          <w:color w:val="000000" w:themeColor="text1"/>
          <w:spacing w:val="-4"/>
          <w:sz w:val="24"/>
          <w:szCs w:val="24"/>
        </w:rPr>
      </w:pPr>
      <w:r w:rsidRPr="00775054">
        <w:rPr>
          <w:rFonts w:ascii="Times New Roman" w:hAnsi="Times New Roman" w:cs="Times New Roman"/>
          <w:color w:val="000000" w:themeColor="text1"/>
          <w:sz w:val="24"/>
          <w:szCs w:val="24"/>
        </w:rPr>
        <w:t>Princípio da publicidade</w:t>
      </w:r>
      <w:r w:rsidR="00A52B8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 xml:space="preserve">(art. 37 da CF/88); Lei nº 12.527/2011, </w:t>
      </w:r>
      <w:proofErr w:type="spellStart"/>
      <w:r w:rsidRPr="00775054">
        <w:rPr>
          <w:rFonts w:ascii="Times New Roman" w:hAnsi="Times New Roman" w:cs="Times New Roman"/>
          <w:color w:val="000000" w:themeColor="text1"/>
          <w:sz w:val="24"/>
          <w:szCs w:val="24"/>
        </w:rPr>
        <w:t>arts</w:t>
      </w:r>
      <w:proofErr w:type="spellEnd"/>
      <w:r w:rsidRPr="00775054">
        <w:rPr>
          <w:rFonts w:ascii="Times New Roman" w:hAnsi="Times New Roman" w:cs="Times New Roman"/>
          <w:color w:val="000000" w:themeColor="text1"/>
          <w:sz w:val="24"/>
          <w:szCs w:val="24"/>
        </w:rPr>
        <w:t xml:space="preserve">. 5º, 6º, 7º, VI, "a", 8º, §1º, V, §3º, I e VI; Decreto nº 9.203/2017, art. 3º, VI, art. 4º, XI, art. 6º, parágrafo único, I; Portaria Presidência TRE-BA nº 103/2015, </w:t>
      </w:r>
      <w:proofErr w:type="spellStart"/>
      <w:r w:rsidRPr="00775054">
        <w:rPr>
          <w:rFonts w:ascii="Times New Roman" w:hAnsi="Times New Roman" w:cs="Times New Roman"/>
          <w:color w:val="000000" w:themeColor="text1"/>
          <w:sz w:val="24"/>
          <w:szCs w:val="24"/>
        </w:rPr>
        <w:t>arts</w:t>
      </w:r>
      <w:proofErr w:type="spellEnd"/>
      <w:r w:rsidRPr="00775054">
        <w:rPr>
          <w:rFonts w:ascii="Times New Roman" w:hAnsi="Times New Roman" w:cs="Times New Roman"/>
          <w:color w:val="000000" w:themeColor="text1"/>
          <w:sz w:val="24"/>
          <w:szCs w:val="24"/>
        </w:rPr>
        <w:t>. 1º e 5º; art. 23, § 2º, da Lei nº 13.460/2017;</w:t>
      </w:r>
      <w:r w:rsidR="00705A22">
        <w:rPr>
          <w:rFonts w:ascii="Times New Roman" w:hAnsi="Times New Roman" w:cs="Times New Roman"/>
          <w:color w:val="000000" w:themeColor="text1"/>
          <w:sz w:val="24"/>
          <w:szCs w:val="24"/>
        </w:rPr>
        <w:t xml:space="preserve"> </w:t>
      </w:r>
      <w:r w:rsidR="00705A22" w:rsidRPr="00705A22">
        <w:rPr>
          <w:rFonts w:ascii="Times New Roman" w:hAnsi="Times New Roman" w:cs="Times New Roman"/>
          <w:color w:val="000000" w:themeColor="text1"/>
          <w:sz w:val="24"/>
          <w:szCs w:val="24"/>
        </w:rPr>
        <w:t>subitem 9.1.1.</w:t>
      </w:r>
      <w:r w:rsidR="00705A22">
        <w:rPr>
          <w:rFonts w:ascii="Times New Roman" w:hAnsi="Times New Roman" w:cs="Times New Roman"/>
          <w:color w:val="000000" w:themeColor="text1"/>
          <w:sz w:val="24"/>
          <w:szCs w:val="24"/>
        </w:rPr>
        <w:t>6</w:t>
      </w:r>
      <w:r w:rsidR="00705A22" w:rsidRPr="00705A22">
        <w:rPr>
          <w:rFonts w:ascii="Times New Roman" w:hAnsi="Times New Roman" w:cs="Times New Roman"/>
          <w:color w:val="000000" w:themeColor="text1"/>
          <w:sz w:val="24"/>
          <w:szCs w:val="24"/>
        </w:rPr>
        <w:t>, do Acórdão TCU Plenário nº 1.233/2012</w:t>
      </w:r>
      <w:r w:rsidR="00705A22">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e Referencial </w:t>
      </w:r>
      <w:r w:rsidR="00A52B84">
        <w:rPr>
          <w:rFonts w:ascii="Times New Roman" w:hAnsi="Times New Roman" w:cs="Times New Roman"/>
          <w:color w:val="000000" w:themeColor="text1"/>
          <w:sz w:val="24"/>
          <w:szCs w:val="24"/>
        </w:rPr>
        <w:t>B</w:t>
      </w:r>
      <w:r w:rsidRPr="00775054">
        <w:rPr>
          <w:rFonts w:ascii="Times New Roman" w:hAnsi="Times New Roman" w:cs="Times New Roman"/>
          <w:color w:val="000000" w:themeColor="text1"/>
          <w:sz w:val="24"/>
          <w:szCs w:val="24"/>
        </w:rPr>
        <w:t xml:space="preserve">ásico de </w:t>
      </w:r>
      <w:r w:rsidR="00A52B84">
        <w:rPr>
          <w:rFonts w:ascii="Times New Roman" w:hAnsi="Times New Roman" w:cs="Times New Roman"/>
          <w:color w:val="000000" w:themeColor="text1"/>
          <w:sz w:val="24"/>
          <w:szCs w:val="24"/>
        </w:rPr>
        <w:t>G</w:t>
      </w:r>
      <w:r w:rsidRPr="00775054">
        <w:rPr>
          <w:rFonts w:ascii="Times New Roman" w:hAnsi="Times New Roman" w:cs="Times New Roman"/>
          <w:color w:val="000000" w:themeColor="text1"/>
          <w:sz w:val="24"/>
          <w:szCs w:val="24"/>
        </w:rPr>
        <w:t>overnança aplicável a órgão</w:t>
      </w:r>
      <w:r w:rsidR="00A52B84">
        <w:rPr>
          <w:rFonts w:ascii="Times New Roman" w:hAnsi="Times New Roman" w:cs="Times New Roman"/>
          <w:color w:val="000000" w:themeColor="text1"/>
          <w:sz w:val="24"/>
          <w:szCs w:val="24"/>
        </w:rPr>
        <w:t>s</w:t>
      </w:r>
      <w:r w:rsidRPr="00775054">
        <w:rPr>
          <w:rFonts w:ascii="Times New Roman" w:hAnsi="Times New Roman" w:cs="Times New Roman"/>
          <w:color w:val="000000" w:themeColor="text1"/>
          <w:sz w:val="24"/>
          <w:szCs w:val="24"/>
        </w:rPr>
        <w:t xml:space="preserve"> e entidades da </w:t>
      </w:r>
      <w:r w:rsidR="00A52B84">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 xml:space="preserve">dministração </w:t>
      </w:r>
      <w:r w:rsidR="00A52B84">
        <w:rPr>
          <w:rFonts w:ascii="Times New Roman" w:hAnsi="Times New Roman" w:cs="Times New Roman"/>
          <w:color w:val="000000" w:themeColor="text1"/>
          <w:sz w:val="24"/>
          <w:szCs w:val="24"/>
        </w:rPr>
        <w:t>P</w:t>
      </w:r>
      <w:r w:rsidRPr="00775054">
        <w:rPr>
          <w:rFonts w:ascii="Times New Roman" w:hAnsi="Times New Roman" w:cs="Times New Roman"/>
          <w:color w:val="000000" w:themeColor="text1"/>
          <w:sz w:val="24"/>
          <w:szCs w:val="24"/>
        </w:rPr>
        <w:t>ública</w:t>
      </w:r>
      <w:r w:rsidR="00A52B84">
        <w:rPr>
          <w:rFonts w:ascii="Times New Roman" w:hAnsi="Times New Roman" w:cs="Times New Roman"/>
          <w:color w:val="000000" w:themeColor="text1"/>
          <w:sz w:val="24"/>
          <w:szCs w:val="24"/>
        </w:rPr>
        <w:t>, TCU,</w:t>
      </w:r>
      <w:r w:rsidRPr="00775054">
        <w:rPr>
          <w:rFonts w:ascii="Times New Roman" w:hAnsi="Times New Roman" w:cs="Times New Roman"/>
          <w:color w:val="000000" w:themeColor="text1"/>
          <w:sz w:val="24"/>
          <w:szCs w:val="24"/>
        </w:rPr>
        <w:t xml:space="preserve"> Versão 2 – 2014, Práticas </w:t>
      </w:r>
      <w:proofErr w:type="gramStart"/>
      <w:r w:rsidRPr="00775054">
        <w:rPr>
          <w:rFonts w:ascii="Times New Roman" w:hAnsi="Times New Roman" w:cs="Times New Roman"/>
          <w:color w:val="000000" w:themeColor="text1"/>
          <w:sz w:val="24"/>
          <w:szCs w:val="24"/>
        </w:rPr>
        <w:t>C3.</w:t>
      </w:r>
      <w:proofErr w:type="gramEnd"/>
      <w:r w:rsidRPr="00775054">
        <w:rPr>
          <w:rFonts w:ascii="Times New Roman" w:hAnsi="Times New Roman" w:cs="Times New Roman"/>
          <w:color w:val="000000" w:themeColor="text1"/>
          <w:sz w:val="24"/>
          <w:szCs w:val="24"/>
        </w:rPr>
        <w:t>1, E1.1, E1.2 e E1.4.</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C353EE" w:rsidRPr="00A52B84" w:rsidRDefault="00256405" w:rsidP="00256405">
      <w:pPr>
        <w:numPr>
          <w:ilvl w:val="4"/>
          <w:numId w:val="1"/>
        </w:numPr>
        <w:spacing w:after="0" w:line="240" w:lineRule="auto"/>
        <w:jc w:val="both"/>
        <w:rPr>
          <w:rFonts w:ascii="Times New Roman" w:hAnsi="Times New Roman" w:cs="Times New Roman"/>
          <w:i/>
          <w:color w:val="FF0000"/>
          <w:sz w:val="24"/>
          <w:szCs w:val="24"/>
        </w:rPr>
      </w:pPr>
      <w:r w:rsidRPr="00775054">
        <w:rPr>
          <w:rFonts w:ascii="Times New Roman" w:hAnsi="Times New Roman" w:cs="Times New Roman"/>
          <w:color w:val="000000" w:themeColor="text1"/>
          <w:sz w:val="24"/>
          <w:szCs w:val="24"/>
        </w:rPr>
        <w:t xml:space="preserve">Desatualização das informações relativas à estratégia organizacional e respectivos resultados da gestão, no sítio da internet; ausência de formalização ou sistematização de rotina de divulgação e atualização periódica de conteúdo, no sítio da Internet organizacional; </w:t>
      </w:r>
      <w:r w:rsidR="000E2633">
        <w:rPr>
          <w:rFonts w:ascii="Times New Roman" w:hAnsi="Times New Roman" w:cs="Times New Roman"/>
          <w:color w:val="000000" w:themeColor="text1"/>
          <w:sz w:val="24"/>
          <w:szCs w:val="24"/>
        </w:rPr>
        <w:t xml:space="preserve">e </w:t>
      </w:r>
      <w:r w:rsidR="00A52B84">
        <w:rPr>
          <w:rFonts w:ascii="Times New Roman" w:hAnsi="Times New Roman" w:cs="Times New Roman"/>
          <w:color w:val="000000" w:themeColor="text1"/>
          <w:sz w:val="24"/>
          <w:szCs w:val="24"/>
        </w:rPr>
        <w:t>utilização de linguagem de compreensão limitada para a sociedade em geral, quando da disponibilização de informações afetas à estratégia organizacional</w:t>
      </w:r>
      <w:r w:rsidR="000E2633">
        <w:rPr>
          <w:rFonts w:ascii="Times New Roman" w:hAnsi="Times New Roman" w:cs="Times New Roman"/>
          <w:color w:val="000000" w:themeColor="text1"/>
          <w:sz w:val="24"/>
          <w:szCs w:val="24"/>
        </w:rPr>
        <w:t>.</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C353EE" w:rsidRPr="005C052E" w:rsidRDefault="00256405" w:rsidP="00256405">
      <w:pPr>
        <w:numPr>
          <w:ilvl w:val="4"/>
          <w:numId w:val="1"/>
        </w:numPr>
        <w:spacing w:after="0" w:line="240" w:lineRule="auto"/>
        <w:jc w:val="both"/>
        <w:rPr>
          <w:rFonts w:ascii="Times New Roman" w:hAnsi="Times New Roman" w:cs="Times New Roman"/>
          <w:i/>
          <w:color w:val="000000" w:themeColor="text1"/>
          <w:spacing w:val="-2"/>
          <w:sz w:val="24"/>
          <w:szCs w:val="24"/>
        </w:rPr>
      </w:pPr>
      <w:r w:rsidRPr="00775054">
        <w:rPr>
          <w:rFonts w:ascii="Times New Roman" w:hAnsi="Times New Roman" w:cs="Times New Roman"/>
          <w:color w:val="000000" w:themeColor="text1"/>
          <w:sz w:val="24"/>
          <w:szCs w:val="24"/>
        </w:rPr>
        <w:t>Prejuízo ao fomento à cultura da transparência, no âmbito organizacional; comprometimento da divulgação das informações de interesse público, independentemente de formalização de requerimentos; prejuízo ao desenvolvimento do controle social da Administração Pública; comprometimento do cumprimento das obrigações de prestação de contas da gestão de recursos públicos por meio da asseguração de divulgação de informação primária, íntegra, autêntica e atualizada; obtenção de informações equivocadas pelos usuários; e dificuldade na obtenção de informações</w:t>
      </w:r>
      <w:r w:rsidR="00A52B84">
        <w:rPr>
          <w:rFonts w:ascii="Times New Roman" w:hAnsi="Times New Roman" w:cs="Times New Roman"/>
          <w:color w:val="000000" w:themeColor="text1"/>
          <w:sz w:val="24"/>
          <w:szCs w:val="24"/>
        </w:rPr>
        <w:t xml:space="preserve"> </w:t>
      </w:r>
      <w:r w:rsidR="00A52B84" w:rsidRPr="005C052E">
        <w:rPr>
          <w:rFonts w:ascii="Times New Roman" w:hAnsi="Times New Roman" w:cs="Times New Roman"/>
          <w:color w:val="000000" w:themeColor="text1"/>
          <w:sz w:val="24"/>
          <w:szCs w:val="24"/>
        </w:rPr>
        <w:t>pela sociedade em geral e órgãos de controle.</w:t>
      </w:r>
    </w:p>
    <w:p w:rsidR="00C353EE" w:rsidRPr="00775054" w:rsidRDefault="00C353EE"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C353EE" w:rsidRPr="00D819FE" w:rsidRDefault="00256405" w:rsidP="00256405">
      <w:pPr>
        <w:numPr>
          <w:ilvl w:val="4"/>
          <w:numId w:val="1"/>
        </w:numPr>
        <w:spacing w:after="0" w:line="240" w:lineRule="auto"/>
        <w:jc w:val="both"/>
        <w:rPr>
          <w:rFonts w:ascii="Times New Roman" w:hAnsi="Times New Roman" w:cs="Times New Roman"/>
          <w:i/>
          <w:sz w:val="24"/>
          <w:szCs w:val="24"/>
        </w:rPr>
      </w:pPr>
      <w:r w:rsidRPr="00775054">
        <w:rPr>
          <w:rFonts w:ascii="Times New Roman" w:hAnsi="Times New Roman" w:cs="Times New Roman"/>
          <w:color w:val="000000" w:themeColor="text1"/>
          <w:sz w:val="24"/>
          <w:szCs w:val="24"/>
        </w:rPr>
        <w:t xml:space="preserve">Resolução TRE-BA nº 14/2015 e respectiva formulação </w:t>
      </w:r>
      <w:proofErr w:type="gramStart"/>
      <w:r w:rsidRPr="00775054">
        <w:rPr>
          <w:rFonts w:ascii="Times New Roman" w:hAnsi="Times New Roman" w:cs="Times New Roman"/>
          <w:color w:val="000000" w:themeColor="text1"/>
          <w:sz w:val="24"/>
          <w:szCs w:val="24"/>
        </w:rPr>
        <w:t>estratégica divulgados</w:t>
      </w:r>
      <w:proofErr w:type="gramEnd"/>
      <w:r w:rsidRPr="00775054">
        <w:rPr>
          <w:rFonts w:ascii="Times New Roman" w:hAnsi="Times New Roman" w:cs="Times New Roman"/>
          <w:color w:val="000000" w:themeColor="text1"/>
          <w:sz w:val="24"/>
          <w:szCs w:val="24"/>
        </w:rPr>
        <w:t xml:space="preserve"> no sítio eletrônico do TRE-BA, na Internet, disponível em http://www.tre-ba.jus.br/o-tre/planejamento-estrategico/planejamento-estrategico-1, acesso em 15/12/2017; Relatórios de Gestão do TRE-BA relativos aos exercícios 2012, 2013, 2014, 2015 e 2016, divulgados no Portal da Transparência do TRE-BA, disponível em http://www.tre-ba.jus.br/transparencia/processos-de-contas-anuais/relatorio-de-gestao-anual, acesso em 15/12/2017</w:t>
      </w:r>
      <w:r w:rsidR="000C0977">
        <w:rPr>
          <w:rFonts w:ascii="Times New Roman" w:hAnsi="Times New Roman" w:cs="Times New Roman"/>
          <w:color w:val="000000" w:themeColor="text1"/>
          <w:sz w:val="24"/>
          <w:szCs w:val="24"/>
        </w:rPr>
        <w:t xml:space="preserve">; e </w:t>
      </w:r>
      <w:proofErr w:type="spellStart"/>
      <w:r w:rsidR="000C0977" w:rsidRPr="00D819FE">
        <w:rPr>
          <w:rFonts w:ascii="Times New Roman" w:hAnsi="Times New Roman" w:cs="Times New Roman"/>
          <w:sz w:val="24"/>
          <w:szCs w:val="24"/>
        </w:rPr>
        <w:t>PADs</w:t>
      </w:r>
      <w:proofErr w:type="spellEnd"/>
      <w:r w:rsidR="000C0977" w:rsidRPr="00D819FE">
        <w:rPr>
          <w:rFonts w:ascii="Times New Roman" w:hAnsi="Times New Roman" w:cs="Times New Roman"/>
          <w:sz w:val="24"/>
          <w:szCs w:val="24"/>
        </w:rPr>
        <w:t xml:space="preserve"> nº 1.307/2018 (Doc. 23.874/2018), 1.307/2018</w:t>
      </w:r>
      <w:r w:rsidR="00366A84" w:rsidRPr="00D819FE">
        <w:rPr>
          <w:rFonts w:ascii="Times New Roman" w:hAnsi="Times New Roman" w:cs="Times New Roman"/>
          <w:sz w:val="24"/>
          <w:szCs w:val="24"/>
        </w:rPr>
        <w:t xml:space="preserve"> (Doc. nº 23.874/2018), 1.315/2018 (Doc. nº 19.636/2018), 1.315/2018 (Doc. nº 19.636/2018), 1.327/2018 (Doc. nº 22.254/2018), 4.727/2018 (Doc. nº 80.064/2018)</w:t>
      </w:r>
      <w:r w:rsidR="00363087" w:rsidRPr="00D819FE">
        <w:rPr>
          <w:rFonts w:ascii="Times New Roman" w:hAnsi="Times New Roman" w:cs="Times New Roman"/>
          <w:sz w:val="24"/>
          <w:szCs w:val="24"/>
        </w:rPr>
        <w:t>.</w:t>
      </w:r>
      <w:r w:rsidR="00366A84" w:rsidRPr="00D819FE">
        <w:rPr>
          <w:rFonts w:ascii="Times New Roman" w:hAnsi="Times New Roman" w:cs="Times New Roman"/>
          <w:sz w:val="24"/>
          <w:szCs w:val="24"/>
        </w:rPr>
        <w:t xml:space="preserve"> </w:t>
      </w:r>
    </w:p>
    <w:p w:rsidR="008508FF" w:rsidRPr="00775054" w:rsidRDefault="008508FF" w:rsidP="008508FF">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responsáveis:</w:t>
      </w:r>
    </w:p>
    <w:p w:rsidR="008508FF" w:rsidRPr="00CB1B59" w:rsidRDefault="006A3BC9" w:rsidP="006A3BC9">
      <w:pPr>
        <w:numPr>
          <w:ilvl w:val="4"/>
          <w:numId w:val="1"/>
        </w:numPr>
        <w:spacing w:after="0" w:line="240" w:lineRule="auto"/>
        <w:jc w:val="both"/>
        <w:rPr>
          <w:rFonts w:ascii="Times New Roman" w:hAnsi="Times New Roman" w:cs="Times New Roman"/>
          <w:i/>
          <w:color w:val="000000" w:themeColor="text1"/>
          <w:spacing w:val="-4"/>
          <w:sz w:val="24"/>
          <w:szCs w:val="24"/>
        </w:rPr>
      </w:pPr>
      <w:r w:rsidRPr="00CB1B59">
        <w:rPr>
          <w:rFonts w:ascii="Times New Roman" w:hAnsi="Times New Roman" w:cs="Times New Roman"/>
          <w:color w:val="000000" w:themeColor="text1"/>
          <w:spacing w:val="-4"/>
          <w:sz w:val="24"/>
          <w:szCs w:val="24"/>
        </w:rPr>
        <w:t>Em resposta à RDI nº 6/2018 (PAD nº 1.307/2018, Doc. nº 23.874/2018), a Diretora</w:t>
      </w:r>
      <w:r w:rsidR="00A52B84" w:rsidRPr="00CB1B59">
        <w:rPr>
          <w:rFonts w:ascii="Times New Roman" w:hAnsi="Times New Roman" w:cs="Times New Roman"/>
          <w:color w:val="000000" w:themeColor="text1"/>
          <w:spacing w:val="-4"/>
          <w:sz w:val="24"/>
          <w:szCs w:val="24"/>
        </w:rPr>
        <w:t>-</w:t>
      </w:r>
      <w:r w:rsidRPr="00CB1B59">
        <w:rPr>
          <w:rFonts w:ascii="Times New Roman" w:hAnsi="Times New Roman" w:cs="Times New Roman"/>
          <w:color w:val="000000" w:themeColor="text1"/>
          <w:spacing w:val="-4"/>
          <w:sz w:val="24"/>
          <w:szCs w:val="24"/>
        </w:rPr>
        <w:t xml:space="preserve">Geral informou que as recomendações </w:t>
      </w:r>
      <w:r w:rsidR="00A52B84" w:rsidRPr="00CB1B59">
        <w:rPr>
          <w:rFonts w:ascii="Times New Roman" w:hAnsi="Times New Roman" w:cs="Times New Roman"/>
          <w:color w:val="000000" w:themeColor="text1"/>
          <w:spacing w:val="-4"/>
          <w:sz w:val="24"/>
          <w:szCs w:val="24"/>
        </w:rPr>
        <w:t xml:space="preserve">para saneamento das fragilidades evidenciadas </w:t>
      </w:r>
      <w:r w:rsidRPr="00CB1B59">
        <w:rPr>
          <w:rFonts w:ascii="Times New Roman" w:hAnsi="Times New Roman" w:cs="Times New Roman"/>
          <w:color w:val="000000" w:themeColor="text1"/>
          <w:spacing w:val="-4"/>
          <w:sz w:val="24"/>
          <w:szCs w:val="24"/>
        </w:rPr>
        <w:t>serão feitas por meio de PAD em trâmite colaborativo</w:t>
      </w:r>
      <w:r w:rsidR="007C6F2A" w:rsidRPr="00CB1B59">
        <w:rPr>
          <w:rFonts w:ascii="Times New Roman" w:hAnsi="Times New Roman" w:cs="Times New Roman"/>
          <w:color w:val="000000" w:themeColor="text1"/>
          <w:spacing w:val="-4"/>
          <w:sz w:val="24"/>
          <w:szCs w:val="24"/>
        </w:rPr>
        <w:t>.</w:t>
      </w:r>
    </w:p>
    <w:p w:rsidR="00A63358" w:rsidRPr="00775054" w:rsidRDefault="00A63358" w:rsidP="006A3BC9">
      <w:pPr>
        <w:numPr>
          <w:ilvl w:val="4"/>
          <w:numId w:val="1"/>
        </w:numPr>
        <w:spacing w:after="0" w:line="240" w:lineRule="auto"/>
        <w:jc w:val="both"/>
        <w:rPr>
          <w:rFonts w:ascii="Times New Roman" w:hAnsi="Times New Roman" w:cs="Times New Roman"/>
          <w:i/>
          <w:color w:val="000000" w:themeColor="text1"/>
          <w:sz w:val="24"/>
          <w:szCs w:val="24"/>
        </w:rPr>
      </w:pPr>
      <w:r w:rsidRPr="00775054">
        <w:rPr>
          <w:rFonts w:ascii="Times New Roman" w:hAnsi="Times New Roman" w:cs="Times New Roman"/>
          <w:color w:val="000000" w:themeColor="text1"/>
          <w:sz w:val="24"/>
          <w:szCs w:val="24"/>
        </w:rPr>
        <w:t>Em resposta à RDI nº 10/2018 (PAD nº 1.315/2018, Doc. nº 19.636/2018), o Presidente da COMINT informou que ficou acertado com a COPEG/SEPLANE</w:t>
      </w:r>
      <w:r w:rsidR="002B124D" w:rsidRPr="00775054">
        <w:rPr>
          <w:rFonts w:ascii="Times New Roman" w:hAnsi="Times New Roman" w:cs="Times New Roman"/>
          <w:color w:val="000000" w:themeColor="text1"/>
          <w:sz w:val="24"/>
          <w:szCs w:val="24"/>
        </w:rPr>
        <w:t xml:space="preserve"> reunião para verificar as providências necessárias e possíveis para ajustar o quanto pontuado pela SCI/SEAUD no que concerne </w:t>
      </w:r>
      <w:r w:rsidR="00A52B84">
        <w:rPr>
          <w:rFonts w:ascii="Times New Roman" w:hAnsi="Times New Roman" w:cs="Times New Roman"/>
          <w:color w:val="000000" w:themeColor="text1"/>
          <w:sz w:val="24"/>
          <w:szCs w:val="24"/>
        </w:rPr>
        <w:t>à</w:t>
      </w:r>
      <w:r w:rsidR="002B124D" w:rsidRPr="00775054">
        <w:rPr>
          <w:rFonts w:ascii="Times New Roman" w:hAnsi="Times New Roman" w:cs="Times New Roman"/>
          <w:color w:val="000000" w:themeColor="text1"/>
          <w:sz w:val="24"/>
          <w:szCs w:val="24"/>
        </w:rPr>
        <w:t>s atribuições da Comissão.</w:t>
      </w:r>
    </w:p>
    <w:p w:rsidR="0077238C" w:rsidRDefault="00553E4C" w:rsidP="00553E4C">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lastRenderedPageBreak/>
        <w:t>Em resposta à RDI nº 14/2018 (PAD nº 1.327/2018, Doc. nº 22.254/2018),</w:t>
      </w:r>
      <w:r w:rsidR="00F13D94" w:rsidRPr="00775054">
        <w:rPr>
          <w:rFonts w:ascii="Times New Roman" w:hAnsi="Times New Roman" w:cs="Times New Roman"/>
          <w:color w:val="000000" w:themeColor="text1"/>
          <w:sz w:val="24"/>
          <w:szCs w:val="24"/>
        </w:rPr>
        <w:t xml:space="preserve"> a Ouvidoria informou que foi encaminhada à Presidência sugestão de constituição de grupo de trabalho multidisciplinar visando à regulamentação interna da Lei</w:t>
      </w:r>
      <w:r w:rsidR="000B69EA">
        <w:rPr>
          <w:rFonts w:ascii="Times New Roman" w:hAnsi="Times New Roman" w:cs="Times New Roman"/>
          <w:color w:val="000000" w:themeColor="text1"/>
          <w:sz w:val="24"/>
          <w:szCs w:val="24"/>
        </w:rPr>
        <w:t xml:space="preserve"> nº</w:t>
      </w:r>
      <w:r w:rsidR="00F13D94" w:rsidRPr="00775054">
        <w:rPr>
          <w:rFonts w:ascii="Times New Roman" w:hAnsi="Times New Roman" w:cs="Times New Roman"/>
          <w:color w:val="000000" w:themeColor="text1"/>
          <w:sz w:val="24"/>
          <w:szCs w:val="24"/>
        </w:rPr>
        <w:t xml:space="preserve"> 13.460/2017, por meio do PAD nº 1.600/2018, tendo em vista </w:t>
      </w:r>
      <w:r w:rsidR="00A52B84">
        <w:rPr>
          <w:rFonts w:ascii="Times New Roman" w:hAnsi="Times New Roman" w:cs="Times New Roman"/>
          <w:color w:val="000000" w:themeColor="text1"/>
          <w:sz w:val="24"/>
          <w:szCs w:val="24"/>
        </w:rPr>
        <w:t>a</w:t>
      </w:r>
      <w:r w:rsidR="00F13D94" w:rsidRPr="00775054">
        <w:rPr>
          <w:rFonts w:ascii="Times New Roman" w:hAnsi="Times New Roman" w:cs="Times New Roman"/>
          <w:color w:val="000000" w:themeColor="text1"/>
          <w:sz w:val="24"/>
          <w:szCs w:val="24"/>
        </w:rPr>
        <w:t xml:space="preserve"> sua </w:t>
      </w:r>
      <w:proofErr w:type="gramStart"/>
      <w:r w:rsidR="00F13D94" w:rsidRPr="00775054">
        <w:rPr>
          <w:rFonts w:ascii="Times New Roman" w:hAnsi="Times New Roman" w:cs="Times New Roman"/>
          <w:color w:val="000000" w:themeColor="text1"/>
          <w:sz w:val="24"/>
          <w:szCs w:val="24"/>
        </w:rPr>
        <w:t>implementação</w:t>
      </w:r>
      <w:proofErr w:type="gramEnd"/>
      <w:r w:rsidR="00F13D94" w:rsidRPr="00775054">
        <w:rPr>
          <w:rFonts w:ascii="Times New Roman" w:hAnsi="Times New Roman" w:cs="Times New Roman"/>
          <w:color w:val="000000" w:themeColor="text1"/>
          <w:sz w:val="24"/>
          <w:szCs w:val="24"/>
        </w:rPr>
        <w:t xml:space="preserve"> e que a Unidade vem buscando</w:t>
      </w:r>
      <w:r w:rsidR="00A52B84">
        <w:rPr>
          <w:rFonts w:ascii="Times New Roman" w:hAnsi="Times New Roman" w:cs="Times New Roman"/>
          <w:color w:val="000000" w:themeColor="text1"/>
          <w:sz w:val="24"/>
          <w:szCs w:val="24"/>
        </w:rPr>
        <w:t>,</w:t>
      </w:r>
      <w:r w:rsidR="00F13D94" w:rsidRPr="00775054">
        <w:rPr>
          <w:rFonts w:ascii="Times New Roman" w:hAnsi="Times New Roman" w:cs="Times New Roman"/>
          <w:color w:val="000000" w:themeColor="text1"/>
          <w:sz w:val="24"/>
          <w:szCs w:val="24"/>
        </w:rPr>
        <w:t xml:space="preserve"> juntamente com a COPEG</w:t>
      </w:r>
      <w:r w:rsidR="00A52B84">
        <w:rPr>
          <w:rFonts w:ascii="Times New Roman" w:hAnsi="Times New Roman" w:cs="Times New Roman"/>
          <w:color w:val="000000" w:themeColor="text1"/>
          <w:sz w:val="24"/>
          <w:szCs w:val="24"/>
        </w:rPr>
        <w:t>,</w:t>
      </w:r>
      <w:r w:rsidR="00F13D94" w:rsidRPr="00775054">
        <w:rPr>
          <w:rFonts w:ascii="Times New Roman" w:hAnsi="Times New Roman" w:cs="Times New Roman"/>
          <w:color w:val="000000" w:themeColor="text1"/>
          <w:sz w:val="24"/>
          <w:szCs w:val="24"/>
        </w:rPr>
        <w:t xml:space="preserve"> traçar plano de ação voltado </w:t>
      </w:r>
      <w:r w:rsidR="00A52B84">
        <w:rPr>
          <w:rFonts w:ascii="Times New Roman" w:hAnsi="Times New Roman" w:cs="Times New Roman"/>
          <w:color w:val="000000" w:themeColor="text1"/>
          <w:sz w:val="24"/>
          <w:szCs w:val="24"/>
        </w:rPr>
        <w:t>a</w:t>
      </w:r>
      <w:r w:rsidR="00F13D94" w:rsidRPr="00775054">
        <w:rPr>
          <w:rFonts w:ascii="Times New Roman" w:hAnsi="Times New Roman" w:cs="Times New Roman"/>
          <w:color w:val="000000" w:themeColor="text1"/>
          <w:sz w:val="24"/>
          <w:szCs w:val="24"/>
        </w:rPr>
        <w:t xml:space="preserve"> sua efetivação.</w:t>
      </w:r>
    </w:p>
    <w:p w:rsidR="00553E4C" w:rsidRPr="00D819FE" w:rsidRDefault="0077238C" w:rsidP="007E6B9B">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 xml:space="preserve">Em resposta à RDI Circular nº 5/2018 (PAD nº 4.727/2018, Doc. nº 80.064/2018), a COPEG esclareceu que por meio da Seção de Planejamento (SEPLANE), em atendimento ao quanto disposto no art. 40, VIII, da Resolução Administrativa n.º 5/2013 do TRE-BA, disponibiliza, anualmente, o “Relatório da Gestão Estratégica” e que </w:t>
      </w:r>
      <w:r w:rsidR="007E6B9B" w:rsidRPr="00D819FE">
        <w:rPr>
          <w:rFonts w:ascii="Times New Roman" w:hAnsi="Times New Roman" w:cs="Times New Roman"/>
          <w:sz w:val="24"/>
          <w:szCs w:val="24"/>
        </w:rPr>
        <w:t>o</w:t>
      </w:r>
      <w:r w:rsidRPr="00D819FE">
        <w:rPr>
          <w:rFonts w:ascii="Times New Roman" w:hAnsi="Times New Roman" w:cs="Times New Roman"/>
          <w:sz w:val="24"/>
          <w:szCs w:val="24"/>
        </w:rPr>
        <w:t xml:space="preserve"> relatório evidencia o desempenho deste Regional frente ao definido no Planejamento Estratégico Institucional vigente para o período de 2016-2021, conforme Resolução Administrativa nº 14 de 14 de dezembro de 2015</w:t>
      </w:r>
      <w:r w:rsidR="007E6B9B" w:rsidRPr="00D819FE">
        <w:rPr>
          <w:rFonts w:ascii="Times New Roman" w:hAnsi="Times New Roman" w:cs="Times New Roman"/>
          <w:sz w:val="24"/>
          <w:szCs w:val="24"/>
        </w:rPr>
        <w:t>, sendo o</w:t>
      </w:r>
      <w:r w:rsidRPr="00D819FE">
        <w:rPr>
          <w:rFonts w:ascii="Times New Roman" w:hAnsi="Times New Roman" w:cs="Times New Roman"/>
          <w:sz w:val="24"/>
          <w:szCs w:val="24"/>
        </w:rPr>
        <w:t xml:space="preserve"> relatório</w:t>
      </w:r>
      <w:r w:rsidR="007E6B9B" w:rsidRPr="00D819FE">
        <w:rPr>
          <w:rFonts w:ascii="Times New Roman" w:hAnsi="Times New Roman" w:cs="Times New Roman"/>
          <w:sz w:val="24"/>
          <w:szCs w:val="24"/>
        </w:rPr>
        <w:t xml:space="preserve"> </w:t>
      </w:r>
      <w:r w:rsidRPr="00D819FE">
        <w:rPr>
          <w:rFonts w:ascii="Times New Roman" w:hAnsi="Times New Roman" w:cs="Times New Roman"/>
          <w:sz w:val="24"/>
          <w:szCs w:val="24"/>
        </w:rPr>
        <w:t>disponibilizado na Intranet do TRE-BA.</w:t>
      </w:r>
      <w:r w:rsidR="007E6B9B" w:rsidRPr="00D819FE">
        <w:rPr>
          <w:rFonts w:ascii="Times New Roman" w:hAnsi="Times New Roman" w:cs="Times New Roman"/>
          <w:sz w:val="24"/>
          <w:szCs w:val="24"/>
        </w:rPr>
        <w:t xml:space="preserve"> Ressaltou que o Relatório de Gestão publicado, anualmente, na Internet contempla, em item especifico, os resultados da Gestão Estratégica para a sociedade.</w:t>
      </w:r>
    </w:p>
    <w:p w:rsidR="007E6B9B" w:rsidRDefault="007E6B9B" w:rsidP="007E6B9B">
      <w:pPr>
        <w:numPr>
          <w:ilvl w:val="4"/>
          <w:numId w:val="1"/>
        </w:numPr>
        <w:spacing w:after="0" w:line="240" w:lineRule="auto"/>
        <w:jc w:val="both"/>
        <w:rPr>
          <w:rFonts w:ascii="Times New Roman" w:hAnsi="Times New Roman" w:cs="Times New Roman"/>
          <w:color w:val="548DD4" w:themeColor="text2" w:themeTint="99"/>
          <w:sz w:val="24"/>
          <w:szCs w:val="24"/>
        </w:rPr>
      </w:pPr>
      <w:r w:rsidRPr="00D819FE">
        <w:rPr>
          <w:rFonts w:ascii="Times New Roman" w:hAnsi="Times New Roman" w:cs="Times New Roman"/>
          <w:sz w:val="24"/>
          <w:szCs w:val="24"/>
        </w:rPr>
        <w:t>Esclareceu que, com relação ao monitoramento, no exercício de 2017, as atualizações no PEI do TRE-BA foram processadas na RAE realizada em 21 de agosto de 2017, conforme PAD nº 12.395/2017 e que, na oportunidade, foi disponibilizado, previamente, aos gestores relatório gerencial referente ao 1º semestre, contemplando os resultados da gestão, bem como sugerindo adoção de medidas necessárias ao alcance dos objetivos traçados para o período. Para assegurar o cumprimento das deliberações ocorridas durante a RAE, foi elaborado plano de ação, conforme PAD</w:t>
      </w:r>
      <w:r w:rsidR="00701317" w:rsidRPr="00D819FE">
        <w:rPr>
          <w:rFonts w:ascii="Times New Roman" w:hAnsi="Times New Roman" w:cs="Times New Roman"/>
          <w:sz w:val="24"/>
          <w:szCs w:val="24"/>
        </w:rPr>
        <w:t xml:space="preserve"> nº</w:t>
      </w:r>
      <w:r w:rsidRPr="00D819FE">
        <w:rPr>
          <w:rFonts w:ascii="Times New Roman" w:hAnsi="Times New Roman" w:cs="Times New Roman"/>
          <w:sz w:val="24"/>
          <w:szCs w:val="24"/>
        </w:rPr>
        <w:t xml:space="preserve"> 12.395/2017</w:t>
      </w:r>
      <w:r w:rsidRPr="007E6B9B">
        <w:rPr>
          <w:rFonts w:ascii="Times New Roman" w:hAnsi="Times New Roman" w:cs="Times New Roman"/>
          <w:color w:val="548DD4" w:themeColor="text2" w:themeTint="99"/>
          <w:sz w:val="24"/>
          <w:szCs w:val="24"/>
        </w:rPr>
        <w:t xml:space="preserve">. </w:t>
      </w:r>
      <w:r w:rsidR="00701317" w:rsidRPr="00D819FE">
        <w:rPr>
          <w:rFonts w:ascii="Times New Roman" w:hAnsi="Times New Roman" w:cs="Times New Roman"/>
          <w:sz w:val="24"/>
          <w:szCs w:val="24"/>
        </w:rPr>
        <w:t>Acrescentou</w:t>
      </w:r>
      <w:r w:rsidR="00287397" w:rsidRPr="00D819FE">
        <w:rPr>
          <w:rFonts w:ascii="Times New Roman" w:hAnsi="Times New Roman" w:cs="Times New Roman"/>
          <w:sz w:val="24"/>
          <w:szCs w:val="24"/>
        </w:rPr>
        <w:t xml:space="preserve"> ainda</w:t>
      </w:r>
      <w:r w:rsidR="00701317" w:rsidRPr="00D819FE">
        <w:rPr>
          <w:rFonts w:ascii="Times New Roman" w:hAnsi="Times New Roman" w:cs="Times New Roman"/>
          <w:sz w:val="24"/>
          <w:szCs w:val="24"/>
        </w:rPr>
        <w:t xml:space="preserve"> que, p</w:t>
      </w:r>
      <w:r w:rsidRPr="00D819FE">
        <w:rPr>
          <w:rFonts w:ascii="Times New Roman" w:hAnsi="Times New Roman" w:cs="Times New Roman"/>
          <w:sz w:val="24"/>
          <w:szCs w:val="24"/>
        </w:rPr>
        <w:t xml:space="preserve">osteriormente, disponibilizou uma análise mais atualizada do desempenho da gestão referente ao terceiro trimestre do exercício </w:t>
      </w:r>
      <w:r w:rsidR="00701317" w:rsidRPr="00D819FE">
        <w:rPr>
          <w:rFonts w:ascii="Times New Roman" w:hAnsi="Times New Roman" w:cs="Times New Roman"/>
          <w:sz w:val="24"/>
          <w:szCs w:val="24"/>
        </w:rPr>
        <w:t>(</w:t>
      </w:r>
      <w:r w:rsidRPr="00D819FE">
        <w:rPr>
          <w:rFonts w:ascii="Times New Roman" w:hAnsi="Times New Roman" w:cs="Times New Roman"/>
          <w:sz w:val="24"/>
          <w:szCs w:val="24"/>
        </w:rPr>
        <w:t>PAD Processo nº 16</w:t>
      </w:r>
      <w:r w:rsidR="0054790E" w:rsidRPr="00D819FE">
        <w:rPr>
          <w:rFonts w:ascii="Times New Roman" w:hAnsi="Times New Roman" w:cs="Times New Roman"/>
          <w:sz w:val="24"/>
          <w:szCs w:val="24"/>
        </w:rPr>
        <w:t>.</w:t>
      </w:r>
      <w:r w:rsidRPr="00D819FE">
        <w:rPr>
          <w:rFonts w:ascii="Times New Roman" w:hAnsi="Times New Roman" w:cs="Times New Roman"/>
          <w:sz w:val="24"/>
          <w:szCs w:val="24"/>
        </w:rPr>
        <w:t>616/2017</w:t>
      </w:r>
      <w:r w:rsidR="00701317" w:rsidRPr="00D819FE">
        <w:rPr>
          <w:rFonts w:ascii="Times New Roman" w:hAnsi="Times New Roman" w:cs="Times New Roman"/>
          <w:sz w:val="24"/>
          <w:szCs w:val="24"/>
        </w:rPr>
        <w:t>)</w:t>
      </w:r>
      <w:r w:rsidRPr="00D819FE">
        <w:rPr>
          <w:rFonts w:ascii="Times New Roman" w:hAnsi="Times New Roman" w:cs="Times New Roman"/>
          <w:sz w:val="24"/>
          <w:szCs w:val="24"/>
        </w:rPr>
        <w:t>.</w:t>
      </w:r>
    </w:p>
    <w:p w:rsidR="007E6B9B" w:rsidRDefault="007E6B9B" w:rsidP="007E6B9B">
      <w:pPr>
        <w:numPr>
          <w:ilvl w:val="4"/>
          <w:numId w:val="1"/>
        </w:numPr>
        <w:spacing w:after="0" w:line="240" w:lineRule="auto"/>
        <w:jc w:val="both"/>
        <w:rPr>
          <w:rFonts w:ascii="Times New Roman" w:hAnsi="Times New Roman" w:cs="Times New Roman"/>
          <w:color w:val="548DD4" w:themeColor="text2" w:themeTint="99"/>
          <w:sz w:val="24"/>
          <w:szCs w:val="24"/>
        </w:rPr>
      </w:pPr>
      <w:r w:rsidRPr="00D819FE">
        <w:rPr>
          <w:rFonts w:ascii="Times New Roman" w:hAnsi="Times New Roman" w:cs="Times New Roman"/>
          <w:sz w:val="24"/>
          <w:szCs w:val="24"/>
        </w:rPr>
        <w:t>Salientou que serão aperfeiçoados os mecanismos para publicação e atualização de conteúdos atinentes à estratégia organizacional, nos Portais da Internet e Intranet do Tribunal, contemplando, inclusive, revisões de direcionadores, iniciativas e indicadores de desempenho estratégicos resultantes de deliberações do Pleno ou do Comitê Gestor do Planejamento Estratégico (CGPE), bem como resultados parciais e integrais apurados em monitoramento.</w:t>
      </w:r>
    </w:p>
    <w:p w:rsidR="007E6B9B" w:rsidRPr="00D819FE" w:rsidRDefault="007E6B9B" w:rsidP="007E6B9B">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Informou, por fim, que foi publicada</w:t>
      </w:r>
      <w:r w:rsidR="00701317" w:rsidRPr="00D819FE">
        <w:rPr>
          <w:rFonts w:ascii="Times New Roman" w:hAnsi="Times New Roman" w:cs="Times New Roman"/>
          <w:sz w:val="24"/>
          <w:szCs w:val="24"/>
        </w:rPr>
        <w:t>,</w:t>
      </w:r>
      <w:r w:rsidRPr="00D819FE">
        <w:rPr>
          <w:rFonts w:ascii="Times New Roman" w:hAnsi="Times New Roman" w:cs="Times New Roman"/>
          <w:sz w:val="24"/>
          <w:szCs w:val="24"/>
        </w:rPr>
        <w:t xml:space="preserve"> em 27 de março de 2018, a </w:t>
      </w:r>
      <w:r w:rsidR="00701317" w:rsidRPr="00D819FE">
        <w:rPr>
          <w:rFonts w:ascii="Times New Roman" w:hAnsi="Times New Roman" w:cs="Times New Roman"/>
          <w:sz w:val="24"/>
          <w:szCs w:val="24"/>
        </w:rPr>
        <w:t>P</w:t>
      </w:r>
      <w:r w:rsidRPr="00D819FE">
        <w:rPr>
          <w:rFonts w:ascii="Times New Roman" w:hAnsi="Times New Roman" w:cs="Times New Roman"/>
          <w:sz w:val="24"/>
          <w:szCs w:val="24"/>
        </w:rPr>
        <w:t>ortaria</w:t>
      </w:r>
      <w:r w:rsidR="0054790E" w:rsidRPr="00D819FE">
        <w:rPr>
          <w:rFonts w:ascii="Times New Roman" w:hAnsi="Times New Roman" w:cs="Times New Roman"/>
          <w:sz w:val="24"/>
          <w:szCs w:val="24"/>
        </w:rPr>
        <w:t xml:space="preserve"> da Presidência</w:t>
      </w:r>
      <w:r w:rsidRPr="00D819FE">
        <w:rPr>
          <w:rFonts w:ascii="Times New Roman" w:hAnsi="Times New Roman" w:cs="Times New Roman"/>
          <w:sz w:val="24"/>
          <w:szCs w:val="24"/>
        </w:rPr>
        <w:t xml:space="preserve"> nº 160, designando </w:t>
      </w:r>
      <w:r w:rsidRPr="00D819FE">
        <w:rPr>
          <w:rFonts w:ascii="Times New Roman" w:hAnsi="Times New Roman" w:cs="Times New Roman"/>
          <w:strike/>
          <w:sz w:val="24"/>
          <w:szCs w:val="24"/>
        </w:rPr>
        <w:t>a</w:t>
      </w:r>
      <w:r w:rsidRPr="00D819FE">
        <w:rPr>
          <w:rFonts w:ascii="Times New Roman" w:hAnsi="Times New Roman" w:cs="Times New Roman"/>
          <w:sz w:val="24"/>
          <w:szCs w:val="24"/>
        </w:rPr>
        <w:t xml:space="preserve"> comissão para elaboração de normativo de regulamentação da Lei 13.460, instituindo-se prazo de 45 (quarenta e cinco) dias para sua conclusão. Tal normativo implicará reexame dos moldes da avaliação da satisfação dos usuários desta Justiça Especializada, bem como </w:t>
      </w:r>
      <w:r w:rsidRPr="00D819FE">
        <w:rPr>
          <w:rFonts w:ascii="Times New Roman" w:hAnsi="Times New Roman" w:cs="Times New Roman"/>
          <w:strike/>
          <w:sz w:val="24"/>
          <w:szCs w:val="24"/>
        </w:rPr>
        <w:t>à</w:t>
      </w:r>
      <w:r w:rsidRPr="00D819FE">
        <w:rPr>
          <w:rFonts w:ascii="Times New Roman" w:hAnsi="Times New Roman" w:cs="Times New Roman"/>
          <w:sz w:val="24"/>
          <w:szCs w:val="24"/>
        </w:rPr>
        <w:t xml:space="preserve"> publicação dos resultados apurados, inclusive de </w:t>
      </w:r>
      <w:r w:rsidRPr="00D819FE">
        <w:rPr>
          <w:rFonts w:ascii="Times New Roman" w:hAnsi="Times New Roman" w:cs="Times New Roman"/>
          <w:i/>
          <w:sz w:val="24"/>
          <w:szCs w:val="24"/>
        </w:rPr>
        <w:t>ranking</w:t>
      </w:r>
      <w:r w:rsidRPr="00D819FE">
        <w:rPr>
          <w:rFonts w:ascii="Times New Roman" w:hAnsi="Times New Roman" w:cs="Times New Roman"/>
          <w:sz w:val="24"/>
          <w:szCs w:val="24"/>
        </w:rPr>
        <w:t xml:space="preserve"> de unidades com maior incidência de reclamação, no Portal da Internet institucional.</w:t>
      </w:r>
    </w:p>
    <w:p w:rsidR="008508FF" w:rsidRPr="00775054" w:rsidRDefault="008508FF" w:rsidP="008508FF">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0B69EA" w:rsidRPr="00D819FE" w:rsidRDefault="000B69EA" w:rsidP="006A3BC9">
      <w:pPr>
        <w:numPr>
          <w:ilvl w:val="4"/>
          <w:numId w:val="1"/>
        </w:numPr>
        <w:spacing w:after="0" w:line="240" w:lineRule="auto"/>
        <w:jc w:val="both"/>
        <w:rPr>
          <w:rFonts w:ascii="Times New Roman" w:hAnsi="Times New Roman" w:cs="Times New Roman"/>
          <w:i/>
          <w:sz w:val="24"/>
          <w:szCs w:val="24"/>
        </w:rPr>
      </w:pPr>
      <w:r w:rsidRPr="00D819FE">
        <w:rPr>
          <w:rFonts w:ascii="Times New Roman" w:hAnsi="Times New Roman" w:cs="Times New Roman"/>
          <w:sz w:val="24"/>
          <w:szCs w:val="24"/>
        </w:rPr>
        <w:t xml:space="preserve">Preliminarmente, registre-se a apresentação de minuta de normativo regulamentando a Lei nº 13.460/2017, no âmbito deste Regional, pela comissão designada por meio da Portaria da Presidência nº 160, de 26 de março de 2018, consoante PAD nº 4785/2018, Doc. </w:t>
      </w:r>
      <w:proofErr w:type="gramStart"/>
      <w:r w:rsidRPr="00D819FE">
        <w:rPr>
          <w:rFonts w:ascii="Times New Roman" w:hAnsi="Times New Roman" w:cs="Times New Roman"/>
          <w:sz w:val="24"/>
          <w:szCs w:val="24"/>
        </w:rPr>
        <w:t>nº</w:t>
      </w:r>
      <w:proofErr w:type="gramEnd"/>
      <w:r w:rsidRPr="00D819FE">
        <w:rPr>
          <w:rFonts w:ascii="Times New Roman" w:hAnsi="Times New Roman" w:cs="Times New Roman"/>
          <w:sz w:val="24"/>
          <w:szCs w:val="24"/>
        </w:rPr>
        <w:t xml:space="preserve"> 94.249/2018.</w:t>
      </w:r>
    </w:p>
    <w:p w:rsidR="000B69EA" w:rsidRPr="00D819FE" w:rsidRDefault="00627446" w:rsidP="006A3BC9">
      <w:pPr>
        <w:numPr>
          <w:ilvl w:val="4"/>
          <w:numId w:val="1"/>
        </w:numPr>
        <w:spacing w:after="0" w:line="240" w:lineRule="auto"/>
        <w:jc w:val="both"/>
        <w:rPr>
          <w:rFonts w:ascii="Times New Roman" w:hAnsi="Times New Roman" w:cs="Times New Roman"/>
          <w:i/>
          <w:sz w:val="24"/>
          <w:szCs w:val="24"/>
        </w:rPr>
      </w:pPr>
      <w:r w:rsidRPr="00D819FE">
        <w:rPr>
          <w:rFonts w:ascii="Times New Roman" w:hAnsi="Times New Roman" w:cs="Times New Roman"/>
          <w:sz w:val="24"/>
          <w:szCs w:val="24"/>
        </w:rPr>
        <w:t>A</w:t>
      </w:r>
      <w:r w:rsidR="000B69EA" w:rsidRPr="00D819FE">
        <w:rPr>
          <w:rFonts w:ascii="Times New Roman" w:hAnsi="Times New Roman" w:cs="Times New Roman"/>
          <w:sz w:val="24"/>
          <w:szCs w:val="24"/>
        </w:rPr>
        <w:t>dicionalmente, esclareça-se que a</w:t>
      </w:r>
      <w:r w:rsidRPr="00D819FE">
        <w:rPr>
          <w:rFonts w:ascii="Times New Roman" w:hAnsi="Times New Roman" w:cs="Times New Roman"/>
          <w:sz w:val="24"/>
          <w:szCs w:val="24"/>
        </w:rPr>
        <w:t xml:space="preserve"> promoção da divulgação de informações institucionais, observada classificação para fins de confidencialidade</w:t>
      </w:r>
      <w:r w:rsidR="00981B16" w:rsidRPr="00D819FE">
        <w:rPr>
          <w:rFonts w:ascii="Times New Roman" w:hAnsi="Times New Roman" w:cs="Times New Roman"/>
          <w:sz w:val="24"/>
          <w:szCs w:val="24"/>
        </w:rPr>
        <w:t>,</w:t>
      </w:r>
      <w:r w:rsidRPr="00D819FE">
        <w:rPr>
          <w:rFonts w:ascii="Times New Roman" w:hAnsi="Times New Roman" w:cs="Times New Roman"/>
          <w:sz w:val="24"/>
          <w:szCs w:val="24"/>
        </w:rPr>
        <w:t xml:space="preserve"> </w:t>
      </w:r>
      <w:r w:rsidRPr="00D819FE">
        <w:rPr>
          <w:rFonts w:ascii="Times New Roman" w:hAnsi="Times New Roman" w:cs="Times New Roman"/>
          <w:sz w:val="24"/>
          <w:szCs w:val="24"/>
        </w:rPr>
        <w:lastRenderedPageBreak/>
        <w:t xml:space="preserve">constitui dever das organizações </w:t>
      </w:r>
      <w:proofErr w:type="gramStart"/>
      <w:r w:rsidRPr="00D819FE">
        <w:rPr>
          <w:rFonts w:ascii="Times New Roman" w:hAnsi="Times New Roman" w:cs="Times New Roman"/>
          <w:sz w:val="24"/>
          <w:szCs w:val="24"/>
        </w:rPr>
        <w:t xml:space="preserve">públicas associado ao cumprimento das obrigações de </w:t>
      </w:r>
      <w:proofErr w:type="spellStart"/>
      <w:r w:rsidRPr="00D819FE">
        <w:rPr>
          <w:rFonts w:ascii="Times New Roman" w:hAnsi="Times New Roman" w:cs="Times New Roman"/>
          <w:i/>
          <w:sz w:val="24"/>
          <w:szCs w:val="24"/>
        </w:rPr>
        <w:t>accountability</w:t>
      </w:r>
      <w:proofErr w:type="spellEnd"/>
      <w:r w:rsidRPr="00D819FE">
        <w:rPr>
          <w:rFonts w:ascii="Times New Roman" w:hAnsi="Times New Roman" w:cs="Times New Roman"/>
          <w:sz w:val="24"/>
          <w:szCs w:val="24"/>
        </w:rPr>
        <w:t xml:space="preserve"> e transparência</w:t>
      </w:r>
      <w:proofErr w:type="gramEnd"/>
      <w:r w:rsidRPr="00D819FE">
        <w:rPr>
          <w:rFonts w:ascii="Times New Roman" w:hAnsi="Times New Roman" w:cs="Times New Roman"/>
          <w:sz w:val="24"/>
          <w:szCs w:val="24"/>
        </w:rPr>
        <w:t>.</w:t>
      </w:r>
      <w:r w:rsidR="00981B16" w:rsidRPr="00D819FE">
        <w:rPr>
          <w:rFonts w:ascii="Times New Roman" w:hAnsi="Times New Roman" w:cs="Times New Roman"/>
          <w:sz w:val="24"/>
          <w:szCs w:val="24"/>
        </w:rPr>
        <w:t xml:space="preserve"> </w:t>
      </w:r>
      <w:r w:rsidR="000B69EA" w:rsidRPr="00D819FE">
        <w:rPr>
          <w:rFonts w:ascii="Times New Roman" w:hAnsi="Times New Roman" w:cs="Times New Roman"/>
          <w:sz w:val="24"/>
          <w:szCs w:val="24"/>
        </w:rPr>
        <w:t>A</w:t>
      </w:r>
      <w:r w:rsidR="00981B16" w:rsidRPr="00D819FE">
        <w:rPr>
          <w:rFonts w:ascii="Times New Roman" w:hAnsi="Times New Roman" w:cs="Times New Roman"/>
          <w:sz w:val="24"/>
          <w:szCs w:val="24"/>
        </w:rPr>
        <w:t xml:space="preserve"> divulgação de dados completos, atualizados e em linguagem </w:t>
      </w:r>
      <w:proofErr w:type="gramStart"/>
      <w:r w:rsidR="00981B16" w:rsidRPr="00D819FE">
        <w:rPr>
          <w:rFonts w:ascii="Times New Roman" w:hAnsi="Times New Roman" w:cs="Times New Roman"/>
          <w:sz w:val="24"/>
          <w:szCs w:val="24"/>
        </w:rPr>
        <w:t>acessível relativos</w:t>
      </w:r>
      <w:proofErr w:type="gramEnd"/>
      <w:r w:rsidR="00981B16" w:rsidRPr="00D819FE">
        <w:rPr>
          <w:rFonts w:ascii="Times New Roman" w:hAnsi="Times New Roman" w:cs="Times New Roman"/>
          <w:sz w:val="24"/>
          <w:szCs w:val="24"/>
        </w:rPr>
        <w:t xml:space="preserve"> à estratégia definida e respectivos resultados apurados às partes interessadas (internas e externas), além de boa prática de gestão, constitui obrigação imposta a todos os órgãos públicos pela Lei de Acesso à Informação. </w:t>
      </w:r>
    </w:p>
    <w:p w:rsidR="008508FF" w:rsidRPr="00627446" w:rsidRDefault="00981B16" w:rsidP="006A3BC9">
      <w:pPr>
        <w:numPr>
          <w:ilvl w:val="4"/>
          <w:numId w:val="1"/>
        </w:numPr>
        <w:spacing w:after="0" w:line="240" w:lineRule="auto"/>
        <w:jc w:val="both"/>
        <w:rPr>
          <w:rFonts w:ascii="Times New Roman" w:hAnsi="Times New Roman" w:cs="Times New Roman"/>
          <w:i/>
          <w:color w:val="000000" w:themeColor="text1"/>
          <w:sz w:val="24"/>
          <w:szCs w:val="24"/>
        </w:rPr>
      </w:pPr>
      <w:r w:rsidRPr="00D819FE">
        <w:rPr>
          <w:rFonts w:ascii="Times New Roman" w:hAnsi="Times New Roman" w:cs="Times New Roman"/>
          <w:sz w:val="24"/>
          <w:szCs w:val="24"/>
        </w:rPr>
        <w:t>Nesse sentido, n</w:t>
      </w:r>
      <w:r w:rsidR="002E625A" w:rsidRPr="00D819FE">
        <w:rPr>
          <w:rFonts w:ascii="Times New Roman" w:hAnsi="Times New Roman" w:cs="Times New Roman"/>
          <w:sz w:val="24"/>
          <w:szCs w:val="24"/>
        </w:rPr>
        <w:t xml:space="preserve">ão obstante sinalização de adoção de iniciativas </w:t>
      </w:r>
      <w:r w:rsidR="001412A2" w:rsidRPr="00D819FE">
        <w:rPr>
          <w:rFonts w:ascii="Times New Roman" w:hAnsi="Times New Roman" w:cs="Times New Roman"/>
          <w:sz w:val="24"/>
          <w:szCs w:val="24"/>
        </w:rPr>
        <w:t xml:space="preserve">visando ao </w:t>
      </w:r>
      <w:r w:rsidR="002E625A" w:rsidRPr="00D819FE">
        <w:rPr>
          <w:rFonts w:ascii="Times New Roman" w:hAnsi="Times New Roman" w:cs="Times New Roman"/>
          <w:sz w:val="24"/>
          <w:szCs w:val="24"/>
        </w:rPr>
        <w:t xml:space="preserve">tratamento de algumas </w:t>
      </w:r>
      <w:r w:rsidR="001412A2" w:rsidRPr="00D819FE">
        <w:rPr>
          <w:rFonts w:ascii="Times New Roman" w:hAnsi="Times New Roman" w:cs="Times New Roman"/>
          <w:sz w:val="24"/>
          <w:szCs w:val="24"/>
        </w:rPr>
        <w:t>fragilidades</w:t>
      </w:r>
      <w:r w:rsidR="002E625A" w:rsidRPr="00D819FE">
        <w:rPr>
          <w:rFonts w:ascii="Times New Roman" w:hAnsi="Times New Roman" w:cs="Times New Roman"/>
          <w:sz w:val="24"/>
          <w:szCs w:val="24"/>
        </w:rPr>
        <w:t xml:space="preserve"> evidenciadas, </w:t>
      </w:r>
      <w:r w:rsidR="000D0414" w:rsidRPr="00D819FE">
        <w:rPr>
          <w:rFonts w:ascii="Times New Roman" w:hAnsi="Times New Roman" w:cs="Times New Roman"/>
          <w:sz w:val="24"/>
          <w:szCs w:val="24"/>
        </w:rPr>
        <w:t xml:space="preserve">especialmente </w:t>
      </w:r>
      <w:r w:rsidR="00627446" w:rsidRPr="00D819FE">
        <w:rPr>
          <w:rFonts w:ascii="Times New Roman" w:hAnsi="Times New Roman" w:cs="Times New Roman"/>
          <w:sz w:val="24"/>
          <w:szCs w:val="24"/>
        </w:rPr>
        <w:t>no que tange</w:t>
      </w:r>
      <w:r w:rsidR="000D0414" w:rsidRPr="00D819FE">
        <w:rPr>
          <w:rFonts w:ascii="Times New Roman" w:hAnsi="Times New Roman" w:cs="Times New Roman"/>
          <w:sz w:val="24"/>
          <w:szCs w:val="24"/>
        </w:rPr>
        <w:t xml:space="preserve"> à </w:t>
      </w:r>
      <w:r w:rsidR="00D95195" w:rsidRPr="00D819FE">
        <w:rPr>
          <w:rFonts w:ascii="Times New Roman" w:hAnsi="Times New Roman" w:cs="Times New Roman"/>
          <w:sz w:val="24"/>
          <w:szCs w:val="24"/>
        </w:rPr>
        <w:t xml:space="preserve">divulgação de informações atinentes à estratégia e respectivos resultados ao público interno, </w:t>
      </w:r>
      <w:r w:rsidR="001412A2" w:rsidRPr="00D819FE">
        <w:rPr>
          <w:rFonts w:ascii="Times New Roman" w:hAnsi="Times New Roman" w:cs="Times New Roman"/>
          <w:sz w:val="24"/>
          <w:szCs w:val="24"/>
        </w:rPr>
        <w:t xml:space="preserve">considerando </w:t>
      </w:r>
      <w:r w:rsidR="006A3BC9" w:rsidRPr="00D819FE">
        <w:rPr>
          <w:rFonts w:ascii="Times New Roman" w:hAnsi="Times New Roman" w:cs="Times New Roman"/>
          <w:sz w:val="24"/>
          <w:szCs w:val="24"/>
        </w:rPr>
        <w:t xml:space="preserve">ausência </w:t>
      </w:r>
      <w:r w:rsidR="00747A87" w:rsidRPr="00D819FE">
        <w:rPr>
          <w:rFonts w:ascii="Times New Roman" w:hAnsi="Times New Roman" w:cs="Times New Roman"/>
          <w:sz w:val="24"/>
          <w:szCs w:val="24"/>
        </w:rPr>
        <w:t>de</w:t>
      </w:r>
      <w:r w:rsidR="00CB1B59" w:rsidRPr="00D819FE">
        <w:rPr>
          <w:rFonts w:ascii="Times New Roman" w:hAnsi="Times New Roman" w:cs="Times New Roman"/>
          <w:sz w:val="24"/>
          <w:szCs w:val="24"/>
        </w:rPr>
        <w:t xml:space="preserve"> registro de efetiva </w:t>
      </w:r>
      <w:proofErr w:type="gramStart"/>
      <w:r w:rsidR="00CB1B59" w:rsidRPr="00D819FE">
        <w:rPr>
          <w:rFonts w:ascii="Times New Roman" w:hAnsi="Times New Roman" w:cs="Times New Roman"/>
          <w:sz w:val="24"/>
          <w:szCs w:val="24"/>
        </w:rPr>
        <w:t>implementação</w:t>
      </w:r>
      <w:proofErr w:type="gramEnd"/>
      <w:r w:rsidR="00CB1B59" w:rsidRPr="00D819FE">
        <w:rPr>
          <w:rFonts w:ascii="Times New Roman" w:hAnsi="Times New Roman" w:cs="Times New Roman"/>
          <w:sz w:val="24"/>
          <w:szCs w:val="24"/>
        </w:rPr>
        <w:t xml:space="preserve"> de medidas</w:t>
      </w:r>
      <w:r w:rsidR="00747A87" w:rsidRPr="00D819FE">
        <w:rPr>
          <w:rFonts w:ascii="Times New Roman" w:hAnsi="Times New Roman" w:cs="Times New Roman"/>
          <w:sz w:val="24"/>
          <w:szCs w:val="24"/>
        </w:rPr>
        <w:t xml:space="preserve"> tendentes </w:t>
      </w:r>
      <w:r w:rsidR="00CB1B59" w:rsidRPr="00D819FE">
        <w:rPr>
          <w:rFonts w:ascii="Times New Roman" w:hAnsi="Times New Roman" w:cs="Times New Roman"/>
          <w:sz w:val="24"/>
          <w:szCs w:val="24"/>
        </w:rPr>
        <w:t xml:space="preserve">a elidir </w:t>
      </w:r>
      <w:r w:rsidRPr="00D819FE">
        <w:rPr>
          <w:rFonts w:ascii="Times New Roman" w:hAnsi="Times New Roman" w:cs="Times New Roman"/>
          <w:sz w:val="24"/>
          <w:szCs w:val="24"/>
        </w:rPr>
        <w:t xml:space="preserve">fragilidades associadas a formato, periodicidade, completude e atualização de informações </w:t>
      </w:r>
      <w:r w:rsidR="005C54EC" w:rsidRPr="00D819FE">
        <w:rPr>
          <w:rFonts w:ascii="Times New Roman" w:hAnsi="Times New Roman" w:cs="Times New Roman"/>
          <w:sz w:val="24"/>
          <w:szCs w:val="24"/>
        </w:rPr>
        <w:t xml:space="preserve">disponibilizadas </w:t>
      </w:r>
      <w:r w:rsidRPr="00D819FE">
        <w:rPr>
          <w:rFonts w:ascii="Times New Roman" w:hAnsi="Times New Roman" w:cs="Times New Roman"/>
          <w:sz w:val="24"/>
          <w:szCs w:val="24"/>
        </w:rPr>
        <w:t xml:space="preserve">ao público externo deste Regional, </w:t>
      </w:r>
      <w:r w:rsidR="005C54EC" w:rsidRPr="00D819FE">
        <w:rPr>
          <w:rFonts w:ascii="Times New Roman" w:hAnsi="Times New Roman" w:cs="Times New Roman"/>
          <w:sz w:val="24"/>
          <w:szCs w:val="24"/>
        </w:rPr>
        <w:t>de modo a viabilizar</w:t>
      </w:r>
      <w:r w:rsidRPr="00D819FE">
        <w:rPr>
          <w:rFonts w:ascii="Times New Roman" w:hAnsi="Times New Roman" w:cs="Times New Roman"/>
          <w:sz w:val="24"/>
          <w:szCs w:val="24"/>
        </w:rPr>
        <w:t xml:space="preserve"> melhor comunicação com as partes interessadas, transparência e </w:t>
      </w:r>
      <w:r w:rsidR="005C54EC" w:rsidRPr="00D819FE">
        <w:rPr>
          <w:rFonts w:ascii="Times New Roman" w:hAnsi="Times New Roman" w:cs="Times New Roman"/>
          <w:sz w:val="24"/>
          <w:szCs w:val="24"/>
        </w:rPr>
        <w:t xml:space="preserve">fomento </w:t>
      </w:r>
      <w:r w:rsidRPr="00D819FE">
        <w:rPr>
          <w:rFonts w:ascii="Times New Roman" w:hAnsi="Times New Roman" w:cs="Times New Roman"/>
          <w:sz w:val="24"/>
          <w:szCs w:val="24"/>
        </w:rPr>
        <w:t xml:space="preserve">ao controle e participação popular na gestão institucional, </w:t>
      </w:r>
      <w:r w:rsidR="006A3BC9" w:rsidRPr="00D819FE">
        <w:rPr>
          <w:rFonts w:ascii="Times New Roman" w:hAnsi="Times New Roman" w:cs="Times New Roman"/>
          <w:sz w:val="24"/>
          <w:szCs w:val="24"/>
        </w:rPr>
        <w:t xml:space="preserve">conclui-se pela subsistência </w:t>
      </w:r>
      <w:r w:rsidR="00CB1B59" w:rsidRPr="00D819FE">
        <w:rPr>
          <w:rFonts w:ascii="Times New Roman" w:hAnsi="Times New Roman" w:cs="Times New Roman"/>
          <w:sz w:val="24"/>
          <w:szCs w:val="24"/>
        </w:rPr>
        <w:t>do achado anteriormente evidenciado</w:t>
      </w:r>
      <w:r w:rsidR="008508FF" w:rsidRPr="00D819FE">
        <w:rPr>
          <w:rFonts w:ascii="Times New Roman" w:hAnsi="Times New Roman" w:cs="Times New Roman"/>
          <w:sz w:val="24"/>
          <w:szCs w:val="24"/>
        </w:rPr>
        <w:t>.</w:t>
      </w:r>
    </w:p>
    <w:p w:rsidR="00C353EE" w:rsidRPr="00775054" w:rsidRDefault="003A5C7D"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Deficiência n</w:t>
      </w:r>
      <w:r w:rsidR="00256405" w:rsidRPr="00775054">
        <w:rPr>
          <w:rFonts w:ascii="Times New Roman" w:hAnsi="Times New Roman" w:cs="Times New Roman"/>
          <w:color w:val="000000" w:themeColor="text1"/>
          <w:sz w:val="24"/>
          <w:szCs w:val="24"/>
          <w:u w:val="single"/>
        </w:rPr>
        <w:t xml:space="preserve">o gerenciamento de riscos associados à execução da </w:t>
      </w:r>
      <w:r w:rsidR="00F05ED6">
        <w:rPr>
          <w:rFonts w:ascii="Times New Roman" w:hAnsi="Times New Roman" w:cs="Times New Roman"/>
          <w:color w:val="000000" w:themeColor="text1"/>
          <w:sz w:val="24"/>
          <w:szCs w:val="24"/>
          <w:u w:val="single"/>
        </w:rPr>
        <w:t>e</w:t>
      </w:r>
      <w:r w:rsidR="00256405" w:rsidRPr="00775054">
        <w:rPr>
          <w:rFonts w:ascii="Times New Roman" w:hAnsi="Times New Roman" w:cs="Times New Roman"/>
          <w:color w:val="000000" w:themeColor="text1"/>
          <w:sz w:val="24"/>
          <w:szCs w:val="24"/>
          <w:u w:val="single"/>
        </w:rPr>
        <w:t>stratégia</w:t>
      </w:r>
      <w:r w:rsidRPr="00775054">
        <w:rPr>
          <w:rFonts w:ascii="Times New Roman" w:hAnsi="Times New Roman" w:cs="Times New Roman"/>
          <w:color w:val="000000" w:themeColor="text1"/>
          <w:sz w:val="24"/>
          <w:szCs w:val="24"/>
          <w:u w:val="single"/>
        </w:rPr>
        <w:t>.</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w:t>
      </w:r>
    </w:p>
    <w:p w:rsidR="00C353EE" w:rsidRPr="007567BF" w:rsidRDefault="00256405" w:rsidP="00256405">
      <w:pPr>
        <w:numPr>
          <w:ilvl w:val="4"/>
          <w:numId w:val="1"/>
        </w:numPr>
        <w:spacing w:after="0" w:line="240" w:lineRule="auto"/>
        <w:jc w:val="both"/>
        <w:rPr>
          <w:rFonts w:ascii="Times New Roman" w:hAnsi="Times New Roman" w:cs="Times New Roman"/>
          <w:color w:val="000000" w:themeColor="text1"/>
          <w:sz w:val="24"/>
          <w:szCs w:val="24"/>
        </w:rPr>
      </w:pPr>
      <w:r w:rsidRPr="007567BF">
        <w:rPr>
          <w:rFonts w:ascii="Times New Roman" w:hAnsi="Times New Roman" w:cs="Times New Roman"/>
          <w:color w:val="000000" w:themeColor="text1"/>
          <w:sz w:val="24"/>
          <w:szCs w:val="24"/>
        </w:rPr>
        <w:t>Não restou evidenciad</w:t>
      </w:r>
      <w:r w:rsidR="00A52B84" w:rsidRPr="007567BF">
        <w:rPr>
          <w:rFonts w:ascii="Times New Roman" w:hAnsi="Times New Roman" w:cs="Times New Roman"/>
          <w:color w:val="000000" w:themeColor="text1"/>
          <w:sz w:val="24"/>
          <w:szCs w:val="24"/>
        </w:rPr>
        <w:t xml:space="preserve">a a execução de processo sistemático destinado </w:t>
      </w:r>
      <w:r w:rsidRPr="007567BF">
        <w:rPr>
          <w:rFonts w:ascii="Times New Roman" w:hAnsi="Times New Roman" w:cs="Times New Roman"/>
          <w:color w:val="000000" w:themeColor="text1"/>
          <w:sz w:val="24"/>
          <w:szCs w:val="24"/>
        </w:rPr>
        <w:t>a identifica</w:t>
      </w:r>
      <w:r w:rsidR="00A52B84" w:rsidRPr="007567BF">
        <w:rPr>
          <w:rFonts w:ascii="Times New Roman" w:hAnsi="Times New Roman" w:cs="Times New Roman"/>
          <w:color w:val="000000" w:themeColor="text1"/>
          <w:sz w:val="24"/>
          <w:szCs w:val="24"/>
        </w:rPr>
        <w:t>r</w:t>
      </w:r>
      <w:r w:rsidRPr="007567BF">
        <w:rPr>
          <w:rFonts w:ascii="Times New Roman" w:hAnsi="Times New Roman" w:cs="Times New Roman"/>
          <w:color w:val="000000" w:themeColor="text1"/>
          <w:sz w:val="24"/>
          <w:szCs w:val="24"/>
        </w:rPr>
        <w:t>, analisa</w:t>
      </w:r>
      <w:r w:rsidR="00A52B84" w:rsidRPr="007567BF">
        <w:rPr>
          <w:rFonts w:ascii="Times New Roman" w:hAnsi="Times New Roman" w:cs="Times New Roman"/>
          <w:color w:val="000000" w:themeColor="text1"/>
          <w:sz w:val="24"/>
          <w:szCs w:val="24"/>
        </w:rPr>
        <w:t>r</w:t>
      </w:r>
      <w:r w:rsidRPr="007567BF">
        <w:rPr>
          <w:rFonts w:ascii="Times New Roman" w:hAnsi="Times New Roman" w:cs="Times New Roman"/>
          <w:color w:val="000000" w:themeColor="text1"/>
          <w:sz w:val="24"/>
          <w:szCs w:val="24"/>
        </w:rPr>
        <w:t xml:space="preserve"> ou </w:t>
      </w:r>
      <w:r w:rsidR="00A52B84" w:rsidRPr="007567BF">
        <w:rPr>
          <w:rFonts w:ascii="Times New Roman" w:hAnsi="Times New Roman" w:cs="Times New Roman"/>
          <w:color w:val="000000" w:themeColor="text1"/>
          <w:sz w:val="24"/>
          <w:szCs w:val="24"/>
        </w:rPr>
        <w:t>dimensionar</w:t>
      </w:r>
      <w:r w:rsidRPr="007567BF">
        <w:rPr>
          <w:rFonts w:ascii="Times New Roman" w:hAnsi="Times New Roman" w:cs="Times New Roman"/>
          <w:color w:val="000000" w:themeColor="text1"/>
          <w:sz w:val="24"/>
          <w:szCs w:val="24"/>
        </w:rPr>
        <w:t xml:space="preserve"> riscos relacionados à execução da </w:t>
      </w:r>
      <w:r w:rsidR="00A52B84" w:rsidRPr="007567BF">
        <w:rPr>
          <w:rFonts w:ascii="Times New Roman" w:hAnsi="Times New Roman" w:cs="Times New Roman"/>
          <w:color w:val="000000" w:themeColor="text1"/>
          <w:sz w:val="24"/>
          <w:szCs w:val="24"/>
        </w:rPr>
        <w:t>e</w:t>
      </w:r>
      <w:r w:rsidRPr="007567BF">
        <w:rPr>
          <w:rFonts w:ascii="Times New Roman" w:hAnsi="Times New Roman" w:cs="Times New Roman"/>
          <w:color w:val="000000" w:themeColor="text1"/>
          <w:sz w:val="24"/>
          <w:szCs w:val="24"/>
        </w:rPr>
        <w:t xml:space="preserve">stratégia do Tribunal. </w:t>
      </w:r>
      <w:r w:rsidR="00A52B84" w:rsidRPr="007567BF">
        <w:rPr>
          <w:rFonts w:ascii="Times New Roman" w:hAnsi="Times New Roman" w:cs="Times New Roman"/>
          <w:color w:val="000000" w:themeColor="text1"/>
          <w:sz w:val="24"/>
          <w:szCs w:val="24"/>
        </w:rPr>
        <w:t>Verificou-se que a</w:t>
      </w:r>
      <w:r w:rsidRPr="007567BF">
        <w:rPr>
          <w:rFonts w:ascii="Times New Roman" w:hAnsi="Times New Roman" w:cs="Times New Roman"/>
          <w:color w:val="000000" w:themeColor="text1"/>
          <w:sz w:val="24"/>
          <w:szCs w:val="24"/>
        </w:rPr>
        <w:t xml:space="preserve"> </w:t>
      </w:r>
      <w:r w:rsidR="00A52B84" w:rsidRPr="007567BF">
        <w:rPr>
          <w:rFonts w:ascii="Times New Roman" w:hAnsi="Times New Roman" w:cs="Times New Roman"/>
          <w:color w:val="000000" w:themeColor="text1"/>
          <w:sz w:val="24"/>
          <w:szCs w:val="24"/>
        </w:rPr>
        <w:t>COPEG</w:t>
      </w:r>
      <w:r w:rsidRPr="007567BF">
        <w:rPr>
          <w:rFonts w:ascii="Times New Roman" w:hAnsi="Times New Roman" w:cs="Times New Roman"/>
          <w:color w:val="000000" w:themeColor="text1"/>
          <w:sz w:val="24"/>
          <w:szCs w:val="24"/>
        </w:rPr>
        <w:t xml:space="preserve"> utiliza processo de gestão de riscos somente para os projetos estratégicos, consoante metodologia de gestão de projetos adotada por este Regional. Não </w:t>
      </w:r>
      <w:r w:rsidR="00A52B84" w:rsidRPr="007567BF">
        <w:rPr>
          <w:rFonts w:ascii="Times New Roman" w:hAnsi="Times New Roman" w:cs="Times New Roman"/>
          <w:color w:val="000000" w:themeColor="text1"/>
          <w:sz w:val="24"/>
          <w:szCs w:val="24"/>
        </w:rPr>
        <w:t>se evidenciou gerenciamento</w:t>
      </w:r>
      <w:r w:rsidRPr="007567BF">
        <w:rPr>
          <w:rFonts w:ascii="Times New Roman" w:hAnsi="Times New Roman" w:cs="Times New Roman"/>
          <w:color w:val="000000" w:themeColor="text1"/>
          <w:sz w:val="24"/>
          <w:szCs w:val="24"/>
        </w:rPr>
        <w:t xml:space="preserve"> de riscos </w:t>
      </w:r>
      <w:r w:rsidR="00A52B84" w:rsidRPr="007567BF">
        <w:rPr>
          <w:rFonts w:ascii="Times New Roman" w:hAnsi="Times New Roman" w:cs="Times New Roman"/>
          <w:color w:val="000000" w:themeColor="text1"/>
          <w:sz w:val="24"/>
          <w:szCs w:val="24"/>
        </w:rPr>
        <w:t>inerentes ao</w:t>
      </w:r>
      <w:r w:rsidRPr="007567BF">
        <w:rPr>
          <w:rFonts w:ascii="Times New Roman" w:hAnsi="Times New Roman" w:cs="Times New Roman"/>
          <w:color w:val="000000" w:themeColor="text1"/>
          <w:sz w:val="24"/>
          <w:szCs w:val="24"/>
        </w:rPr>
        <w:t xml:space="preserve"> alinhamento, monitoramento e avaliação da estratégia</w:t>
      </w:r>
      <w:r w:rsidR="00A52B84" w:rsidRPr="007567BF">
        <w:rPr>
          <w:rFonts w:ascii="Times New Roman" w:hAnsi="Times New Roman" w:cs="Times New Roman"/>
          <w:color w:val="000000" w:themeColor="text1"/>
          <w:sz w:val="24"/>
          <w:szCs w:val="24"/>
        </w:rPr>
        <w:t xml:space="preserve"> organizacional</w:t>
      </w:r>
      <w:r w:rsidRPr="007567BF">
        <w:rPr>
          <w:rFonts w:ascii="Times New Roman" w:hAnsi="Times New Roman" w:cs="Times New Roman"/>
          <w:color w:val="000000" w:themeColor="text1"/>
          <w:sz w:val="24"/>
          <w:szCs w:val="24"/>
        </w:rPr>
        <w:t xml:space="preserve">. </w:t>
      </w:r>
      <w:r w:rsidR="00A52B84" w:rsidRPr="007567BF">
        <w:rPr>
          <w:rFonts w:ascii="Times New Roman" w:hAnsi="Times New Roman" w:cs="Times New Roman"/>
          <w:color w:val="000000" w:themeColor="text1"/>
          <w:sz w:val="24"/>
          <w:szCs w:val="24"/>
        </w:rPr>
        <w:t>Constatou-se, portanto, que os</w:t>
      </w:r>
      <w:r w:rsidRPr="007567BF">
        <w:rPr>
          <w:rFonts w:ascii="Times New Roman" w:hAnsi="Times New Roman" w:cs="Times New Roman"/>
          <w:color w:val="000000" w:themeColor="text1"/>
          <w:sz w:val="24"/>
          <w:szCs w:val="24"/>
        </w:rPr>
        <w:t xml:space="preserve"> mecanismos de controle interno instituídos</w:t>
      </w:r>
      <w:r w:rsidR="00A52B84" w:rsidRPr="007567BF">
        <w:rPr>
          <w:rFonts w:ascii="Times New Roman" w:hAnsi="Times New Roman" w:cs="Times New Roman"/>
          <w:color w:val="000000" w:themeColor="text1"/>
          <w:sz w:val="24"/>
          <w:szCs w:val="24"/>
        </w:rPr>
        <w:t xml:space="preserve"> </w:t>
      </w:r>
      <w:r w:rsidRPr="007567BF">
        <w:rPr>
          <w:rFonts w:ascii="Times New Roman" w:hAnsi="Times New Roman" w:cs="Times New Roman"/>
          <w:color w:val="000000" w:themeColor="text1"/>
          <w:sz w:val="24"/>
          <w:szCs w:val="24"/>
        </w:rPr>
        <w:t>não guardam alinhamento com processo formal ou sistematizado de gerenciamento de riscos</w:t>
      </w:r>
      <w:r w:rsidR="00A52B84" w:rsidRPr="007567BF">
        <w:rPr>
          <w:rFonts w:ascii="Times New Roman" w:hAnsi="Times New Roman" w:cs="Times New Roman"/>
          <w:color w:val="000000" w:themeColor="text1"/>
          <w:sz w:val="24"/>
          <w:szCs w:val="24"/>
        </w:rPr>
        <w:t>, que determinaria seu correto endereçamento a possíveis causas ou consequências apuradas</w:t>
      </w:r>
      <w:r w:rsidRPr="007567BF">
        <w:rPr>
          <w:rFonts w:ascii="Times New Roman" w:hAnsi="Times New Roman" w:cs="Times New Roman"/>
          <w:color w:val="000000" w:themeColor="text1"/>
          <w:sz w:val="24"/>
          <w:szCs w:val="24"/>
        </w:rPr>
        <w:t xml:space="preserve">. Não obstante, </w:t>
      </w:r>
      <w:r w:rsidR="00A52B84" w:rsidRPr="007567BF">
        <w:rPr>
          <w:rFonts w:ascii="Times New Roman" w:hAnsi="Times New Roman" w:cs="Times New Roman"/>
          <w:color w:val="000000" w:themeColor="text1"/>
          <w:sz w:val="24"/>
          <w:szCs w:val="24"/>
        </w:rPr>
        <w:t>verificou-se designação de</w:t>
      </w:r>
      <w:r w:rsidRPr="007567BF">
        <w:rPr>
          <w:rFonts w:ascii="Times New Roman" w:hAnsi="Times New Roman" w:cs="Times New Roman"/>
          <w:color w:val="000000" w:themeColor="text1"/>
          <w:sz w:val="24"/>
          <w:szCs w:val="24"/>
        </w:rPr>
        <w:t xml:space="preserve"> comissão</w:t>
      </w:r>
      <w:r w:rsidR="00E538B8" w:rsidRPr="007567BF">
        <w:rPr>
          <w:rFonts w:ascii="Times New Roman" w:hAnsi="Times New Roman" w:cs="Times New Roman"/>
          <w:color w:val="000000" w:themeColor="text1"/>
          <w:sz w:val="24"/>
          <w:szCs w:val="24"/>
        </w:rPr>
        <w:t>, por meio da</w:t>
      </w:r>
      <w:r w:rsidR="00587593" w:rsidRPr="007567BF">
        <w:rPr>
          <w:rFonts w:ascii="Times New Roman" w:hAnsi="Times New Roman" w:cs="Times New Roman"/>
          <w:color w:val="000000" w:themeColor="text1"/>
          <w:sz w:val="24"/>
          <w:szCs w:val="24"/>
        </w:rPr>
        <w:t xml:space="preserve"> Portaria da Presidência nº 473 de </w:t>
      </w:r>
      <w:proofErr w:type="gramStart"/>
      <w:r w:rsidR="00587593" w:rsidRPr="007567BF">
        <w:rPr>
          <w:rFonts w:ascii="Times New Roman" w:hAnsi="Times New Roman" w:cs="Times New Roman"/>
          <w:color w:val="000000" w:themeColor="text1"/>
          <w:sz w:val="24"/>
          <w:szCs w:val="24"/>
        </w:rPr>
        <w:t>6</w:t>
      </w:r>
      <w:proofErr w:type="gramEnd"/>
      <w:r w:rsidR="00587593" w:rsidRPr="007567BF">
        <w:rPr>
          <w:rFonts w:ascii="Times New Roman" w:hAnsi="Times New Roman" w:cs="Times New Roman"/>
          <w:color w:val="000000" w:themeColor="text1"/>
          <w:sz w:val="24"/>
          <w:szCs w:val="24"/>
        </w:rPr>
        <w:t xml:space="preserve"> de setembro de 2017</w:t>
      </w:r>
      <w:r w:rsidR="00E538B8" w:rsidRPr="007567BF">
        <w:rPr>
          <w:rFonts w:ascii="Times New Roman" w:hAnsi="Times New Roman" w:cs="Times New Roman"/>
          <w:color w:val="000000" w:themeColor="text1"/>
          <w:sz w:val="24"/>
          <w:szCs w:val="24"/>
        </w:rPr>
        <w:t>,</w:t>
      </w:r>
      <w:r w:rsidRPr="007567BF">
        <w:rPr>
          <w:rFonts w:ascii="Times New Roman" w:hAnsi="Times New Roman" w:cs="Times New Roman"/>
          <w:color w:val="000000" w:themeColor="text1"/>
          <w:sz w:val="24"/>
          <w:szCs w:val="24"/>
        </w:rPr>
        <w:t xml:space="preserve"> </w:t>
      </w:r>
      <w:r w:rsidR="00E538B8" w:rsidRPr="007567BF">
        <w:rPr>
          <w:rFonts w:ascii="Times New Roman" w:hAnsi="Times New Roman" w:cs="Times New Roman"/>
          <w:color w:val="000000" w:themeColor="text1"/>
          <w:sz w:val="24"/>
          <w:szCs w:val="24"/>
        </w:rPr>
        <w:t>com o objetivo de</w:t>
      </w:r>
      <w:r w:rsidRPr="007567BF">
        <w:rPr>
          <w:rFonts w:ascii="Times New Roman" w:hAnsi="Times New Roman" w:cs="Times New Roman"/>
          <w:color w:val="000000" w:themeColor="text1"/>
          <w:sz w:val="24"/>
          <w:szCs w:val="24"/>
        </w:rPr>
        <w:t xml:space="preserve"> elaborar e implementar política formal de avaliação e gerenciamento de riscos</w:t>
      </w:r>
      <w:r w:rsidR="0093316D" w:rsidRPr="007567BF">
        <w:rPr>
          <w:rFonts w:ascii="Times New Roman" w:hAnsi="Times New Roman" w:cs="Times New Roman"/>
          <w:color w:val="000000" w:themeColor="text1"/>
          <w:sz w:val="24"/>
          <w:szCs w:val="24"/>
        </w:rPr>
        <w:t xml:space="preserve"> </w:t>
      </w:r>
      <w:r w:rsidR="00884F25" w:rsidRPr="007567BF">
        <w:rPr>
          <w:rFonts w:ascii="Times New Roman" w:hAnsi="Times New Roman" w:cs="Times New Roman"/>
          <w:color w:val="000000" w:themeColor="text1"/>
          <w:sz w:val="24"/>
          <w:szCs w:val="24"/>
        </w:rPr>
        <w:t>organizacional.</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C353EE" w:rsidRPr="00775054" w:rsidRDefault="00256405" w:rsidP="00256405">
      <w:pPr>
        <w:numPr>
          <w:ilvl w:val="4"/>
          <w:numId w:val="1"/>
        </w:numPr>
        <w:spacing w:after="0" w:line="240" w:lineRule="auto"/>
        <w:jc w:val="both"/>
        <w:rPr>
          <w:rFonts w:ascii="Times New Roman" w:hAnsi="Times New Roman" w:cs="Times New Roman"/>
          <w:color w:val="000000" w:themeColor="text1"/>
          <w:spacing w:val="-4"/>
          <w:sz w:val="24"/>
          <w:szCs w:val="24"/>
        </w:rPr>
      </w:pPr>
      <w:r w:rsidRPr="00775054">
        <w:rPr>
          <w:rFonts w:ascii="Times New Roman" w:hAnsi="Times New Roman" w:cs="Times New Roman"/>
          <w:color w:val="000000" w:themeColor="text1"/>
          <w:sz w:val="24"/>
          <w:szCs w:val="24"/>
        </w:rPr>
        <w:t xml:space="preserve">Decreto nº 9.203/2017, art. 17; Referencial </w:t>
      </w:r>
      <w:r w:rsidR="00E538B8">
        <w:rPr>
          <w:rFonts w:ascii="Times New Roman" w:hAnsi="Times New Roman" w:cs="Times New Roman"/>
          <w:color w:val="000000" w:themeColor="text1"/>
          <w:sz w:val="24"/>
          <w:szCs w:val="24"/>
        </w:rPr>
        <w:t>B</w:t>
      </w:r>
      <w:r w:rsidRPr="00775054">
        <w:rPr>
          <w:rFonts w:ascii="Times New Roman" w:hAnsi="Times New Roman" w:cs="Times New Roman"/>
          <w:color w:val="000000" w:themeColor="text1"/>
          <w:sz w:val="24"/>
          <w:szCs w:val="24"/>
        </w:rPr>
        <w:t xml:space="preserve">ásico de </w:t>
      </w:r>
      <w:r w:rsidR="00E538B8">
        <w:rPr>
          <w:rFonts w:ascii="Times New Roman" w:hAnsi="Times New Roman" w:cs="Times New Roman"/>
          <w:color w:val="000000" w:themeColor="text1"/>
          <w:sz w:val="24"/>
          <w:szCs w:val="24"/>
        </w:rPr>
        <w:t>G</w:t>
      </w:r>
      <w:r w:rsidRPr="00775054">
        <w:rPr>
          <w:rFonts w:ascii="Times New Roman" w:hAnsi="Times New Roman" w:cs="Times New Roman"/>
          <w:color w:val="000000" w:themeColor="text1"/>
          <w:sz w:val="24"/>
          <w:szCs w:val="24"/>
        </w:rPr>
        <w:t xml:space="preserve">overnança aplicável a órgão e entidades da </w:t>
      </w:r>
      <w:r w:rsidR="00E538B8">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 xml:space="preserve">dministração </w:t>
      </w:r>
      <w:r w:rsidR="00E538B8">
        <w:rPr>
          <w:rFonts w:ascii="Times New Roman" w:hAnsi="Times New Roman" w:cs="Times New Roman"/>
          <w:color w:val="000000" w:themeColor="text1"/>
          <w:sz w:val="24"/>
          <w:szCs w:val="24"/>
        </w:rPr>
        <w:t>P</w:t>
      </w:r>
      <w:r w:rsidRPr="00775054">
        <w:rPr>
          <w:rFonts w:ascii="Times New Roman" w:hAnsi="Times New Roman" w:cs="Times New Roman"/>
          <w:color w:val="000000" w:themeColor="text1"/>
          <w:sz w:val="24"/>
          <w:szCs w:val="24"/>
        </w:rPr>
        <w:t>ública</w:t>
      </w:r>
      <w:r w:rsidR="00E538B8">
        <w:rPr>
          <w:rFonts w:ascii="Times New Roman" w:hAnsi="Times New Roman" w:cs="Times New Roman"/>
          <w:color w:val="000000" w:themeColor="text1"/>
          <w:sz w:val="24"/>
          <w:szCs w:val="24"/>
        </w:rPr>
        <w:t xml:space="preserve">, TCU, </w:t>
      </w:r>
      <w:r w:rsidRPr="00775054">
        <w:rPr>
          <w:rFonts w:ascii="Times New Roman" w:hAnsi="Times New Roman" w:cs="Times New Roman"/>
          <w:color w:val="000000" w:themeColor="text1"/>
          <w:sz w:val="24"/>
          <w:szCs w:val="24"/>
        </w:rPr>
        <w:t xml:space="preserve">Versão 2 – 2014, Práticas </w:t>
      </w:r>
      <w:proofErr w:type="gramStart"/>
      <w:r w:rsidRPr="00775054">
        <w:rPr>
          <w:rFonts w:ascii="Times New Roman" w:hAnsi="Times New Roman" w:cs="Times New Roman"/>
          <w:color w:val="000000" w:themeColor="text1"/>
          <w:sz w:val="24"/>
          <w:szCs w:val="24"/>
        </w:rPr>
        <w:t>L3.</w:t>
      </w:r>
      <w:proofErr w:type="gramEnd"/>
      <w:r w:rsidRPr="00775054">
        <w:rPr>
          <w:rFonts w:ascii="Times New Roman" w:hAnsi="Times New Roman" w:cs="Times New Roman"/>
          <w:color w:val="000000" w:themeColor="text1"/>
          <w:sz w:val="24"/>
          <w:szCs w:val="24"/>
        </w:rPr>
        <w:t xml:space="preserve">4, C1.1 e C1.2; Gerenciamento de Riscos Corporativos Integrado com a Estratégia e Performance do COSO, traduzido por </w:t>
      </w:r>
      <w:proofErr w:type="spellStart"/>
      <w:r w:rsidRPr="00775054">
        <w:rPr>
          <w:rFonts w:ascii="Times New Roman" w:hAnsi="Times New Roman" w:cs="Times New Roman"/>
          <w:color w:val="000000" w:themeColor="text1"/>
          <w:sz w:val="24"/>
          <w:szCs w:val="24"/>
        </w:rPr>
        <w:t>PwC</w:t>
      </w:r>
      <w:proofErr w:type="spellEnd"/>
      <w:r w:rsidRPr="00775054">
        <w:rPr>
          <w:rFonts w:ascii="Times New Roman" w:hAnsi="Times New Roman" w:cs="Times New Roman"/>
          <w:color w:val="000000" w:themeColor="text1"/>
          <w:sz w:val="24"/>
          <w:szCs w:val="24"/>
        </w:rPr>
        <w:t>, junho de 2017, Componentes e Princípios 10 a 14.</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C353EE" w:rsidRPr="00884F25" w:rsidRDefault="00256405" w:rsidP="00256405">
      <w:pPr>
        <w:numPr>
          <w:ilvl w:val="4"/>
          <w:numId w:val="1"/>
        </w:numPr>
        <w:spacing w:after="0" w:line="240" w:lineRule="auto"/>
        <w:jc w:val="both"/>
        <w:rPr>
          <w:rFonts w:ascii="Times New Roman" w:hAnsi="Times New Roman" w:cs="Times New Roman"/>
          <w:i/>
          <w:sz w:val="24"/>
          <w:szCs w:val="24"/>
        </w:rPr>
      </w:pPr>
      <w:r w:rsidRPr="00884F25">
        <w:rPr>
          <w:rFonts w:ascii="Times New Roman" w:hAnsi="Times New Roman" w:cs="Times New Roman"/>
          <w:sz w:val="24"/>
          <w:szCs w:val="24"/>
        </w:rPr>
        <w:t xml:space="preserve">Incipiente cultura organizacional em gerenciamento de riscos e proposição de controles; </w:t>
      </w:r>
      <w:r w:rsidR="00E538B8" w:rsidRPr="00884F25">
        <w:rPr>
          <w:rFonts w:ascii="Times New Roman" w:hAnsi="Times New Roman" w:cs="Times New Roman"/>
          <w:sz w:val="24"/>
          <w:szCs w:val="24"/>
        </w:rPr>
        <w:t xml:space="preserve">ausência de formalização de política organizacional de gestão de riscos; </w:t>
      </w:r>
      <w:r w:rsidRPr="00884F25">
        <w:rPr>
          <w:rFonts w:ascii="Times New Roman" w:hAnsi="Times New Roman" w:cs="Times New Roman"/>
          <w:sz w:val="24"/>
          <w:szCs w:val="24"/>
        </w:rPr>
        <w:t xml:space="preserve">e </w:t>
      </w:r>
      <w:r w:rsidR="00E538B8" w:rsidRPr="00884F25">
        <w:rPr>
          <w:rFonts w:ascii="Times New Roman" w:hAnsi="Times New Roman" w:cs="Times New Roman"/>
          <w:sz w:val="24"/>
          <w:szCs w:val="24"/>
        </w:rPr>
        <w:t>insuficiente</w:t>
      </w:r>
      <w:r w:rsidRPr="00884F25">
        <w:rPr>
          <w:rFonts w:ascii="Times New Roman" w:hAnsi="Times New Roman" w:cs="Times New Roman"/>
          <w:sz w:val="24"/>
          <w:szCs w:val="24"/>
        </w:rPr>
        <w:t xml:space="preserve"> capacitação institucional </w:t>
      </w:r>
      <w:r w:rsidR="00E538B8" w:rsidRPr="00884F25">
        <w:rPr>
          <w:rFonts w:ascii="Times New Roman" w:hAnsi="Times New Roman" w:cs="Times New Roman"/>
          <w:sz w:val="24"/>
          <w:szCs w:val="24"/>
        </w:rPr>
        <w:t>em</w:t>
      </w:r>
      <w:r w:rsidRPr="00884F25">
        <w:rPr>
          <w:rFonts w:ascii="Times New Roman" w:hAnsi="Times New Roman" w:cs="Times New Roman"/>
          <w:sz w:val="24"/>
          <w:szCs w:val="24"/>
        </w:rPr>
        <w:t xml:space="preserve"> gestão de riscos</w:t>
      </w:r>
      <w:r w:rsidR="00761D86" w:rsidRPr="00884F25">
        <w:rPr>
          <w:rFonts w:ascii="Times New Roman" w:hAnsi="Times New Roman" w:cs="Times New Roman"/>
          <w:sz w:val="24"/>
          <w:szCs w:val="24"/>
        </w:rPr>
        <w:t>.</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e/ou potencial):</w:t>
      </w:r>
    </w:p>
    <w:p w:rsidR="00C353EE" w:rsidRPr="00A31F42" w:rsidRDefault="00B348F1" w:rsidP="00B348F1">
      <w:pPr>
        <w:numPr>
          <w:ilvl w:val="4"/>
          <w:numId w:val="1"/>
        </w:numPr>
        <w:spacing w:after="0" w:line="240" w:lineRule="auto"/>
        <w:jc w:val="both"/>
        <w:rPr>
          <w:rFonts w:ascii="Times New Roman" w:hAnsi="Times New Roman" w:cs="Times New Roman"/>
          <w:i/>
          <w:color w:val="000000" w:themeColor="text1"/>
          <w:spacing w:val="-2"/>
          <w:sz w:val="24"/>
          <w:szCs w:val="24"/>
        </w:rPr>
      </w:pPr>
      <w:r w:rsidRPr="00775054">
        <w:rPr>
          <w:rFonts w:ascii="Times New Roman" w:hAnsi="Times New Roman" w:cs="Times New Roman"/>
          <w:color w:val="000000" w:themeColor="text1"/>
          <w:sz w:val="24"/>
          <w:szCs w:val="24"/>
        </w:rPr>
        <w:t>Comprometimento da concretização da missão e do alcance da visão de futuro instituciona</w:t>
      </w:r>
      <w:r w:rsidR="00E538B8">
        <w:rPr>
          <w:rFonts w:ascii="Times New Roman" w:hAnsi="Times New Roman" w:cs="Times New Roman"/>
          <w:color w:val="000000" w:themeColor="text1"/>
          <w:sz w:val="24"/>
          <w:szCs w:val="24"/>
        </w:rPr>
        <w:t>is</w:t>
      </w:r>
      <w:r w:rsidRPr="00775054">
        <w:rPr>
          <w:rFonts w:ascii="Times New Roman" w:hAnsi="Times New Roman" w:cs="Times New Roman"/>
          <w:color w:val="000000" w:themeColor="text1"/>
          <w:sz w:val="24"/>
          <w:szCs w:val="24"/>
        </w:rPr>
        <w:t>; aumento de custos e incremento de tempo com execução de projetos; seleção de projetos inadequados; e dispersão de esforços e recursos na busca da concretização da missão institucional.</w:t>
      </w:r>
    </w:p>
    <w:p w:rsidR="00C353EE" w:rsidRPr="00775054" w:rsidRDefault="00C353EE"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C353EE" w:rsidRPr="00D819FE" w:rsidRDefault="00B348F1" w:rsidP="00B348F1">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lastRenderedPageBreak/>
        <w:t>PAD nº 14.848/2017 (Doc. nº 207.238/2017) - extrato de entrevista com a COPEG; Portaria da Presidência nº 473/2017</w:t>
      </w:r>
      <w:r w:rsidR="00702F25">
        <w:rPr>
          <w:rFonts w:ascii="Times New Roman" w:hAnsi="Times New Roman" w:cs="Times New Roman"/>
          <w:color w:val="000000" w:themeColor="text1"/>
          <w:sz w:val="24"/>
          <w:szCs w:val="24"/>
        </w:rPr>
        <w:t xml:space="preserve">; </w:t>
      </w:r>
      <w:r w:rsidR="00702F25" w:rsidRPr="00D819FE">
        <w:rPr>
          <w:rFonts w:ascii="Times New Roman" w:hAnsi="Times New Roman" w:cs="Times New Roman"/>
          <w:sz w:val="24"/>
          <w:szCs w:val="24"/>
        </w:rPr>
        <w:t xml:space="preserve">e PAD nº 4.727/2018, Doc. </w:t>
      </w:r>
      <w:proofErr w:type="gramStart"/>
      <w:r w:rsidR="00702F25" w:rsidRPr="00D819FE">
        <w:rPr>
          <w:rFonts w:ascii="Times New Roman" w:hAnsi="Times New Roman" w:cs="Times New Roman"/>
          <w:sz w:val="24"/>
          <w:szCs w:val="24"/>
        </w:rPr>
        <w:t>nº</w:t>
      </w:r>
      <w:proofErr w:type="gramEnd"/>
      <w:r w:rsidR="00702F25" w:rsidRPr="00D819FE">
        <w:rPr>
          <w:rFonts w:ascii="Times New Roman" w:hAnsi="Times New Roman" w:cs="Times New Roman"/>
          <w:sz w:val="24"/>
          <w:szCs w:val="24"/>
        </w:rPr>
        <w:t xml:space="preserve"> 80.064/2018)</w:t>
      </w:r>
      <w:r w:rsidRPr="00D819FE">
        <w:rPr>
          <w:rFonts w:ascii="Times New Roman" w:hAnsi="Times New Roman" w:cs="Times New Roman"/>
          <w:sz w:val="24"/>
          <w:szCs w:val="24"/>
        </w:rPr>
        <w:t>.</w:t>
      </w:r>
    </w:p>
    <w:p w:rsidR="007E0B35" w:rsidRPr="007E0B35" w:rsidRDefault="007E0B35" w:rsidP="007E0B3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E0B35">
        <w:rPr>
          <w:rFonts w:ascii="Times New Roman" w:hAnsi="Times New Roman" w:cs="Times New Roman"/>
          <w:i/>
          <w:color w:val="000000" w:themeColor="text1"/>
          <w:sz w:val="24"/>
          <w:szCs w:val="24"/>
        </w:rPr>
        <w:t>Esclarecimentos dos responsáveis:</w:t>
      </w:r>
    </w:p>
    <w:p w:rsidR="00222416" w:rsidRPr="00D819FE" w:rsidRDefault="007E0B35" w:rsidP="007E0B35">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Em resposta à RDI Circular nº 5/2018 (PAD nº 4.727/2018, Doc. nº 80.064/2018), a COPEG ressaltou que o processo de formulação da estratégia do TRE-BA 2016-2021 concebeu, inicialmente, o diagnóstico institucional, fundamental para fortalecer as bases do planejamento</w:t>
      </w:r>
      <w:r w:rsidR="007A34FA" w:rsidRPr="00D819FE">
        <w:rPr>
          <w:rFonts w:ascii="Times New Roman" w:hAnsi="Times New Roman" w:cs="Times New Roman"/>
          <w:sz w:val="24"/>
          <w:szCs w:val="24"/>
        </w:rPr>
        <w:t>,</w:t>
      </w:r>
      <w:r w:rsidRPr="00D819FE">
        <w:rPr>
          <w:rFonts w:ascii="Times New Roman" w:hAnsi="Times New Roman" w:cs="Times New Roman"/>
          <w:sz w:val="24"/>
          <w:szCs w:val="24"/>
        </w:rPr>
        <w:t xml:space="preserve"> e que tal investigação foi realizada mediante a análise de SWOT, ferramenta que propiciou evidenciar aspectos atinentes aos riscos e às oportunidades, possibilitando um posicionamento estratégico fundamental para iniciar o processo de seleção das estratégias</w:t>
      </w:r>
      <w:r w:rsidR="00C33364" w:rsidRPr="00D819FE">
        <w:rPr>
          <w:rFonts w:ascii="Times New Roman" w:hAnsi="Times New Roman" w:cs="Times New Roman"/>
          <w:sz w:val="24"/>
          <w:szCs w:val="24"/>
        </w:rPr>
        <w:t>. Acrescentou que,</w:t>
      </w:r>
      <w:r w:rsidRPr="00D819FE">
        <w:rPr>
          <w:rFonts w:ascii="Times New Roman" w:hAnsi="Times New Roman" w:cs="Times New Roman"/>
          <w:sz w:val="24"/>
          <w:szCs w:val="24"/>
        </w:rPr>
        <w:t xml:space="preserve"> para a realização de uma análise mais aprofundada que permita a identificação e tratamento de riscos ao alcance dos objetivos estratégicos, faz-se necessária a instituição de uma Política de Gestão de Riscos no âmbito do TRE-BA e que </w:t>
      </w:r>
      <w:r w:rsidR="00C33364" w:rsidRPr="00D819FE">
        <w:rPr>
          <w:rFonts w:ascii="Times New Roman" w:hAnsi="Times New Roman" w:cs="Times New Roman"/>
          <w:sz w:val="24"/>
          <w:szCs w:val="24"/>
        </w:rPr>
        <w:t xml:space="preserve">a </w:t>
      </w:r>
      <w:r w:rsidRPr="00D819FE">
        <w:rPr>
          <w:rFonts w:ascii="Times New Roman" w:hAnsi="Times New Roman" w:cs="Times New Roman"/>
          <w:sz w:val="24"/>
          <w:szCs w:val="24"/>
        </w:rPr>
        <w:t>referida norma encontra-se em elaboração pelo Núcleo de Gestão de Riscos (GERI), instituído através da Resolução Administrativa do TRE-BA nº 3, de 15 de janeiro de 2018.</w:t>
      </w:r>
    </w:p>
    <w:p w:rsidR="007E0B35" w:rsidRPr="00D819FE" w:rsidRDefault="007E0B35" w:rsidP="007E0B3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D819FE">
        <w:rPr>
          <w:rFonts w:ascii="Times New Roman" w:hAnsi="Times New Roman" w:cs="Times New Roman"/>
          <w:i/>
          <w:color w:val="000000" w:themeColor="text1"/>
          <w:sz w:val="24"/>
          <w:szCs w:val="24"/>
        </w:rPr>
        <w:t>Conclusão da equipe de auditoria:</w:t>
      </w:r>
    </w:p>
    <w:p w:rsidR="007E0B35" w:rsidRPr="00D819FE" w:rsidRDefault="008A09FB" w:rsidP="007E0B35">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C</w:t>
      </w:r>
      <w:r w:rsidR="007E0B35" w:rsidRPr="00D819FE">
        <w:rPr>
          <w:rFonts w:ascii="Times New Roman" w:hAnsi="Times New Roman" w:cs="Times New Roman"/>
          <w:sz w:val="24"/>
          <w:szCs w:val="24"/>
        </w:rPr>
        <w:t xml:space="preserve">onsiderando </w:t>
      </w:r>
      <w:r w:rsidR="00C33364" w:rsidRPr="00D819FE">
        <w:rPr>
          <w:rFonts w:ascii="Times New Roman" w:hAnsi="Times New Roman" w:cs="Times New Roman"/>
          <w:sz w:val="24"/>
          <w:szCs w:val="24"/>
        </w:rPr>
        <w:t>que a análise SWOT</w:t>
      </w:r>
      <w:r w:rsidR="005C54EC" w:rsidRPr="00D819FE">
        <w:rPr>
          <w:rFonts w:ascii="Times New Roman" w:hAnsi="Times New Roman" w:cs="Times New Roman"/>
          <w:sz w:val="24"/>
          <w:szCs w:val="24"/>
        </w:rPr>
        <w:t>, embora extremamente útil ao estabelecimento de diagnóstico de posição,</w:t>
      </w:r>
      <w:r w:rsidR="00C33364" w:rsidRPr="00D819FE">
        <w:rPr>
          <w:rFonts w:ascii="Times New Roman" w:hAnsi="Times New Roman" w:cs="Times New Roman"/>
          <w:sz w:val="24"/>
          <w:szCs w:val="24"/>
        </w:rPr>
        <w:t xml:space="preserve"> sinaliza apenas aspectos negativos</w:t>
      </w:r>
      <w:r w:rsidR="00FE23EA" w:rsidRPr="00D819FE">
        <w:rPr>
          <w:rFonts w:ascii="Times New Roman" w:hAnsi="Times New Roman" w:cs="Times New Roman"/>
          <w:sz w:val="24"/>
          <w:szCs w:val="24"/>
        </w:rPr>
        <w:t xml:space="preserve"> (fraquezas e ameaças)</w:t>
      </w:r>
      <w:r w:rsidR="00C33364" w:rsidRPr="00D819FE">
        <w:rPr>
          <w:rFonts w:ascii="Times New Roman" w:hAnsi="Times New Roman" w:cs="Times New Roman"/>
          <w:sz w:val="24"/>
          <w:szCs w:val="24"/>
        </w:rPr>
        <w:t xml:space="preserve"> advindos do </w:t>
      </w:r>
      <w:r w:rsidR="00FE23EA" w:rsidRPr="00D819FE">
        <w:rPr>
          <w:rFonts w:ascii="Times New Roman" w:hAnsi="Times New Roman" w:cs="Times New Roman"/>
          <w:sz w:val="24"/>
          <w:szCs w:val="24"/>
        </w:rPr>
        <w:t>contexto</w:t>
      </w:r>
      <w:r w:rsidR="00C33364" w:rsidRPr="00D819FE">
        <w:rPr>
          <w:rFonts w:ascii="Times New Roman" w:hAnsi="Times New Roman" w:cs="Times New Roman"/>
          <w:sz w:val="24"/>
          <w:szCs w:val="24"/>
        </w:rPr>
        <w:t xml:space="preserve"> de inserção da organização</w:t>
      </w:r>
      <w:r w:rsidR="00FE23EA" w:rsidRPr="00D819FE">
        <w:rPr>
          <w:rFonts w:ascii="Times New Roman" w:hAnsi="Times New Roman" w:cs="Times New Roman"/>
          <w:sz w:val="24"/>
          <w:szCs w:val="24"/>
        </w:rPr>
        <w:t xml:space="preserve"> (ambiente interno e externo)</w:t>
      </w:r>
      <w:r w:rsidR="00C33364" w:rsidRPr="00D819FE">
        <w:rPr>
          <w:rFonts w:ascii="Times New Roman" w:hAnsi="Times New Roman" w:cs="Times New Roman"/>
          <w:sz w:val="24"/>
          <w:szCs w:val="24"/>
        </w:rPr>
        <w:t xml:space="preserve">, </w:t>
      </w:r>
      <w:r w:rsidR="00FE23EA" w:rsidRPr="00D819FE">
        <w:rPr>
          <w:rFonts w:ascii="Times New Roman" w:hAnsi="Times New Roman" w:cs="Times New Roman"/>
          <w:sz w:val="24"/>
          <w:szCs w:val="24"/>
        </w:rPr>
        <w:t xml:space="preserve">representativos, </w:t>
      </w:r>
      <w:r w:rsidR="00C33364" w:rsidRPr="00D819FE">
        <w:rPr>
          <w:rFonts w:ascii="Times New Roman" w:hAnsi="Times New Roman" w:cs="Times New Roman"/>
          <w:sz w:val="24"/>
          <w:szCs w:val="24"/>
        </w:rPr>
        <w:t xml:space="preserve">portanto, </w:t>
      </w:r>
      <w:r w:rsidR="00FE23EA" w:rsidRPr="00D819FE">
        <w:rPr>
          <w:rFonts w:ascii="Times New Roman" w:hAnsi="Times New Roman" w:cs="Times New Roman"/>
          <w:sz w:val="24"/>
          <w:szCs w:val="24"/>
        </w:rPr>
        <w:t xml:space="preserve">de possíveis </w:t>
      </w:r>
      <w:r w:rsidR="00C33364" w:rsidRPr="00D819FE">
        <w:rPr>
          <w:rFonts w:ascii="Times New Roman" w:hAnsi="Times New Roman" w:cs="Times New Roman"/>
          <w:sz w:val="24"/>
          <w:szCs w:val="24"/>
        </w:rPr>
        <w:t>fonte</w:t>
      </w:r>
      <w:r w:rsidRPr="00D819FE">
        <w:rPr>
          <w:rFonts w:ascii="Times New Roman" w:hAnsi="Times New Roman" w:cs="Times New Roman"/>
          <w:sz w:val="24"/>
          <w:szCs w:val="24"/>
        </w:rPr>
        <w:t>s</w:t>
      </w:r>
      <w:r w:rsidR="00C33364" w:rsidRPr="00D819FE">
        <w:rPr>
          <w:rFonts w:ascii="Times New Roman" w:hAnsi="Times New Roman" w:cs="Times New Roman"/>
          <w:sz w:val="24"/>
          <w:szCs w:val="24"/>
        </w:rPr>
        <w:t xml:space="preserve"> </w:t>
      </w:r>
      <w:r w:rsidR="005C54EC" w:rsidRPr="00D819FE">
        <w:rPr>
          <w:rFonts w:ascii="Times New Roman" w:hAnsi="Times New Roman" w:cs="Times New Roman"/>
          <w:sz w:val="24"/>
          <w:szCs w:val="24"/>
        </w:rPr>
        <w:t xml:space="preserve">ou causas </w:t>
      </w:r>
      <w:r w:rsidR="00FE23EA" w:rsidRPr="00D819FE">
        <w:rPr>
          <w:rFonts w:ascii="Times New Roman" w:hAnsi="Times New Roman" w:cs="Times New Roman"/>
          <w:sz w:val="24"/>
          <w:szCs w:val="24"/>
        </w:rPr>
        <w:t xml:space="preserve">de risco, e tendo em vista a </w:t>
      </w:r>
      <w:r w:rsidR="005C54EC" w:rsidRPr="00D819FE">
        <w:rPr>
          <w:rFonts w:ascii="Times New Roman" w:hAnsi="Times New Roman" w:cs="Times New Roman"/>
          <w:sz w:val="24"/>
          <w:szCs w:val="24"/>
        </w:rPr>
        <w:t>ausência de evidências no sentido de</w:t>
      </w:r>
      <w:r w:rsidR="00FE23EA" w:rsidRPr="00D819FE">
        <w:rPr>
          <w:rFonts w:ascii="Times New Roman" w:hAnsi="Times New Roman" w:cs="Times New Roman"/>
          <w:sz w:val="24"/>
          <w:szCs w:val="24"/>
        </w:rPr>
        <w:t xml:space="preserve"> efetivo</w:t>
      </w:r>
      <w:r w:rsidR="005C54EC" w:rsidRPr="00D819FE">
        <w:rPr>
          <w:rFonts w:ascii="Times New Roman" w:hAnsi="Times New Roman" w:cs="Times New Roman"/>
          <w:sz w:val="24"/>
          <w:szCs w:val="24"/>
        </w:rPr>
        <w:t xml:space="preserve"> tratamento das referidas causas ou, ainda, </w:t>
      </w:r>
      <w:r w:rsidR="00FE23EA" w:rsidRPr="00D819FE">
        <w:rPr>
          <w:rFonts w:ascii="Times New Roman" w:hAnsi="Times New Roman" w:cs="Times New Roman"/>
          <w:sz w:val="24"/>
          <w:szCs w:val="24"/>
        </w:rPr>
        <w:t xml:space="preserve">de </w:t>
      </w:r>
      <w:r w:rsidR="005C54EC" w:rsidRPr="00D819FE">
        <w:rPr>
          <w:rFonts w:ascii="Times New Roman" w:hAnsi="Times New Roman" w:cs="Times New Roman"/>
          <w:sz w:val="24"/>
          <w:szCs w:val="24"/>
        </w:rPr>
        <w:t xml:space="preserve">sistematização de procedimentos afetos à identificação, análise, avaliação e tratamento de riscos, </w:t>
      </w:r>
      <w:r w:rsidR="00FE23EA" w:rsidRPr="00D819FE">
        <w:rPr>
          <w:rFonts w:ascii="Times New Roman" w:hAnsi="Times New Roman" w:cs="Times New Roman"/>
          <w:sz w:val="24"/>
          <w:szCs w:val="24"/>
        </w:rPr>
        <w:t>ainda que inexistente diretriz institucional,</w:t>
      </w:r>
      <w:r w:rsidR="00C33364" w:rsidRPr="00D819FE">
        <w:rPr>
          <w:rFonts w:ascii="Times New Roman" w:hAnsi="Times New Roman" w:cs="Times New Roman"/>
          <w:sz w:val="24"/>
          <w:szCs w:val="24"/>
        </w:rPr>
        <w:t xml:space="preserve"> </w:t>
      </w:r>
      <w:r w:rsidR="007E0B35" w:rsidRPr="00D819FE">
        <w:rPr>
          <w:rFonts w:ascii="Times New Roman" w:hAnsi="Times New Roman" w:cs="Times New Roman"/>
          <w:sz w:val="24"/>
          <w:szCs w:val="24"/>
        </w:rPr>
        <w:t>conclui-se pela subsistência do achado anteriormente evidenciado</w:t>
      </w:r>
      <w:r w:rsidR="003438A8" w:rsidRPr="00D819FE">
        <w:rPr>
          <w:rFonts w:ascii="Times New Roman" w:hAnsi="Times New Roman" w:cs="Times New Roman"/>
          <w:sz w:val="24"/>
          <w:szCs w:val="24"/>
        </w:rPr>
        <w:t>.</w:t>
      </w:r>
    </w:p>
    <w:p w:rsidR="00C353EE" w:rsidRPr="00775054" w:rsidRDefault="00B348F1"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 xml:space="preserve">Capacitação insuficiente de servidores </w:t>
      </w:r>
      <w:r w:rsidR="00E538B8" w:rsidRPr="000E2633">
        <w:rPr>
          <w:rFonts w:ascii="Times New Roman" w:hAnsi="Times New Roman" w:cs="Times New Roman"/>
          <w:sz w:val="24"/>
          <w:szCs w:val="24"/>
          <w:u w:val="single"/>
        </w:rPr>
        <w:t>na metodologia</w:t>
      </w:r>
      <w:r w:rsidR="000E2633" w:rsidRPr="000E2633">
        <w:rPr>
          <w:rFonts w:ascii="Times New Roman" w:hAnsi="Times New Roman" w:cs="Times New Roman"/>
          <w:sz w:val="24"/>
          <w:szCs w:val="24"/>
          <w:u w:val="single"/>
        </w:rPr>
        <w:t xml:space="preserve"> de gestão</w:t>
      </w:r>
      <w:r w:rsidRPr="000E2633">
        <w:rPr>
          <w:rFonts w:ascii="Times New Roman" w:hAnsi="Times New Roman" w:cs="Times New Roman"/>
          <w:sz w:val="24"/>
          <w:szCs w:val="24"/>
          <w:u w:val="single"/>
        </w:rPr>
        <w:t xml:space="preserve"> </w:t>
      </w:r>
      <w:r w:rsidRPr="00775054">
        <w:rPr>
          <w:rFonts w:ascii="Times New Roman" w:hAnsi="Times New Roman" w:cs="Times New Roman"/>
          <w:color w:val="000000" w:themeColor="text1"/>
          <w:sz w:val="24"/>
          <w:szCs w:val="24"/>
          <w:u w:val="single"/>
        </w:rPr>
        <w:t>de projetos</w:t>
      </w:r>
      <w:r w:rsidR="000E2633" w:rsidRPr="000E2633">
        <w:rPr>
          <w:rFonts w:ascii="Times New Roman" w:hAnsi="Times New Roman" w:cs="Times New Roman"/>
          <w:color w:val="000000" w:themeColor="text1"/>
          <w:sz w:val="24"/>
          <w:szCs w:val="24"/>
          <w:u w:val="single"/>
        </w:rPr>
        <w:t>.</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w:t>
      </w:r>
    </w:p>
    <w:p w:rsidR="00C353EE" w:rsidRPr="00775054" w:rsidRDefault="00E538B8" w:rsidP="00B348F1">
      <w:pPr>
        <w:numPr>
          <w:ilvl w:val="4"/>
          <w:numId w:val="1"/>
        </w:numPr>
        <w:spacing w:after="0" w:line="240" w:lineRule="auto"/>
        <w:jc w:val="both"/>
        <w:rPr>
          <w:rFonts w:ascii="Times New Roman" w:hAnsi="Times New Roman" w:cs="Times New Roman"/>
          <w:color w:val="000000" w:themeColor="text1"/>
          <w:spacing w:val="-4"/>
          <w:sz w:val="24"/>
          <w:szCs w:val="24"/>
        </w:rPr>
      </w:pPr>
      <w:r>
        <w:rPr>
          <w:rFonts w:ascii="Times New Roman" w:hAnsi="Times New Roman" w:cs="Times New Roman"/>
          <w:color w:val="000000" w:themeColor="text1"/>
          <w:spacing w:val="-4"/>
          <w:sz w:val="24"/>
          <w:szCs w:val="24"/>
          <w:lang w:eastAsia="pt-BR"/>
        </w:rPr>
        <w:t xml:space="preserve">Verificou-se que compete à </w:t>
      </w:r>
      <w:r w:rsidR="00B348F1" w:rsidRPr="00775054">
        <w:rPr>
          <w:rFonts w:ascii="Times New Roman" w:hAnsi="Times New Roman" w:cs="Times New Roman"/>
          <w:color w:val="000000" w:themeColor="text1"/>
          <w:spacing w:val="-4"/>
          <w:sz w:val="24"/>
          <w:szCs w:val="24"/>
          <w:lang w:eastAsia="pt-BR"/>
        </w:rPr>
        <w:t>COPEG orienta</w:t>
      </w:r>
      <w:r>
        <w:rPr>
          <w:rFonts w:ascii="Times New Roman" w:hAnsi="Times New Roman" w:cs="Times New Roman"/>
          <w:color w:val="000000" w:themeColor="text1"/>
          <w:spacing w:val="-4"/>
          <w:sz w:val="24"/>
          <w:szCs w:val="24"/>
          <w:lang w:eastAsia="pt-BR"/>
        </w:rPr>
        <w:t>r</w:t>
      </w:r>
      <w:r w:rsidR="00B348F1" w:rsidRPr="00775054">
        <w:rPr>
          <w:rFonts w:ascii="Times New Roman" w:hAnsi="Times New Roman" w:cs="Times New Roman"/>
          <w:color w:val="000000" w:themeColor="text1"/>
          <w:spacing w:val="-4"/>
          <w:sz w:val="24"/>
          <w:szCs w:val="24"/>
          <w:lang w:eastAsia="pt-BR"/>
        </w:rPr>
        <w:t xml:space="preserve"> os gerentes</w:t>
      </w:r>
      <w:r>
        <w:rPr>
          <w:rFonts w:ascii="Times New Roman" w:hAnsi="Times New Roman" w:cs="Times New Roman"/>
          <w:color w:val="000000" w:themeColor="text1"/>
          <w:spacing w:val="-4"/>
          <w:sz w:val="24"/>
          <w:szCs w:val="24"/>
          <w:lang w:eastAsia="pt-BR"/>
        </w:rPr>
        <w:t xml:space="preserve"> de iniciativas</w:t>
      </w:r>
      <w:r w:rsidR="00B348F1" w:rsidRPr="00775054">
        <w:rPr>
          <w:rFonts w:ascii="Times New Roman" w:hAnsi="Times New Roman" w:cs="Times New Roman"/>
          <w:color w:val="000000" w:themeColor="text1"/>
          <w:spacing w:val="-4"/>
          <w:sz w:val="24"/>
          <w:szCs w:val="24"/>
          <w:lang w:eastAsia="pt-BR"/>
        </w:rPr>
        <w:t xml:space="preserve"> acerca da execução dos projetos, contudo, </w:t>
      </w:r>
      <w:r>
        <w:rPr>
          <w:rFonts w:ascii="Times New Roman" w:hAnsi="Times New Roman" w:cs="Times New Roman"/>
          <w:color w:val="000000" w:themeColor="text1"/>
          <w:spacing w:val="-4"/>
          <w:sz w:val="24"/>
          <w:szCs w:val="24"/>
          <w:lang w:eastAsia="pt-BR"/>
        </w:rPr>
        <w:t>constatou</w:t>
      </w:r>
      <w:r w:rsidR="00B348F1" w:rsidRPr="00775054">
        <w:rPr>
          <w:rFonts w:ascii="Times New Roman" w:hAnsi="Times New Roman" w:cs="Times New Roman"/>
          <w:color w:val="000000" w:themeColor="text1"/>
          <w:spacing w:val="-4"/>
          <w:sz w:val="24"/>
          <w:szCs w:val="24"/>
          <w:lang w:eastAsia="pt-BR"/>
        </w:rPr>
        <w:t xml:space="preserve">-se que as diretrizes repassadas são insuficientes para a operacionalização e documentação das iniciativas. Não obstante, evidenciou-se que alguns gestores, por iniciativa própria, realizaram ações de treinamento em execução de projetos, buscando adquirir os conhecimentos técnicos necessários. Adicionalmente, constatou-se que servidores são indicados para atuar como gerente de projeto sem capacitação formal para a execução da atividade, haja vista que apenas </w:t>
      </w:r>
      <w:proofErr w:type="gramStart"/>
      <w:r w:rsidR="00EC6221">
        <w:rPr>
          <w:rFonts w:ascii="Times New Roman" w:hAnsi="Times New Roman" w:cs="Times New Roman"/>
          <w:color w:val="000000" w:themeColor="text1"/>
          <w:spacing w:val="-4"/>
          <w:sz w:val="24"/>
          <w:szCs w:val="24"/>
          <w:lang w:eastAsia="pt-BR"/>
        </w:rPr>
        <w:t>2</w:t>
      </w:r>
      <w:proofErr w:type="gramEnd"/>
      <w:r w:rsidR="00B348F1" w:rsidRPr="00775054">
        <w:rPr>
          <w:rFonts w:ascii="Times New Roman" w:hAnsi="Times New Roman" w:cs="Times New Roman"/>
          <w:color w:val="000000" w:themeColor="text1"/>
          <w:spacing w:val="-4"/>
          <w:sz w:val="24"/>
          <w:szCs w:val="24"/>
          <w:lang w:eastAsia="pt-BR"/>
        </w:rPr>
        <w:t xml:space="preserve"> dos 12 gerentes dos projetos selecionados </w:t>
      </w:r>
      <w:r>
        <w:rPr>
          <w:rFonts w:ascii="Times New Roman" w:hAnsi="Times New Roman" w:cs="Times New Roman"/>
          <w:color w:val="000000" w:themeColor="text1"/>
          <w:spacing w:val="-4"/>
          <w:sz w:val="24"/>
          <w:szCs w:val="24"/>
          <w:lang w:eastAsia="pt-BR"/>
        </w:rPr>
        <w:t>par</w:t>
      </w:r>
      <w:r w:rsidR="00B348F1" w:rsidRPr="00775054">
        <w:rPr>
          <w:rFonts w:ascii="Times New Roman" w:hAnsi="Times New Roman" w:cs="Times New Roman"/>
          <w:color w:val="000000" w:themeColor="text1"/>
          <w:spacing w:val="-4"/>
          <w:sz w:val="24"/>
          <w:szCs w:val="24"/>
          <w:lang w:eastAsia="pt-BR"/>
        </w:rPr>
        <w:t xml:space="preserve">a </w:t>
      </w:r>
      <w:r>
        <w:rPr>
          <w:rFonts w:ascii="Times New Roman" w:hAnsi="Times New Roman" w:cs="Times New Roman"/>
          <w:color w:val="000000" w:themeColor="text1"/>
          <w:spacing w:val="-4"/>
          <w:sz w:val="24"/>
          <w:szCs w:val="24"/>
          <w:lang w:eastAsia="pt-BR"/>
        </w:rPr>
        <w:t xml:space="preserve">composição da </w:t>
      </w:r>
      <w:r w:rsidR="00B348F1" w:rsidRPr="00775054">
        <w:rPr>
          <w:rFonts w:ascii="Times New Roman" w:hAnsi="Times New Roman" w:cs="Times New Roman"/>
          <w:color w:val="000000" w:themeColor="text1"/>
          <w:spacing w:val="-4"/>
          <w:sz w:val="24"/>
          <w:szCs w:val="24"/>
          <w:lang w:eastAsia="pt-BR"/>
        </w:rPr>
        <w:t xml:space="preserve">amostra </w:t>
      </w:r>
      <w:r>
        <w:rPr>
          <w:rFonts w:ascii="Times New Roman" w:hAnsi="Times New Roman" w:cs="Times New Roman"/>
          <w:color w:val="000000" w:themeColor="text1"/>
          <w:spacing w:val="-4"/>
          <w:sz w:val="24"/>
          <w:szCs w:val="24"/>
          <w:lang w:eastAsia="pt-BR"/>
        </w:rPr>
        <w:t>receberam capacitação específica do</w:t>
      </w:r>
      <w:r w:rsidR="00B348F1" w:rsidRPr="00775054">
        <w:rPr>
          <w:rFonts w:ascii="Times New Roman" w:hAnsi="Times New Roman" w:cs="Times New Roman"/>
          <w:color w:val="000000" w:themeColor="text1"/>
          <w:spacing w:val="-4"/>
          <w:sz w:val="24"/>
          <w:szCs w:val="24"/>
          <w:lang w:eastAsia="pt-BR"/>
        </w:rPr>
        <w:t xml:space="preserve"> Tribunal.</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C353EE" w:rsidRPr="00CB1B59" w:rsidRDefault="00B348F1" w:rsidP="00B348F1">
      <w:pPr>
        <w:numPr>
          <w:ilvl w:val="4"/>
          <w:numId w:val="1"/>
        </w:numPr>
        <w:spacing w:after="0" w:line="240" w:lineRule="auto"/>
        <w:jc w:val="both"/>
        <w:rPr>
          <w:rFonts w:ascii="Times New Roman" w:hAnsi="Times New Roman" w:cs="Times New Roman"/>
          <w:color w:val="000000" w:themeColor="text1"/>
          <w:spacing w:val="-6"/>
          <w:sz w:val="24"/>
          <w:szCs w:val="24"/>
        </w:rPr>
      </w:pPr>
      <w:r w:rsidRPr="00CB1B59">
        <w:rPr>
          <w:rFonts w:ascii="Times New Roman" w:hAnsi="Times New Roman" w:cs="Times New Roman"/>
          <w:color w:val="000000" w:themeColor="text1"/>
          <w:spacing w:val="-6"/>
          <w:sz w:val="24"/>
          <w:szCs w:val="24"/>
        </w:rPr>
        <w:t xml:space="preserve">Resolução TRE-BA nº 3/2017, art. 4º, inciso III (Código de Ética do TRE-BA); Referencial </w:t>
      </w:r>
      <w:r w:rsidR="00E538B8" w:rsidRPr="00CB1B59">
        <w:rPr>
          <w:rFonts w:ascii="Times New Roman" w:hAnsi="Times New Roman" w:cs="Times New Roman"/>
          <w:color w:val="000000" w:themeColor="text1"/>
          <w:spacing w:val="-6"/>
          <w:sz w:val="24"/>
          <w:szCs w:val="24"/>
        </w:rPr>
        <w:t>B</w:t>
      </w:r>
      <w:r w:rsidRPr="00CB1B59">
        <w:rPr>
          <w:rFonts w:ascii="Times New Roman" w:hAnsi="Times New Roman" w:cs="Times New Roman"/>
          <w:color w:val="000000" w:themeColor="text1"/>
          <w:spacing w:val="-6"/>
          <w:sz w:val="24"/>
          <w:szCs w:val="24"/>
        </w:rPr>
        <w:t xml:space="preserve">ásico de </w:t>
      </w:r>
      <w:r w:rsidR="00E538B8" w:rsidRPr="00CB1B59">
        <w:rPr>
          <w:rFonts w:ascii="Times New Roman" w:hAnsi="Times New Roman" w:cs="Times New Roman"/>
          <w:color w:val="000000" w:themeColor="text1"/>
          <w:spacing w:val="-6"/>
          <w:sz w:val="24"/>
          <w:szCs w:val="24"/>
        </w:rPr>
        <w:t>G</w:t>
      </w:r>
      <w:r w:rsidRPr="00CB1B59">
        <w:rPr>
          <w:rFonts w:ascii="Times New Roman" w:hAnsi="Times New Roman" w:cs="Times New Roman"/>
          <w:color w:val="000000" w:themeColor="text1"/>
          <w:spacing w:val="-6"/>
          <w:sz w:val="24"/>
          <w:szCs w:val="24"/>
        </w:rPr>
        <w:t>overnança</w:t>
      </w:r>
      <w:r w:rsidR="00E538B8" w:rsidRPr="00CB1B59">
        <w:rPr>
          <w:rFonts w:ascii="Times New Roman" w:hAnsi="Times New Roman" w:cs="Times New Roman"/>
          <w:color w:val="000000" w:themeColor="text1"/>
          <w:spacing w:val="-6"/>
          <w:sz w:val="24"/>
          <w:szCs w:val="24"/>
        </w:rPr>
        <w:t xml:space="preserve">, TCU, </w:t>
      </w:r>
      <w:r w:rsidRPr="00CB1B59">
        <w:rPr>
          <w:rFonts w:ascii="Times New Roman" w:hAnsi="Times New Roman" w:cs="Times New Roman"/>
          <w:color w:val="000000" w:themeColor="text1"/>
          <w:spacing w:val="-6"/>
          <w:sz w:val="24"/>
          <w:szCs w:val="24"/>
        </w:rPr>
        <w:t xml:space="preserve">Versão 2 – 2014, Prática </w:t>
      </w:r>
      <w:proofErr w:type="gramStart"/>
      <w:r w:rsidRPr="00CB1B59">
        <w:rPr>
          <w:rFonts w:ascii="Times New Roman" w:hAnsi="Times New Roman" w:cs="Times New Roman"/>
          <w:color w:val="000000" w:themeColor="text1"/>
          <w:spacing w:val="-6"/>
          <w:sz w:val="24"/>
          <w:szCs w:val="24"/>
        </w:rPr>
        <w:t>L1.</w:t>
      </w:r>
      <w:proofErr w:type="gramEnd"/>
      <w:r w:rsidRPr="00CB1B59">
        <w:rPr>
          <w:rFonts w:ascii="Times New Roman" w:hAnsi="Times New Roman" w:cs="Times New Roman"/>
          <w:color w:val="000000" w:themeColor="text1"/>
          <w:spacing w:val="-6"/>
          <w:sz w:val="24"/>
          <w:szCs w:val="24"/>
        </w:rPr>
        <w:t xml:space="preserve">2; Gerenciamento de Riscos Corporativos Integrado com a Estratégia e Performance do COSO, traduzido por </w:t>
      </w:r>
      <w:proofErr w:type="spellStart"/>
      <w:r w:rsidRPr="00CB1B59">
        <w:rPr>
          <w:rFonts w:ascii="Times New Roman" w:hAnsi="Times New Roman" w:cs="Times New Roman"/>
          <w:color w:val="000000" w:themeColor="text1"/>
          <w:spacing w:val="-6"/>
          <w:sz w:val="24"/>
          <w:szCs w:val="24"/>
        </w:rPr>
        <w:t>PwC</w:t>
      </w:r>
      <w:proofErr w:type="spellEnd"/>
      <w:r w:rsidRPr="00CB1B59">
        <w:rPr>
          <w:rFonts w:ascii="Times New Roman" w:hAnsi="Times New Roman" w:cs="Times New Roman"/>
          <w:color w:val="000000" w:themeColor="text1"/>
          <w:spacing w:val="-6"/>
          <w:sz w:val="24"/>
          <w:szCs w:val="24"/>
        </w:rPr>
        <w:t>, junho de 2017, Componente e Princípio 5.</w:t>
      </w:r>
    </w:p>
    <w:p w:rsidR="00C353EE" w:rsidRPr="00775054" w:rsidRDefault="00C353EE"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CF1B56" w:rsidRPr="00775054" w:rsidRDefault="00B348F1" w:rsidP="00B348F1">
      <w:pPr>
        <w:numPr>
          <w:ilvl w:val="4"/>
          <w:numId w:val="1"/>
        </w:numPr>
        <w:spacing w:after="0" w:line="240" w:lineRule="auto"/>
        <w:jc w:val="both"/>
        <w:rPr>
          <w:rFonts w:ascii="Times New Roman" w:hAnsi="Times New Roman" w:cs="Times New Roman"/>
          <w:color w:val="000000" w:themeColor="text1"/>
          <w:spacing w:val="-4"/>
          <w:sz w:val="24"/>
          <w:szCs w:val="24"/>
          <w:lang w:eastAsia="pt-BR"/>
        </w:rPr>
      </w:pPr>
      <w:r w:rsidRPr="00775054">
        <w:rPr>
          <w:rFonts w:ascii="Times New Roman" w:hAnsi="Times New Roman" w:cs="Times New Roman"/>
          <w:color w:val="000000" w:themeColor="text1"/>
          <w:spacing w:val="-4"/>
          <w:sz w:val="24"/>
          <w:szCs w:val="24"/>
          <w:lang w:eastAsia="pt-BR"/>
        </w:rPr>
        <w:lastRenderedPageBreak/>
        <w:t>Recente aprovação formal de Política de Gestão de Pessoas organizacional; ausência de conclusão dos trabalhos afetos ao projeto gestão por competências; e levantamento de necessidades de capacitação deficiente.</w:t>
      </w:r>
    </w:p>
    <w:p w:rsidR="00C353EE" w:rsidRPr="00775054" w:rsidRDefault="00C353EE"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e/ou potencial):</w:t>
      </w:r>
    </w:p>
    <w:p w:rsidR="00E070E6" w:rsidRPr="00775054" w:rsidRDefault="00B348F1" w:rsidP="00B348F1">
      <w:pPr>
        <w:numPr>
          <w:ilvl w:val="4"/>
          <w:numId w:val="1"/>
        </w:numPr>
        <w:spacing w:after="0" w:line="240" w:lineRule="auto"/>
        <w:jc w:val="both"/>
        <w:rPr>
          <w:rFonts w:ascii="Times New Roman" w:hAnsi="Times New Roman" w:cs="Times New Roman"/>
          <w:color w:val="000000" w:themeColor="text1"/>
          <w:spacing w:val="-4"/>
          <w:sz w:val="24"/>
          <w:szCs w:val="24"/>
          <w:lang w:eastAsia="pt-BR"/>
        </w:rPr>
      </w:pPr>
      <w:r w:rsidRPr="00775054">
        <w:rPr>
          <w:rFonts w:ascii="Times New Roman" w:hAnsi="Times New Roman" w:cs="Times New Roman"/>
          <w:color w:val="000000" w:themeColor="text1"/>
          <w:spacing w:val="-4"/>
          <w:sz w:val="24"/>
          <w:szCs w:val="24"/>
          <w:lang w:eastAsia="pt-BR"/>
        </w:rPr>
        <w:t>Comprometimento do monitoramento dos projetos; não identificação da necessidade de adoção de medidas corretivas nos projetos estratégicos; não alcance dos objetivos estratégicos por falha no monitoramento dos projetos; e desperdício de recursos.</w:t>
      </w:r>
    </w:p>
    <w:p w:rsidR="00C353EE" w:rsidRPr="00775054" w:rsidRDefault="00C353EE"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C353EE" w:rsidRPr="00D819FE" w:rsidRDefault="00556F36" w:rsidP="00FF1B84">
      <w:pPr>
        <w:numPr>
          <w:ilvl w:val="4"/>
          <w:numId w:val="1"/>
        </w:numPr>
        <w:spacing w:after="0" w:line="240" w:lineRule="auto"/>
        <w:jc w:val="both"/>
        <w:rPr>
          <w:rFonts w:ascii="Times New Roman" w:hAnsi="Times New Roman" w:cs="Times New Roman"/>
          <w:i/>
          <w:spacing w:val="-10"/>
          <w:sz w:val="24"/>
          <w:szCs w:val="24"/>
        </w:rPr>
      </w:pPr>
      <w:r w:rsidRPr="00CB1B59">
        <w:rPr>
          <w:rFonts w:ascii="Times New Roman" w:hAnsi="Times New Roman" w:cs="Times New Roman"/>
          <w:color w:val="000000" w:themeColor="text1"/>
          <w:spacing w:val="-10"/>
          <w:sz w:val="24"/>
          <w:szCs w:val="24"/>
        </w:rPr>
        <w:t>PAD nº 11.659/2017 (Docs. nº 203.580/2017 e 210.321/2017); PAD nº 14.851/2007 (Doc. nº 207.248/2017), 14.857/2017 (Doc. nº 207.296/2017), 14.855/2017 (Docs. nº 207.288/2017 e 207.287/2017), 14.356/2017 (Doc. nº 198.446/2017), 14.875/2017 (Doc. nº 207.264/2017) - extratos de entrevistas realizadas</w:t>
      </w:r>
      <w:r w:rsidR="00FF1B84">
        <w:rPr>
          <w:rFonts w:ascii="Times New Roman" w:hAnsi="Times New Roman" w:cs="Times New Roman"/>
          <w:color w:val="000000" w:themeColor="text1"/>
          <w:spacing w:val="-10"/>
          <w:sz w:val="24"/>
          <w:szCs w:val="24"/>
        </w:rPr>
        <w:t xml:space="preserve">; </w:t>
      </w:r>
      <w:r w:rsidR="00FF1B84" w:rsidRPr="00D819FE">
        <w:rPr>
          <w:rFonts w:ascii="Times New Roman" w:hAnsi="Times New Roman" w:cs="Times New Roman"/>
          <w:spacing w:val="-10"/>
          <w:sz w:val="24"/>
          <w:szCs w:val="24"/>
        </w:rPr>
        <w:t>e PAD nº 4.727/2018 (Doc</w:t>
      </w:r>
      <w:r w:rsidR="00702F25" w:rsidRPr="00D819FE">
        <w:rPr>
          <w:rFonts w:ascii="Times New Roman" w:hAnsi="Times New Roman" w:cs="Times New Roman"/>
          <w:spacing w:val="-10"/>
          <w:sz w:val="24"/>
          <w:szCs w:val="24"/>
        </w:rPr>
        <w:t>s</w:t>
      </w:r>
      <w:r w:rsidR="00FF1B84" w:rsidRPr="00D819FE">
        <w:rPr>
          <w:rFonts w:ascii="Times New Roman" w:hAnsi="Times New Roman" w:cs="Times New Roman"/>
          <w:spacing w:val="-10"/>
          <w:sz w:val="24"/>
          <w:szCs w:val="24"/>
        </w:rPr>
        <w:t>. nº 66.886/2018</w:t>
      </w:r>
      <w:r w:rsidR="00702F25" w:rsidRPr="00D819FE">
        <w:rPr>
          <w:rFonts w:ascii="Times New Roman" w:hAnsi="Times New Roman" w:cs="Times New Roman"/>
          <w:spacing w:val="-10"/>
          <w:sz w:val="24"/>
          <w:szCs w:val="24"/>
        </w:rPr>
        <w:t>, 80.064/2018</w:t>
      </w:r>
      <w:r w:rsidR="00FF1B84" w:rsidRPr="00D819FE">
        <w:rPr>
          <w:rFonts w:ascii="Times New Roman" w:hAnsi="Times New Roman" w:cs="Times New Roman"/>
          <w:spacing w:val="-10"/>
          <w:sz w:val="24"/>
          <w:szCs w:val="24"/>
        </w:rPr>
        <w:t>).</w:t>
      </w:r>
    </w:p>
    <w:p w:rsidR="007C6F2A" w:rsidRPr="00775054" w:rsidRDefault="007C6F2A" w:rsidP="007C6F2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w:t>
      </w:r>
      <w:r w:rsidR="00FA13DB" w:rsidRPr="00775054">
        <w:rPr>
          <w:rFonts w:ascii="Times New Roman" w:hAnsi="Times New Roman" w:cs="Times New Roman"/>
          <w:i/>
          <w:color w:val="000000" w:themeColor="text1"/>
          <w:sz w:val="24"/>
          <w:szCs w:val="24"/>
        </w:rPr>
        <w:t>s</w:t>
      </w:r>
      <w:r w:rsidRPr="00775054">
        <w:rPr>
          <w:rFonts w:ascii="Times New Roman" w:hAnsi="Times New Roman" w:cs="Times New Roman"/>
          <w:i/>
          <w:color w:val="000000" w:themeColor="text1"/>
          <w:sz w:val="24"/>
          <w:szCs w:val="24"/>
        </w:rPr>
        <w:t xml:space="preserve"> dos responsáveis:</w:t>
      </w:r>
    </w:p>
    <w:p w:rsidR="007C6F2A" w:rsidRPr="0025072D" w:rsidRDefault="00541F26" w:rsidP="000478D5">
      <w:pPr>
        <w:numPr>
          <w:ilvl w:val="4"/>
          <w:numId w:val="1"/>
        </w:numPr>
        <w:spacing w:after="0" w:line="240" w:lineRule="auto"/>
        <w:jc w:val="both"/>
        <w:rPr>
          <w:rFonts w:ascii="Times New Roman" w:hAnsi="Times New Roman" w:cs="Times New Roman"/>
          <w:i/>
          <w:color w:val="000000" w:themeColor="text1"/>
          <w:sz w:val="24"/>
          <w:szCs w:val="24"/>
        </w:rPr>
      </w:pPr>
      <w:r w:rsidRPr="00775054">
        <w:rPr>
          <w:rFonts w:ascii="Times New Roman" w:hAnsi="Times New Roman" w:cs="Times New Roman"/>
          <w:color w:val="000000" w:themeColor="text1"/>
          <w:sz w:val="24"/>
          <w:szCs w:val="24"/>
        </w:rPr>
        <w:t>Em resposta à RDI nº 8/2018 (PAD nº 1.310/2018, Doc. nº 30.991/2018)</w:t>
      </w:r>
      <w:r w:rsidR="000478D5" w:rsidRPr="00775054">
        <w:rPr>
          <w:rFonts w:ascii="Times New Roman" w:hAnsi="Times New Roman" w:cs="Times New Roman"/>
          <w:color w:val="000000" w:themeColor="text1"/>
          <w:sz w:val="24"/>
          <w:szCs w:val="24"/>
        </w:rPr>
        <w:t>, a SGP sugeriu que a recomendação proposta inclua a necessidade de encaminhamento à COEDE da relação de gestores de projetos estratégicos que deverão ser capacitados</w:t>
      </w:r>
      <w:r w:rsidR="007C6F2A" w:rsidRPr="00775054">
        <w:rPr>
          <w:rFonts w:ascii="Times New Roman" w:hAnsi="Times New Roman" w:cs="Times New Roman"/>
          <w:color w:val="000000" w:themeColor="text1"/>
          <w:sz w:val="24"/>
          <w:szCs w:val="24"/>
        </w:rPr>
        <w:t>.</w:t>
      </w:r>
    </w:p>
    <w:p w:rsidR="0025072D" w:rsidRPr="00D819FE" w:rsidRDefault="0025072D" w:rsidP="0025072D">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Em resposta à RDI Circular nº 5/2018 (PAD nº 4.727/2018, Doc. nº 66.886/2018), a SGP informou que há um curso na modalidade EAD construído pelo TRE-MG que pode ser utilizado na referida capacitação. Sugeriu que o curso seja revisado pelas unidades competentes para que se verifique a necessidade de atualização do conteúdo. Após atualização, o curso poderá ficar disponível para consulta de forma a possibilitar que qualquer servidor designado para gerência de projeto tenha a cesso imediato ao conteúdo do curso. Para tanto, uma vez que não haverá turma específica com data de início e data final, não será possível validá-lo para adicional de qualificação.</w:t>
      </w:r>
    </w:p>
    <w:p w:rsidR="00477532" w:rsidRPr="00D819FE" w:rsidRDefault="00477532" w:rsidP="00477532">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Em resposta à RDI Circular nº 5/2018 (PAD nº 4.727/2018, Doc. nº 80.064/2018), a COPEG informou que, após a formalização da indicação dos servidores para exercer a gerência de um projeto estratégico, a SEGEPRO comunicará, via PAD, à SGP acerca da designação, para ciência e providências visando assegurar a capacitação técnica dos servidores designados.</w:t>
      </w:r>
    </w:p>
    <w:p w:rsidR="007C6F2A" w:rsidRPr="00775054" w:rsidRDefault="007C6F2A" w:rsidP="007C6F2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7C6F2A" w:rsidRPr="00D819FE" w:rsidRDefault="003438A8" w:rsidP="000478D5">
      <w:pPr>
        <w:numPr>
          <w:ilvl w:val="4"/>
          <w:numId w:val="1"/>
        </w:numPr>
        <w:spacing w:after="0" w:line="240" w:lineRule="auto"/>
        <w:ind w:left="1077" w:hanging="1077"/>
        <w:jc w:val="both"/>
        <w:rPr>
          <w:rFonts w:ascii="Times New Roman" w:hAnsi="Times New Roman" w:cs="Times New Roman"/>
          <w:sz w:val="24"/>
          <w:szCs w:val="24"/>
        </w:rPr>
      </w:pPr>
      <w:r w:rsidRPr="00D819FE">
        <w:rPr>
          <w:rFonts w:ascii="Times New Roman" w:hAnsi="Times New Roman" w:cs="Times New Roman"/>
          <w:sz w:val="24"/>
          <w:szCs w:val="24"/>
        </w:rPr>
        <w:t>Não obstante sinalização de acolhimento, pela COPEG, de prática recomendada em encaminhamento proposto, tendo em vista ausência de evidências no sentido de instituição/formalização/documentação de rotina que assegure a divulgação interna e efetivo cumprimento da sistemática,</w:t>
      </w:r>
      <w:r w:rsidR="000478D5" w:rsidRPr="00D819FE">
        <w:rPr>
          <w:rFonts w:ascii="Times New Roman" w:hAnsi="Times New Roman" w:cs="Times New Roman"/>
          <w:sz w:val="24"/>
          <w:szCs w:val="24"/>
        </w:rPr>
        <w:t xml:space="preserve"> conclui-se pela subsistência da fragilidade ora evidenciada</w:t>
      </w:r>
      <w:r w:rsidR="00E538B8" w:rsidRPr="00D819FE">
        <w:rPr>
          <w:rFonts w:ascii="Times New Roman" w:hAnsi="Times New Roman" w:cs="Times New Roman"/>
          <w:sz w:val="24"/>
          <w:szCs w:val="24"/>
        </w:rPr>
        <w:t xml:space="preserve">, bem como pelo acolhimento da sugestão </w:t>
      </w:r>
      <w:r w:rsidRPr="00D819FE">
        <w:rPr>
          <w:rFonts w:ascii="Times New Roman" w:hAnsi="Times New Roman" w:cs="Times New Roman"/>
          <w:sz w:val="24"/>
          <w:szCs w:val="24"/>
        </w:rPr>
        <w:t xml:space="preserve">anteriormente </w:t>
      </w:r>
      <w:r w:rsidR="00E538B8" w:rsidRPr="00D819FE">
        <w:rPr>
          <w:rFonts w:ascii="Times New Roman" w:hAnsi="Times New Roman" w:cs="Times New Roman"/>
          <w:sz w:val="24"/>
          <w:szCs w:val="24"/>
        </w:rPr>
        <w:t xml:space="preserve">formulada pela SGP </w:t>
      </w:r>
      <w:r w:rsidRPr="00D819FE">
        <w:rPr>
          <w:rFonts w:ascii="Times New Roman" w:hAnsi="Times New Roman" w:cs="Times New Roman"/>
          <w:sz w:val="24"/>
          <w:szCs w:val="24"/>
        </w:rPr>
        <w:t xml:space="preserve">(Doc. 30.991/2018), </w:t>
      </w:r>
      <w:r w:rsidR="00E538B8" w:rsidRPr="00D819FE">
        <w:rPr>
          <w:rFonts w:ascii="Times New Roman" w:hAnsi="Times New Roman" w:cs="Times New Roman"/>
          <w:sz w:val="24"/>
          <w:szCs w:val="24"/>
        </w:rPr>
        <w:t>no sentido de complementação do respectivo encaminhamento proposto</w:t>
      </w:r>
      <w:r w:rsidRPr="00D819FE">
        <w:rPr>
          <w:rFonts w:ascii="Times New Roman" w:hAnsi="Times New Roman" w:cs="Times New Roman"/>
          <w:sz w:val="24"/>
          <w:szCs w:val="24"/>
        </w:rPr>
        <w:t>,</w:t>
      </w:r>
      <w:r w:rsidR="00E26FA8" w:rsidRPr="00D819FE">
        <w:rPr>
          <w:rFonts w:ascii="Times New Roman" w:hAnsi="Times New Roman" w:cs="Times New Roman"/>
          <w:sz w:val="24"/>
          <w:szCs w:val="24"/>
        </w:rPr>
        <w:t xml:space="preserve"> </w:t>
      </w:r>
      <w:r w:rsidRPr="00D819FE">
        <w:rPr>
          <w:rFonts w:ascii="Times New Roman" w:hAnsi="Times New Roman" w:cs="Times New Roman"/>
          <w:sz w:val="24"/>
          <w:szCs w:val="24"/>
        </w:rPr>
        <w:t>de modo a requerer da COPEG que informe à referida Unidade de Pessoal, gerentes de projetos a serem capacitados.</w:t>
      </w:r>
      <w:r w:rsidR="000478D5" w:rsidRPr="00D819FE">
        <w:rPr>
          <w:rFonts w:ascii="Times New Roman" w:hAnsi="Times New Roman" w:cs="Times New Roman"/>
          <w:sz w:val="24"/>
          <w:szCs w:val="24"/>
        </w:rPr>
        <w:t xml:space="preserve"> </w:t>
      </w:r>
    </w:p>
    <w:p w:rsidR="00113866" w:rsidRPr="00775054" w:rsidRDefault="00A72BF8"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 xml:space="preserve">Insuficiência de ferramenta informatizada </w:t>
      </w:r>
      <w:r w:rsidR="00E538B8" w:rsidRPr="008A6131">
        <w:rPr>
          <w:rFonts w:ascii="Times New Roman" w:hAnsi="Times New Roman" w:cs="Times New Roman"/>
          <w:sz w:val="24"/>
          <w:szCs w:val="24"/>
          <w:u w:val="single"/>
        </w:rPr>
        <w:t>de suporte ao</w:t>
      </w:r>
      <w:r w:rsidRPr="008A6131">
        <w:rPr>
          <w:rFonts w:ascii="Times New Roman" w:hAnsi="Times New Roman" w:cs="Times New Roman"/>
          <w:sz w:val="24"/>
          <w:szCs w:val="24"/>
          <w:u w:val="single"/>
        </w:rPr>
        <w:t xml:space="preserve"> </w:t>
      </w:r>
      <w:r w:rsidRPr="00775054">
        <w:rPr>
          <w:rFonts w:ascii="Times New Roman" w:hAnsi="Times New Roman" w:cs="Times New Roman"/>
          <w:color w:val="000000" w:themeColor="text1"/>
          <w:sz w:val="24"/>
          <w:szCs w:val="24"/>
          <w:u w:val="single"/>
        </w:rPr>
        <w:t>monitoramento de projetos estratégicos</w:t>
      </w:r>
      <w:r w:rsidR="000164DB" w:rsidRPr="00775054">
        <w:rPr>
          <w:rFonts w:ascii="Times New Roman" w:hAnsi="Times New Roman" w:cs="Times New Roman"/>
          <w:color w:val="000000" w:themeColor="text1"/>
          <w:sz w:val="24"/>
          <w:szCs w:val="24"/>
          <w:u w:val="single"/>
        </w:rPr>
        <w:t>.</w:t>
      </w:r>
    </w:p>
    <w:p w:rsidR="00113866" w:rsidRPr="00775054" w:rsidRDefault="00113866"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w:t>
      </w:r>
    </w:p>
    <w:p w:rsidR="000164DB" w:rsidRPr="00775054" w:rsidRDefault="00A72BF8" w:rsidP="00A72BF8">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lastRenderedPageBreak/>
        <w:t xml:space="preserve">Insuficiência de recursos no GEPLANES para o monitoramento dos projetos estratégicos, acompanhados por meio do PAD, com base em cronogramas inseridos em planilhas. Acessado o sistema GEPLANES, verificou-se somente a possiblidade de extração de relatórios gerenciais que permitem o acompanhamento dos indicadores estratégicos. Adicionalmente, constatou-se que, com a finalidade de disponibilizar uma ferramenta apropriada para o gerenciamento de projetos, a STI/COSUP solicitou a aquisição de duas licenças de uso do </w:t>
      </w:r>
      <w:r w:rsidRPr="00884F25">
        <w:rPr>
          <w:rFonts w:ascii="Times New Roman" w:hAnsi="Times New Roman" w:cs="Times New Roman"/>
          <w:i/>
          <w:color w:val="000000" w:themeColor="text1"/>
          <w:sz w:val="24"/>
          <w:szCs w:val="24"/>
        </w:rPr>
        <w:t>Microsoft Project</w:t>
      </w:r>
      <w:r w:rsidRPr="00775054">
        <w:rPr>
          <w:rFonts w:ascii="Times New Roman" w:hAnsi="Times New Roman" w:cs="Times New Roman"/>
          <w:color w:val="000000" w:themeColor="text1"/>
          <w:sz w:val="24"/>
          <w:szCs w:val="24"/>
        </w:rPr>
        <w:t xml:space="preserve"> em 13/7/2017 (PAD nº 8.909/2017), tendo decorrido, em 19/12/2017, mais de 120 dias de tramitação</w:t>
      </w:r>
      <w:r w:rsidR="00DA6666">
        <w:rPr>
          <w:rFonts w:ascii="Times New Roman" w:hAnsi="Times New Roman" w:cs="Times New Roman"/>
          <w:color w:val="000000" w:themeColor="text1"/>
          <w:sz w:val="24"/>
          <w:szCs w:val="24"/>
        </w:rPr>
        <w:t xml:space="preserve"> do referido processo de aquisição</w:t>
      </w:r>
      <w:r w:rsidRPr="00775054">
        <w:rPr>
          <w:rFonts w:ascii="Times New Roman" w:hAnsi="Times New Roman" w:cs="Times New Roman"/>
          <w:color w:val="000000" w:themeColor="text1"/>
          <w:sz w:val="24"/>
          <w:szCs w:val="24"/>
        </w:rPr>
        <w:t xml:space="preserve">, ultrapassando, </w:t>
      </w:r>
      <w:r w:rsidR="00DA6666">
        <w:rPr>
          <w:rFonts w:ascii="Times New Roman" w:hAnsi="Times New Roman" w:cs="Times New Roman"/>
          <w:color w:val="000000" w:themeColor="text1"/>
          <w:sz w:val="24"/>
          <w:szCs w:val="24"/>
        </w:rPr>
        <w:t>inclusive</w:t>
      </w:r>
      <w:r w:rsidRPr="00775054">
        <w:rPr>
          <w:rFonts w:ascii="Times New Roman" w:hAnsi="Times New Roman" w:cs="Times New Roman"/>
          <w:color w:val="000000" w:themeColor="text1"/>
          <w:sz w:val="24"/>
          <w:szCs w:val="24"/>
        </w:rPr>
        <w:t xml:space="preserve">, o prazo </w:t>
      </w:r>
      <w:r w:rsidR="00DA6666">
        <w:rPr>
          <w:rFonts w:ascii="Times New Roman" w:hAnsi="Times New Roman" w:cs="Times New Roman"/>
          <w:color w:val="000000" w:themeColor="text1"/>
          <w:sz w:val="24"/>
          <w:szCs w:val="24"/>
        </w:rPr>
        <w:t xml:space="preserve">referencial </w:t>
      </w:r>
      <w:r w:rsidRPr="00775054">
        <w:rPr>
          <w:rFonts w:ascii="Times New Roman" w:hAnsi="Times New Roman" w:cs="Times New Roman"/>
          <w:color w:val="000000" w:themeColor="text1"/>
          <w:sz w:val="24"/>
          <w:szCs w:val="24"/>
        </w:rPr>
        <w:t xml:space="preserve">previsto no Guia Prático de Contratações do Tribunal, </w:t>
      </w:r>
      <w:r w:rsidR="00DA6666">
        <w:rPr>
          <w:rFonts w:ascii="Times New Roman" w:hAnsi="Times New Roman" w:cs="Times New Roman"/>
          <w:color w:val="000000" w:themeColor="text1"/>
          <w:sz w:val="24"/>
          <w:szCs w:val="24"/>
        </w:rPr>
        <w:t>qual seja,</w:t>
      </w:r>
      <w:r w:rsidRPr="00775054">
        <w:rPr>
          <w:rFonts w:ascii="Times New Roman" w:hAnsi="Times New Roman" w:cs="Times New Roman"/>
          <w:color w:val="000000" w:themeColor="text1"/>
          <w:sz w:val="24"/>
          <w:szCs w:val="24"/>
        </w:rPr>
        <w:t xml:space="preserve"> 59 dias úteis para os processos de aquisição de bens e serviços, na modalidade pregão normal.</w:t>
      </w:r>
    </w:p>
    <w:p w:rsidR="00113866" w:rsidRPr="00775054" w:rsidRDefault="00113866"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113866" w:rsidRPr="00775054" w:rsidRDefault="00547778" w:rsidP="00547778">
      <w:pPr>
        <w:numPr>
          <w:ilvl w:val="4"/>
          <w:numId w:val="1"/>
        </w:numPr>
        <w:spacing w:after="0" w:line="240" w:lineRule="auto"/>
        <w:jc w:val="both"/>
        <w:rPr>
          <w:rFonts w:ascii="Times New Roman" w:hAnsi="Times New Roman" w:cs="Times New Roman"/>
          <w:color w:val="000000" w:themeColor="text1"/>
          <w:spacing w:val="-2"/>
          <w:sz w:val="24"/>
          <w:szCs w:val="24"/>
        </w:rPr>
      </w:pPr>
      <w:r w:rsidRPr="00775054">
        <w:rPr>
          <w:rFonts w:ascii="Times New Roman" w:hAnsi="Times New Roman" w:cs="Times New Roman"/>
          <w:color w:val="000000" w:themeColor="text1"/>
          <w:spacing w:val="-2"/>
          <w:sz w:val="24"/>
          <w:szCs w:val="24"/>
          <w:lang w:eastAsia="pt-BR"/>
        </w:rPr>
        <w:t xml:space="preserve">Decreto nº 9.203/2017, art. 4º, inciso III; Referencial </w:t>
      </w:r>
      <w:r w:rsidR="00DA6666">
        <w:rPr>
          <w:rFonts w:ascii="Times New Roman" w:hAnsi="Times New Roman" w:cs="Times New Roman"/>
          <w:color w:val="000000" w:themeColor="text1"/>
          <w:spacing w:val="-2"/>
          <w:sz w:val="24"/>
          <w:szCs w:val="24"/>
          <w:lang w:eastAsia="pt-BR"/>
        </w:rPr>
        <w:t>B</w:t>
      </w:r>
      <w:r w:rsidRPr="00775054">
        <w:rPr>
          <w:rFonts w:ascii="Times New Roman" w:hAnsi="Times New Roman" w:cs="Times New Roman"/>
          <w:color w:val="000000" w:themeColor="text1"/>
          <w:spacing w:val="-2"/>
          <w:sz w:val="24"/>
          <w:szCs w:val="24"/>
          <w:lang w:eastAsia="pt-BR"/>
        </w:rPr>
        <w:t xml:space="preserve">ásico de </w:t>
      </w:r>
      <w:r w:rsidR="00DA6666">
        <w:rPr>
          <w:rFonts w:ascii="Times New Roman" w:hAnsi="Times New Roman" w:cs="Times New Roman"/>
          <w:color w:val="000000" w:themeColor="text1"/>
          <w:spacing w:val="-2"/>
          <w:sz w:val="24"/>
          <w:szCs w:val="24"/>
          <w:lang w:eastAsia="pt-BR"/>
        </w:rPr>
        <w:t>G</w:t>
      </w:r>
      <w:r w:rsidRPr="00775054">
        <w:rPr>
          <w:rFonts w:ascii="Times New Roman" w:hAnsi="Times New Roman" w:cs="Times New Roman"/>
          <w:color w:val="000000" w:themeColor="text1"/>
          <w:spacing w:val="-2"/>
          <w:sz w:val="24"/>
          <w:szCs w:val="24"/>
          <w:lang w:eastAsia="pt-BR"/>
        </w:rPr>
        <w:t xml:space="preserve">overnança, </w:t>
      </w:r>
      <w:r w:rsidR="00DA6666">
        <w:rPr>
          <w:rFonts w:ascii="Times New Roman" w:hAnsi="Times New Roman" w:cs="Times New Roman"/>
          <w:color w:val="000000" w:themeColor="text1"/>
          <w:spacing w:val="-2"/>
          <w:sz w:val="24"/>
          <w:szCs w:val="24"/>
          <w:lang w:eastAsia="pt-BR"/>
        </w:rPr>
        <w:t xml:space="preserve">TCU, </w:t>
      </w:r>
      <w:r w:rsidRPr="00775054">
        <w:rPr>
          <w:rFonts w:ascii="Times New Roman" w:hAnsi="Times New Roman" w:cs="Times New Roman"/>
          <w:color w:val="000000" w:themeColor="text1"/>
          <w:spacing w:val="-2"/>
          <w:sz w:val="24"/>
          <w:szCs w:val="24"/>
          <w:lang w:eastAsia="pt-BR"/>
        </w:rPr>
        <w:t xml:space="preserve">Versão 2 – 2014, Prática </w:t>
      </w:r>
      <w:proofErr w:type="gramStart"/>
      <w:r w:rsidRPr="00775054">
        <w:rPr>
          <w:rFonts w:ascii="Times New Roman" w:hAnsi="Times New Roman" w:cs="Times New Roman"/>
          <w:color w:val="000000" w:themeColor="text1"/>
          <w:spacing w:val="-2"/>
          <w:sz w:val="24"/>
          <w:szCs w:val="24"/>
          <w:lang w:eastAsia="pt-BR"/>
        </w:rPr>
        <w:t>E2.</w:t>
      </w:r>
      <w:proofErr w:type="gramEnd"/>
      <w:r w:rsidRPr="00775054">
        <w:rPr>
          <w:rFonts w:ascii="Times New Roman" w:hAnsi="Times New Roman" w:cs="Times New Roman"/>
          <w:color w:val="000000" w:themeColor="text1"/>
          <w:spacing w:val="-2"/>
          <w:sz w:val="24"/>
          <w:szCs w:val="24"/>
          <w:lang w:eastAsia="pt-BR"/>
        </w:rPr>
        <w:t xml:space="preserve">3; e Gerenciamento de Riscos Corporativos Integrado com a Estratégia e Performance do COSO, traduzido por </w:t>
      </w:r>
      <w:proofErr w:type="spellStart"/>
      <w:r w:rsidRPr="00775054">
        <w:rPr>
          <w:rFonts w:ascii="Times New Roman" w:hAnsi="Times New Roman" w:cs="Times New Roman"/>
          <w:color w:val="000000" w:themeColor="text1"/>
          <w:spacing w:val="-2"/>
          <w:sz w:val="24"/>
          <w:szCs w:val="24"/>
          <w:lang w:eastAsia="pt-BR"/>
        </w:rPr>
        <w:t>PwC</w:t>
      </w:r>
      <w:proofErr w:type="spellEnd"/>
      <w:r w:rsidRPr="00775054">
        <w:rPr>
          <w:rFonts w:ascii="Times New Roman" w:hAnsi="Times New Roman" w:cs="Times New Roman"/>
          <w:color w:val="000000" w:themeColor="text1"/>
          <w:spacing w:val="-2"/>
          <w:sz w:val="24"/>
          <w:szCs w:val="24"/>
          <w:lang w:eastAsia="pt-BR"/>
        </w:rPr>
        <w:t>, junho de 2017, Componente e Princípio 18.</w:t>
      </w:r>
    </w:p>
    <w:p w:rsidR="00113866" w:rsidRPr="00775054" w:rsidRDefault="00113866"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113866" w:rsidRPr="00775054" w:rsidRDefault="00547778" w:rsidP="00547778">
      <w:pPr>
        <w:numPr>
          <w:ilvl w:val="4"/>
          <w:numId w:val="1"/>
        </w:numPr>
        <w:spacing w:after="0" w:line="240" w:lineRule="auto"/>
        <w:jc w:val="both"/>
        <w:rPr>
          <w:rFonts w:ascii="Times New Roman" w:hAnsi="Times New Roman" w:cs="Times New Roman"/>
          <w:i/>
          <w:color w:val="000000" w:themeColor="text1"/>
          <w:spacing w:val="-4"/>
          <w:sz w:val="24"/>
          <w:szCs w:val="24"/>
        </w:rPr>
      </w:pPr>
      <w:r w:rsidRPr="00775054">
        <w:rPr>
          <w:rFonts w:ascii="Times New Roman" w:hAnsi="Times New Roman" w:cs="Times New Roman"/>
          <w:bCs/>
          <w:color w:val="000000" w:themeColor="text1"/>
          <w:sz w:val="24"/>
          <w:szCs w:val="24"/>
          <w:lang w:eastAsia="pt-BR"/>
        </w:rPr>
        <w:t xml:space="preserve">Insuficiência de recursos do sistema GEPLANES para monitoramento de projetos; e ausência de licença de ferramenta de suporte </w:t>
      </w:r>
      <w:r w:rsidR="00DA6666" w:rsidRPr="008A6131">
        <w:rPr>
          <w:rFonts w:ascii="Times New Roman" w:hAnsi="Times New Roman" w:cs="Times New Roman"/>
          <w:bCs/>
          <w:sz w:val="24"/>
          <w:szCs w:val="24"/>
          <w:lang w:eastAsia="pt-BR"/>
        </w:rPr>
        <w:t xml:space="preserve">alternativa </w:t>
      </w:r>
      <w:r w:rsidRPr="00775054">
        <w:rPr>
          <w:rFonts w:ascii="Times New Roman" w:hAnsi="Times New Roman" w:cs="Times New Roman"/>
          <w:bCs/>
          <w:color w:val="000000" w:themeColor="text1"/>
          <w:sz w:val="24"/>
          <w:szCs w:val="24"/>
          <w:lang w:eastAsia="pt-BR"/>
        </w:rPr>
        <w:t>adequada ou específica para gerenciamento de projetos</w:t>
      </w:r>
      <w:r w:rsidR="000164DB" w:rsidRPr="00775054">
        <w:rPr>
          <w:rFonts w:ascii="Times New Roman" w:hAnsi="Times New Roman" w:cs="Times New Roman"/>
          <w:bCs/>
          <w:color w:val="000000" w:themeColor="text1"/>
          <w:sz w:val="24"/>
          <w:szCs w:val="24"/>
          <w:lang w:eastAsia="pt-BR"/>
        </w:rPr>
        <w:t>.</w:t>
      </w:r>
    </w:p>
    <w:p w:rsidR="00113866" w:rsidRPr="00775054" w:rsidRDefault="00113866"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e/ou potencial):</w:t>
      </w:r>
    </w:p>
    <w:p w:rsidR="00113866" w:rsidRPr="00775054" w:rsidRDefault="001347BE" w:rsidP="001347BE">
      <w:pPr>
        <w:numPr>
          <w:ilvl w:val="4"/>
          <w:numId w:val="1"/>
        </w:numPr>
        <w:spacing w:after="0" w:line="240" w:lineRule="auto"/>
        <w:jc w:val="both"/>
        <w:rPr>
          <w:rFonts w:ascii="Times New Roman" w:hAnsi="Times New Roman" w:cs="Times New Roman"/>
          <w:i/>
          <w:color w:val="000000" w:themeColor="text1"/>
          <w:spacing w:val="-2"/>
          <w:sz w:val="24"/>
          <w:szCs w:val="24"/>
        </w:rPr>
      </w:pPr>
      <w:r w:rsidRPr="00775054">
        <w:rPr>
          <w:rFonts w:ascii="Times New Roman" w:hAnsi="Times New Roman" w:cs="Times New Roman"/>
          <w:color w:val="000000" w:themeColor="text1"/>
          <w:spacing w:val="-2"/>
          <w:sz w:val="24"/>
          <w:szCs w:val="24"/>
        </w:rPr>
        <w:t>Comprometimento do monitoramento dos projetos; não identificação da necessidade de adoção de medidas corretivas nos projetos estratégicos; não alcance dos objetivos estratégicos por falha no monitoramento dos projetos; e desperdício de recursos.</w:t>
      </w:r>
    </w:p>
    <w:p w:rsidR="00113866" w:rsidRPr="00775054" w:rsidRDefault="00113866"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113866" w:rsidRPr="00D819FE" w:rsidRDefault="001347BE" w:rsidP="00FF1B84">
      <w:pPr>
        <w:numPr>
          <w:ilvl w:val="4"/>
          <w:numId w:val="1"/>
        </w:numPr>
        <w:spacing w:after="0" w:line="240" w:lineRule="auto"/>
        <w:jc w:val="both"/>
        <w:rPr>
          <w:rFonts w:ascii="Times New Roman" w:hAnsi="Times New Roman" w:cs="Times New Roman"/>
          <w:i/>
          <w:sz w:val="24"/>
          <w:szCs w:val="24"/>
        </w:rPr>
      </w:pPr>
      <w:r w:rsidRPr="00775054">
        <w:rPr>
          <w:rFonts w:ascii="Times New Roman" w:hAnsi="Times New Roman" w:cs="Times New Roman"/>
          <w:bCs/>
          <w:color w:val="000000" w:themeColor="text1"/>
          <w:spacing w:val="-2"/>
          <w:sz w:val="24"/>
          <w:szCs w:val="24"/>
        </w:rPr>
        <w:t>PAD nº 12.027/2017 (Doc. nº 171.852/2017); PAD nº 8.909/2017 -</w:t>
      </w:r>
      <w:r w:rsidR="00FF1B84" w:rsidRPr="00775054">
        <w:rPr>
          <w:rFonts w:ascii="Times New Roman" w:hAnsi="Times New Roman" w:cs="Times New Roman"/>
          <w:bCs/>
          <w:color w:val="000000" w:themeColor="text1"/>
          <w:spacing w:val="-2"/>
          <w:sz w:val="24"/>
          <w:szCs w:val="24"/>
        </w:rPr>
        <w:t xml:space="preserve"> </w:t>
      </w:r>
      <w:r w:rsidRPr="00775054">
        <w:rPr>
          <w:rFonts w:ascii="Times New Roman" w:hAnsi="Times New Roman" w:cs="Times New Roman"/>
          <w:bCs/>
          <w:color w:val="000000" w:themeColor="text1"/>
          <w:spacing w:val="-2"/>
          <w:sz w:val="24"/>
          <w:szCs w:val="24"/>
        </w:rPr>
        <w:t xml:space="preserve">referente à aquisição de licenças do </w:t>
      </w:r>
      <w:r w:rsidRPr="000A7463">
        <w:rPr>
          <w:rFonts w:ascii="Times New Roman" w:hAnsi="Times New Roman" w:cs="Times New Roman"/>
          <w:bCs/>
          <w:i/>
          <w:color w:val="000000" w:themeColor="text1"/>
          <w:spacing w:val="-2"/>
          <w:sz w:val="24"/>
          <w:szCs w:val="24"/>
        </w:rPr>
        <w:t>software Microsoft Project</w:t>
      </w:r>
      <w:r w:rsidR="00FF1B84">
        <w:rPr>
          <w:rFonts w:ascii="Times New Roman" w:hAnsi="Times New Roman" w:cs="Times New Roman"/>
          <w:bCs/>
          <w:i/>
          <w:color w:val="000000" w:themeColor="text1"/>
          <w:spacing w:val="-2"/>
          <w:sz w:val="24"/>
          <w:szCs w:val="24"/>
        </w:rPr>
        <w:t xml:space="preserve">; </w:t>
      </w:r>
      <w:r w:rsidR="00FF1B84" w:rsidRPr="00D819FE">
        <w:rPr>
          <w:rFonts w:ascii="Times New Roman" w:hAnsi="Times New Roman" w:cs="Times New Roman"/>
          <w:bCs/>
          <w:spacing w:val="-2"/>
          <w:sz w:val="24"/>
          <w:szCs w:val="24"/>
        </w:rPr>
        <w:t>e</w:t>
      </w:r>
      <w:r w:rsidR="00FF1B84" w:rsidRPr="00D819FE">
        <w:rPr>
          <w:rFonts w:ascii="Times New Roman" w:hAnsi="Times New Roman" w:cs="Times New Roman"/>
          <w:bCs/>
          <w:i/>
          <w:spacing w:val="-2"/>
          <w:sz w:val="24"/>
          <w:szCs w:val="24"/>
        </w:rPr>
        <w:t xml:space="preserve"> </w:t>
      </w:r>
      <w:r w:rsidR="00FF1B84" w:rsidRPr="00D819FE">
        <w:rPr>
          <w:rFonts w:ascii="Times New Roman" w:hAnsi="Times New Roman" w:cs="Times New Roman"/>
          <w:bCs/>
          <w:spacing w:val="-2"/>
          <w:sz w:val="24"/>
          <w:szCs w:val="24"/>
        </w:rPr>
        <w:t>PAD nº 4.727/2018 (Docs. nº 64.215/2018, 65.235/2018 e 66.922/2018).</w:t>
      </w:r>
    </w:p>
    <w:p w:rsidR="00FA13DB" w:rsidRPr="00775054" w:rsidRDefault="00FA13DB" w:rsidP="00FA13DB">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 dos responsáveis:</w:t>
      </w:r>
    </w:p>
    <w:p w:rsidR="00FA13DB" w:rsidRDefault="00FA13DB" w:rsidP="00FA13DB">
      <w:pPr>
        <w:numPr>
          <w:ilvl w:val="4"/>
          <w:numId w:val="1"/>
        </w:numPr>
        <w:spacing w:after="0" w:line="240" w:lineRule="auto"/>
        <w:jc w:val="both"/>
        <w:rPr>
          <w:rFonts w:ascii="Times New Roman" w:hAnsi="Times New Roman" w:cs="Times New Roman"/>
          <w:color w:val="000000" w:themeColor="text1"/>
          <w:spacing w:val="-4"/>
          <w:sz w:val="24"/>
          <w:szCs w:val="24"/>
        </w:rPr>
      </w:pPr>
      <w:r w:rsidRPr="00CB1B59">
        <w:rPr>
          <w:rFonts w:ascii="Times New Roman" w:hAnsi="Times New Roman" w:cs="Times New Roman"/>
          <w:color w:val="000000" w:themeColor="text1"/>
          <w:spacing w:val="-4"/>
          <w:sz w:val="24"/>
          <w:szCs w:val="24"/>
        </w:rPr>
        <w:t>Em resposta à RDI nº 6/2018 (PAD nº 1.307/2018, Doc. nº 23.874/2018), a Diretora</w:t>
      </w:r>
      <w:r w:rsidR="00DA6666" w:rsidRPr="00CB1B59">
        <w:rPr>
          <w:rFonts w:ascii="Times New Roman" w:hAnsi="Times New Roman" w:cs="Times New Roman"/>
          <w:color w:val="000000" w:themeColor="text1"/>
          <w:spacing w:val="-4"/>
          <w:sz w:val="24"/>
          <w:szCs w:val="24"/>
        </w:rPr>
        <w:t>-</w:t>
      </w:r>
      <w:r w:rsidRPr="00CB1B59">
        <w:rPr>
          <w:rFonts w:ascii="Times New Roman" w:hAnsi="Times New Roman" w:cs="Times New Roman"/>
          <w:color w:val="000000" w:themeColor="text1"/>
          <w:spacing w:val="-4"/>
          <w:sz w:val="24"/>
          <w:szCs w:val="24"/>
        </w:rPr>
        <w:t xml:space="preserve">Geral informou que as recomendações </w:t>
      </w:r>
      <w:r w:rsidR="00DA6666" w:rsidRPr="00CB1B59">
        <w:rPr>
          <w:rFonts w:ascii="Times New Roman" w:hAnsi="Times New Roman" w:cs="Times New Roman"/>
          <w:spacing w:val="-4"/>
          <w:sz w:val="24"/>
          <w:szCs w:val="24"/>
        </w:rPr>
        <w:t>para saneamento da fragilidade ora evidenciada</w:t>
      </w:r>
      <w:r w:rsidR="00DA6666" w:rsidRPr="00CB1B59">
        <w:rPr>
          <w:rFonts w:ascii="Times New Roman" w:hAnsi="Times New Roman" w:cs="Times New Roman"/>
          <w:color w:val="0000FF"/>
          <w:spacing w:val="-4"/>
          <w:sz w:val="24"/>
          <w:szCs w:val="24"/>
        </w:rPr>
        <w:t xml:space="preserve"> </w:t>
      </w:r>
      <w:r w:rsidRPr="00CB1B59">
        <w:rPr>
          <w:rFonts w:ascii="Times New Roman" w:hAnsi="Times New Roman" w:cs="Times New Roman"/>
          <w:color w:val="000000" w:themeColor="text1"/>
          <w:spacing w:val="-4"/>
          <w:sz w:val="24"/>
          <w:szCs w:val="24"/>
        </w:rPr>
        <w:t>serão feitas por meio de PAD</w:t>
      </w:r>
      <w:r w:rsidR="00DA6666" w:rsidRPr="00CB1B59">
        <w:rPr>
          <w:rFonts w:ascii="Times New Roman" w:hAnsi="Times New Roman" w:cs="Times New Roman"/>
          <w:color w:val="000000" w:themeColor="text1"/>
          <w:spacing w:val="-4"/>
          <w:sz w:val="24"/>
          <w:szCs w:val="24"/>
        </w:rPr>
        <w:t>,</w:t>
      </w:r>
      <w:r w:rsidRPr="00CB1B59">
        <w:rPr>
          <w:rFonts w:ascii="Times New Roman" w:hAnsi="Times New Roman" w:cs="Times New Roman"/>
          <w:color w:val="000000" w:themeColor="text1"/>
          <w:spacing w:val="-4"/>
          <w:sz w:val="24"/>
          <w:szCs w:val="24"/>
        </w:rPr>
        <w:t xml:space="preserve"> em trâmite colaborativo.</w:t>
      </w:r>
    </w:p>
    <w:p w:rsidR="00B1318F" w:rsidRPr="00D819FE" w:rsidRDefault="00B1318F" w:rsidP="00306322">
      <w:pPr>
        <w:numPr>
          <w:ilvl w:val="4"/>
          <w:numId w:val="1"/>
        </w:numPr>
        <w:spacing w:after="0" w:line="240" w:lineRule="auto"/>
        <w:jc w:val="both"/>
        <w:rPr>
          <w:rFonts w:ascii="Times New Roman" w:hAnsi="Times New Roman" w:cs="Times New Roman"/>
          <w:spacing w:val="-4"/>
          <w:sz w:val="24"/>
          <w:szCs w:val="24"/>
        </w:rPr>
      </w:pPr>
      <w:r w:rsidRPr="00D819FE">
        <w:rPr>
          <w:rFonts w:ascii="Times New Roman" w:hAnsi="Times New Roman" w:cs="Times New Roman"/>
          <w:spacing w:val="-4"/>
          <w:sz w:val="24"/>
          <w:szCs w:val="24"/>
        </w:rPr>
        <w:t>Em resposta à RDI Circular nº 5/2018 (PAD nº 4.727/2018, Doc. nº 64.215/2018)</w:t>
      </w:r>
      <w:r w:rsidR="00306322" w:rsidRPr="00D819FE">
        <w:rPr>
          <w:rFonts w:ascii="Times New Roman" w:hAnsi="Times New Roman" w:cs="Times New Roman"/>
          <w:spacing w:val="-4"/>
          <w:sz w:val="24"/>
          <w:szCs w:val="24"/>
        </w:rPr>
        <w:t>, a ASSESP ressaltou que a recomendação dirigida à Alta Administração corresponde a uma das atribuições integrantes do âmbito de competência do Diretor-Geral, nos termos do art. 128, XI, do atual Regimento Interno do Tribuna</w:t>
      </w:r>
      <w:r w:rsidR="00772AC2" w:rsidRPr="00D819FE">
        <w:rPr>
          <w:rFonts w:ascii="Times New Roman" w:hAnsi="Times New Roman" w:cs="Times New Roman"/>
          <w:spacing w:val="-4"/>
          <w:sz w:val="24"/>
          <w:szCs w:val="24"/>
        </w:rPr>
        <w:t xml:space="preserve">l (Resolução Administrativa nº </w:t>
      </w:r>
      <w:r w:rsidR="00306322" w:rsidRPr="00D819FE">
        <w:rPr>
          <w:rFonts w:ascii="Times New Roman" w:hAnsi="Times New Roman" w:cs="Times New Roman"/>
          <w:spacing w:val="-4"/>
          <w:sz w:val="24"/>
          <w:szCs w:val="24"/>
        </w:rPr>
        <w:t>5/2013).</w:t>
      </w:r>
    </w:p>
    <w:p w:rsidR="001C763C" w:rsidRPr="00D819FE" w:rsidRDefault="001C763C" w:rsidP="001C763C">
      <w:pPr>
        <w:numPr>
          <w:ilvl w:val="4"/>
          <w:numId w:val="1"/>
        </w:numPr>
        <w:spacing w:after="0" w:line="240" w:lineRule="auto"/>
        <w:jc w:val="both"/>
        <w:rPr>
          <w:rFonts w:ascii="Times New Roman" w:hAnsi="Times New Roman" w:cs="Times New Roman"/>
          <w:spacing w:val="-4"/>
          <w:sz w:val="24"/>
          <w:szCs w:val="24"/>
        </w:rPr>
      </w:pPr>
      <w:r w:rsidRPr="00D819FE">
        <w:rPr>
          <w:rFonts w:ascii="Times New Roman" w:hAnsi="Times New Roman" w:cs="Times New Roman"/>
          <w:spacing w:val="-4"/>
          <w:sz w:val="24"/>
          <w:szCs w:val="24"/>
        </w:rPr>
        <w:t xml:space="preserve">Em resposta à RDI Circular nº 5/2018 (PAD nº 4.727/2018, Doc. nº 65.235/2018), a Diretora-Geral informou que o PAD n.º 8.909/2017 foi anexado ao PAD n.º 5.907/2017, cujo objeto era a aquisição de </w:t>
      </w:r>
      <w:r w:rsidRPr="00D819FE">
        <w:rPr>
          <w:rFonts w:ascii="Times New Roman" w:hAnsi="Times New Roman" w:cs="Times New Roman"/>
          <w:i/>
          <w:spacing w:val="-4"/>
          <w:sz w:val="24"/>
          <w:szCs w:val="24"/>
        </w:rPr>
        <w:t>software</w:t>
      </w:r>
      <w:r w:rsidRPr="00D819FE">
        <w:rPr>
          <w:rFonts w:ascii="Times New Roman" w:hAnsi="Times New Roman" w:cs="Times New Roman"/>
          <w:spacing w:val="-4"/>
          <w:sz w:val="24"/>
          <w:szCs w:val="24"/>
        </w:rPr>
        <w:t xml:space="preserve"> </w:t>
      </w:r>
      <w:proofErr w:type="spellStart"/>
      <w:proofErr w:type="gramStart"/>
      <w:r w:rsidRPr="00D819FE">
        <w:rPr>
          <w:rFonts w:ascii="Times New Roman" w:hAnsi="Times New Roman" w:cs="Times New Roman"/>
          <w:spacing w:val="-4"/>
          <w:sz w:val="24"/>
          <w:szCs w:val="24"/>
        </w:rPr>
        <w:t>Autocad</w:t>
      </w:r>
      <w:proofErr w:type="spellEnd"/>
      <w:proofErr w:type="gramEnd"/>
      <w:r w:rsidRPr="00D819FE">
        <w:rPr>
          <w:rFonts w:ascii="Times New Roman" w:hAnsi="Times New Roman" w:cs="Times New Roman"/>
          <w:spacing w:val="-4"/>
          <w:sz w:val="24"/>
          <w:szCs w:val="24"/>
        </w:rPr>
        <w:t xml:space="preserve">, em razão da similaridade. </w:t>
      </w:r>
      <w:r w:rsidR="00772AC2" w:rsidRPr="00D819FE">
        <w:rPr>
          <w:rFonts w:ascii="Times New Roman" w:hAnsi="Times New Roman" w:cs="Times New Roman"/>
          <w:spacing w:val="-4"/>
          <w:sz w:val="24"/>
          <w:szCs w:val="24"/>
        </w:rPr>
        <w:t>Acrescentou que o</w:t>
      </w:r>
      <w:r w:rsidRPr="00D819FE">
        <w:rPr>
          <w:rFonts w:ascii="Times New Roman" w:hAnsi="Times New Roman" w:cs="Times New Roman"/>
          <w:spacing w:val="-4"/>
          <w:sz w:val="24"/>
          <w:szCs w:val="24"/>
        </w:rPr>
        <w:t xml:space="preserve"> processo encontra</w:t>
      </w:r>
      <w:r w:rsidR="00772AC2" w:rsidRPr="00D819FE">
        <w:rPr>
          <w:rFonts w:ascii="Times New Roman" w:hAnsi="Times New Roman" w:cs="Times New Roman"/>
          <w:spacing w:val="-4"/>
          <w:sz w:val="24"/>
          <w:szCs w:val="24"/>
        </w:rPr>
        <w:t>va</w:t>
      </w:r>
      <w:r w:rsidRPr="00D819FE">
        <w:rPr>
          <w:rFonts w:ascii="Times New Roman" w:hAnsi="Times New Roman" w:cs="Times New Roman"/>
          <w:spacing w:val="-4"/>
          <w:sz w:val="24"/>
          <w:szCs w:val="24"/>
        </w:rPr>
        <w:t xml:space="preserve">-se com licitação em andamento (Pregão Eletrônico n.º 13/2018), cuja abertura ocorreu em </w:t>
      </w:r>
      <w:proofErr w:type="gramStart"/>
      <w:r w:rsidRPr="00D819FE">
        <w:rPr>
          <w:rFonts w:ascii="Times New Roman" w:hAnsi="Times New Roman" w:cs="Times New Roman"/>
          <w:spacing w:val="-4"/>
          <w:sz w:val="24"/>
          <w:szCs w:val="24"/>
        </w:rPr>
        <w:t>3</w:t>
      </w:r>
      <w:proofErr w:type="gramEnd"/>
      <w:r w:rsidRPr="00D819FE">
        <w:rPr>
          <w:rFonts w:ascii="Times New Roman" w:hAnsi="Times New Roman" w:cs="Times New Roman"/>
          <w:spacing w:val="-4"/>
          <w:sz w:val="24"/>
          <w:szCs w:val="24"/>
        </w:rPr>
        <w:t xml:space="preserve"> de</w:t>
      </w:r>
      <w:r w:rsidR="00772AC2" w:rsidRPr="00D819FE">
        <w:rPr>
          <w:rFonts w:ascii="Times New Roman" w:hAnsi="Times New Roman" w:cs="Times New Roman"/>
          <w:spacing w:val="-4"/>
          <w:sz w:val="24"/>
          <w:szCs w:val="24"/>
        </w:rPr>
        <w:t xml:space="preserve"> abril e o encerramento no dia </w:t>
      </w:r>
      <w:r w:rsidRPr="00D819FE">
        <w:rPr>
          <w:rFonts w:ascii="Times New Roman" w:hAnsi="Times New Roman" w:cs="Times New Roman"/>
          <w:spacing w:val="-4"/>
          <w:sz w:val="24"/>
          <w:szCs w:val="24"/>
        </w:rPr>
        <w:t xml:space="preserve">9 do mesmo mês. </w:t>
      </w:r>
      <w:r w:rsidR="00772AC2" w:rsidRPr="00D819FE">
        <w:rPr>
          <w:rFonts w:ascii="Times New Roman" w:hAnsi="Times New Roman" w:cs="Times New Roman"/>
          <w:spacing w:val="-4"/>
          <w:sz w:val="24"/>
          <w:szCs w:val="24"/>
        </w:rPr>
        <w:t>Esclareceu que h</w:t>
      </w:r>
      <w:r w:rsidRPr="00D819FE">
        <w:rPr>
          <w:rFonts w:ascii="Times New Roman" w:hAnsi="Times New Roman" w:cs="Times New Roman"/>
          <w:spacing w:val="-4"/>
          <w:sz w:val="24"/>
          <w:szCs w:val="24"/>
        </w:rPr>
        <w:t xml:space="preserve">ouve recursos à habilitação, estando pendente o prazo para </w:t>
      </w:r>
      <w:proofErr w:type="spellStart"/>
      <w:proofErr w:type="gramStart"/>
      <w:r w:rsidRPr="00D819FE">
        <w:rPr>
          <w:rFonts w:ascii="Times New Roman" w:hAnsi="Times New Roman" w:cs="Times New Roman"/>
          <w:spacing w:val="-4"/>
          <w:sz w:val="24"/>
          <w:szCs w:val="24"/>
        </w:rPr>
        <w:t>contra-razões</w:t>
      </w:r>
      <w:proofErr w:type="spellEnd"/>
      <w:proofErr w:type="gramEnd"/>
      <w:r w:rsidRPr="00D819FE">
        <w:rPr>
          <w:rFonts w:ascii="Times New Roman" w:hAnsi="Times New Roman" w:cs="Times New Roman"/>
          <w:spacing w:val="-4"/>
          <w:sz w:val="24"/>
          <w:szCs w:val="24"/>
        </w:rPr>
        <w:t xml:space="preserve"> e manifestação do Pregoeiro, o que dever</w:t>
      </w:r>
      <w:r w:rsidR="00772AC2" w:rsidRPr="00D819FE">
        <w:rPr>
          <w:rFonts w:ascii="Times New Roman" w:hAnsi="Times New Roman" w:cs="Times New Roman"/>
          <w:spacing w:val="-4"/>
          <w:sz w:val="24"/>
          <w:szCs w:val="24"/>
        </w:rPr>
        <w:t>ia</w:t>
      </w:r>
      <w:r w:rsidRPr="00D819FE">
        <w:rPr>
          <w:rFonts w:ascii="Times New Roman" w:hAnsi="Times New Roman" w:cs="Times New Roman"/>
          <w:spacing w:val="-4"/>
          <w:sz w:val="24"/>
          <w:szCs w:val="24"/>
        </w:rPr>
        <w:t xml:space="preserve"> ocorrer até o dia 24 de abril.</w:t>
      </w:r>
    </w:p>
    <w:p w:rsidR="00775AC7" w:rsidRPr="00D819FE" w:rsidRDefault="00775AC7" w:rsidP="00775AC7">
      <w:pPr>
        <w:numPr>
          <w:ilvl w:val="4"/>
          <w:numId w:val="1"/>
        </w:numPr>
        <w:spacing w:after="0" w:line="240" w:lineRule="auto"/>
        <w:jc w:val="both"/>
        <w:rPr>
          <w:rFonts w:ascii="Times New Roman" w:hAnsi="Times New Roman" w:cs="Times New Roman"/>
          <w:spacing w:val="-4"/>
          <w:sz w:val="24"/>
          <w:szCs w:val="24"/>
        </w:rPr>
      </w:pPr>
      <w:r w:rsidRPr="00D819FE">
        <w:rPr>
          <w:rFonts w:ascii="Times New Roman" w:hAnsi="Times New Roman" w:cs="Times New Roman"/>
          <w:spacing w:val="-4"/>
          <w:sz w:val="24"/>
          <w:szCs w:val="24"/>
        </w:rPr>
        <w:t xml:space="preserve">Em resposta à RDI Circular nº 5/2018 (PAD nº 4.727/2018, Doc. nº 66.922/2018), a SGA informou que o PAD n.º 8.909/2018, referente à aquisição </w:t>
      </w:r>
      <w:r w:rsidRPr="00D819FE">
        <w:rPr>
          <w:rFonts w:ascii="Times New Roman" w:hAnsi="Times New Roman" w:cs="Times New Roman"/>
          <w:spacing w:val="-4"/>
          <w:sz w:val="24"/>
          <w:szCs w:val="24"/>
        </w:rPr>
        <w:lastRenderedPageBreak/>
        <w:t xml:space="preserve">de licenças do programa </w:t>
      </w:r>
      <w:r w:rsidRPr="00D819FE">
        <w:rPr>
          <w:rFonts w:ascii="Times New Roman" w:hAnsi="Times New Roman" w:cs="Times New Roman"/>
          <w:i/>
          <w:spacing w:val="-4"/>
          <w:sz w:val="24"/>
          <w:szCs w:val="24"/>
        </w:rPr>
        <w:t>Microsoft Project</w:t>
      </w:r>
      <w:r w:rsidRPr="00D819FE">
        <w:rPr>
          <w:rFonts w:ascii="Times New Roman" w:hAnsi="Times New Roman" w:cs="Times New Roman"/>
          <w:spacing w:val="-4"/>
          <w:sz w:val="24"/>
          <w:szCs w:val="24"/>
        </w:rPr>
        <w:t xml:space="preserve">, foi anexado ao n.º 5.907/2017 em 29/08/2017, de modo a unificar referida demanda à de assinaturas do </w:t>
      </w:r>
      <w:r w:rsidRPr="00D819FE">
        <w:rPr>
          <w:rFonts w:ascii="Times New Roman" w:hAnsi="Times New Roman" w:cs="Times New Roman"/>
          <w:i/>
          <w:spacing w:val="-4"/>
          <w:sz w:val="24"/>
          <w:szCs w:val="24"/>
        </w:rPr>
        <w:t xml:space="preserve">software </w:t>
      </w:r>
      <w:r w:rsidRPr="00D819FE">
        <w:rPr>
          <w:rFonts w:ascii="Times New Roman" w:hAnsi="Times New Roman" w:cs="Times New Roman"/>
          <w:spacing w:val="-4"/>
          <w:sz w:val="24"/>
          <w:szCs w:val="24"/>
        </w:rPr>
        <w:t>AutoCAD. Informou</w:t>
      </w:r>
      <w:r w:rsidR="00772AC2" w:rsidRPr="00D819FE">
        <w:rPr>
          <w:rFonts w:ascii="Times New Roman" w:hAnsi="Times New Roman" w:cs="Times New Roman"/>
          <w:spacing w:val="-4"/>
          <w:sz w:val="24"/>
          <w:szCs w:val="24"/>
        </w:rPr>
        <w:t>,</w:t>
      </w:r>
      <w:r w:rsidRPr="00D819FE">
        <w:rPr>
          <w:rFonts w:ascii="Times New Roman" w:hAnsi="Times New Roman" w:cs="Times New Roman"/>
          <w:spacing w:val="-4"/>
          <w:sz w:val="24"/>
          <w:szCs w:val="24"/>
        </w:rPr>
        <w:t xml:space="preserve"> também</w:t>
      </w:r>
      <w:r w:rsidR="00772AC2" w:rsidRPr="00D819FE">
        <w:rPr>
          <w:rFonts w:ascii="Times New Roman" w:hAnsi="Times New Roman" w:cs="Times New Roman"/>
          <w:spacing w:val="-4"/>
          <w:sz w:val="24"/>
          <w:szCs w:val="24"/>
        </w:rPr>
        <w:t>,</w:t>
      </w:r>
      <w:r w:rsidRPr="00D819FE">
        <w:rPr>
          <w:rFonts w:ascii="Times New Roman" w:hAnsi="Times New Roman" w:cs="Times New Roman"/>
          <w:spacing w:val="-4"/>
          <w:sz w:val="24"/>
          <w:szCs w:val="24"/>
        </w:rPr>
        <w:t xml:space="preserve"> que a Diretoria-Geral autorizou a abertura d</w:t>
      </w:r>
      <w:r w:rsidR="00772AC2" w:rsidRPr="00D819FE">
        <w:rPr>
          <w:rFonts w:ascii="Times New Roman" w:hAnsi="Times New Roman" w:cs="Times New Roman"/>
          <w:spacing w:val="-4"/>
          <w:sz w:val="24"/>
          <w:szCs w:val="24"/>
        </w:rPr>
        <w:t>e procedimento licitatório, em 8/</w:t>
      </w:r>
      <w:r w:rsidRPr="00D819FE">
        <w:rPr>
          <w:rFonts w:ascii="Times New Roman" w:hAnsi="Times New Roman" w:cs="Times New Roman"/>
          <w:spacing w:val="-4"/>
          <w:sz w:val="24"/>
          <w:szCs w:val="24"/>
        </w:rPr>
        <w:t xml:space="preserve">3/2018, sendo nomeados, pela SGA, os servidores Danilo Almeida Pereira como pregoeiro e a servidora Kátia Cristina Isaías </w:t>
      </w:r>
      <w:proofErr w:type="spellStart"/>
      <w:r w:rsidRPr="00D819FE">
        <w:rPr>
          <w:rFonts w:ascii="Times New Roman" w:hAnsi="Times New Roman" w:cs="Times New Roman"/>
          <w:spacing w:val="-4"/>
          <w:sz w:val="24"/>
          <w:szCs w:val="24"/>
        </w:rPr>
        <w:t>Guttemberg</w:t>
      </w:r>
      <w:proofErr w:type="spellEnd"/>
      <w:r w:rsidRPr="00D819FE">
        <w:rPr>
          <w:rFonts w:ascii="Times New Roman" w:hAnsi="Times New Roman" w:cs="Times New Roman"/>
          <w:spacing w:val="-4"/>
          <w:sz w:val="24"/>
          <w:szCs w:val="24"/>
        </w:rPr>
        <w:t xml:space="preserve"> da Costa como equipe de apoio. Informou, por fim, que </w:t>
      </w:r>
      <w:r w:rsidR="00772AC2" w:rsidRPr="00D819FE">
        <w:rPr>
          <w:rFonts w:ascii="Times New Roman" w:hAnsi="Times New Roman" w:cs="Times New Roman"/>
          <w:spacing w:val="-4"/>
          <w:sz w:val="24"/>
          <w:szCs w:val="24"/>
        </w:rPr>
        <w:t>o</w:t>
      </w:r>
      <w:r w:rsidRPr="00D819FE">
        <w:rPr>
          <w:rFonts w:ascii="Times New Roman" w:hAnsi="Times New Roman" w:cs="Times New Roman"/>
          <w:spacing w:val="-4"/>
          <w:sz w:val="24"/>
          <w:szCs w:val="24"/>
        </w:rPr>
        <w:t xml:space="preserve"> respectivo pregão</w:t>
      </w:r>
      <w:r w:rsidR="00772AC2" w:rsidRPr="00D819FE">
        <w:rPr>
          <w:rFonts w:ascii="Times New Roman" w:hAnsi="Times New Roman" w:cs="Times New Roman"/>
          <w:spacing w:val="-4"/>
          <w:sz w:val="24"/>
          <w:szCs w:val="24"/>
        </w:rPr>
        <w:t xml:space="preserve"> (n.º 13/2018) foi aberto em 3/</w:t>
      </w:r>
      <w:r w:rsidRPr="00D819FE">
        <w:rPr>
          <w:rFonts w:ascii="Times New Roman" w:hAnsi="Times New Roman" w:cs="Times New Roman"/>
          <w:spacing w:val="-4"/>
          <w:sz w:val="24"/>
          <w:szCs w:val="24"/>
        </w:rPr>
        <w:t xml:space="preserve">4/2018, contudo, em virtude de proposição de recurso, não foi concluído, estando os autos com o pregoeiro, aguardando prazo para contrarrazões e manifestação. </w:t>
      </w:r>
    </w:p>
    <w:p w:rsidR="00FA13DB" w:rsidRPr="00775054" w:rsidRDefault="00FA13DB" w:rsidP="00FA13DB">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CB1B59" w:rsidRPr="00D819FE" w:rsidRDefault="00E82EEF" w:rsidP="00E82EEF">
      <w:pPr>
        <w:numPr>
          <w:ilvl w:val="4"/>
          <w:numId w:val="1"/>
        </w:numPr>
        <w:spacing w:after="0" w:line="240" w:lineRule="auto"/>
        <w:jc w:val="both"/>
        <w:rPr>
          <w:rFonts w:ascii="Times New Roman" w:hAnsi="Times New Roman" w:cs="Times New Roman"/>
          <w:i/>
          <w:sz w:val="24"/>
          <w:szCs w:val="24"/>
        </w:rPr>
      </w:pPr>
      <w:r w:rsidRPr="00D819FE">
        <w:rPr>
          <w:rFonts w:ascii="Times New Roman" w:hAnsi="Times New Roman" w:cs="Times New Roman"/>
          <w:sz w:val="24"/>
          <w:szCs w:val="24"/>
        </w:rPr>
        <w:t xml:space="preserve">Tendo em vista </w:t>
      </w:r>
      <w:r w:rsidR="00772AC2" w:rsidRPr="00D819FE">
        <w:rPr>
          <w:rFonts w:ascii="Times New Roman" w:hAnsi="Times New Roman" w:cs="Times New Roman"/>
          <w:sz w:val="24"/>
          <w:szCs w:val="24"/>
        </w:rPr>
        <w:t xml:space="preserve">demonstração de adoção de medidas tendentes ao </w:t>
      </w:r>
      <w:r w:rsidRPr="00D819FE">
        <w:rPr>
          <w:rFonts w:ascii="Times New Roman" w:hAnsi="Times New Roman" w:cs="Times New Roman"/>
          <w:sz w:val="24"/>
          <w:szCs w:val="24"/>
        </w:rPr>
        <w:t xml:space="preserve">saneamento da fonte de fragilidade anteriormente evidenciada, </w:t>
      </w:r>
      <w:r w:rsidR="00772AC2" w:rsidRPr="00D819FE">
        <w:rPr>
          <w:rFonts w:ascii="Times New Roman" w:hAnsi="Times New Roman" w:cs="Times New Roman"/>
          <w:sz w:val="24"/>
          <w:szCs w:val="24"/>
        </w:rPr>
        <w:t>haja vista ultimação</w:t>
      </w:r>
      <w:r w:rsidR="005F13DB" w:rsidRPr="00D819FE">
        <w:rPr>
          <w:rFonts w:ascii="Times New Roman" w:hAnsi="Times New Roman" w:cs="Times New Roman"/>
          <w:sz w:val="24"/>
          <w:szCs w:val="24"/>
        </w:rPr>
        <w:t>, em 2/4/2018,</w:t>
      </w:r>
      <w:r w:rsidR="00772AC2" w:rsidRPr="00D819FE">
        <w:rPr>
          <w:rFonts w:ascii="Times New Roman" w:hAnsi="Times New Roman" w:cs="Times New Roman"/>
          <w:sz w:val="24"/>
          <w:szCs w:val="24"/>
        </w:rPr>
        <w:t xml:space="preserve"> do pregão eletrônico nº 13/2018, referente à aquisição de licenças do </w:t>
      </w:r>
      <w:r w:rsidR="00772AC2" w:rsidRPr="00D819FE">
        <w:rPr>
          <w:rFonts w:ascii="Times New Roman" w:hAnsi="Times New Roman" w:cs="Times New Roman"/>
          <w:i/>
          <w:spacing w:val="-4"/>
          <w:sz w:val="24"/>
          <w:szCs w:val="24"/>
        </w:rPr>
        <w:t xml:space="preserve">Microsoft Project, </w:t>
      </w:r>
      <w:r w:rsidR="00772AC2" w:rsidRPr="00D819FE">
        <w:rPr>
          <w:rFonts w:ascii="Times New Roman" w:hAnsi="Times New Roman" w:cs="Times New Roman"/>
          <w:spacing w:val="-4"/>
          <w:sz w:val="24"/>
          <w:szCs w:val="24"/>
        </w:rPr>
        <w:t xml:space="preserve">ferramenta de suporte à execução e monitoramento de iniciativas </w:t>
      </w:r>
      <w:proofErr w:type="gramStart"/>
      <w:r w:rsidR="00772AC2" w:rsidRPr="00D819FE">
        <w:rPr>
          <w:rFonts w:ascii="Times New Roman" w:hAnsi="Times New Roman" w:cs="Times New Roman"/>
          <w:spacing w:val="-4"/>
          <w:sz w:val="24"/>
          <w:szCs w:val="24"/>
        </w:rPr>
        <w:t xml:space="preserve">estratégicas indicada pela COPEG, </w:t>
      </w:r>
      <w:r w:rsidR="005F13DB" w:rsidRPr="00D819FE">
        <w:rPr>
          <w:rFonts w:ascii="Times New Roman" w:hAnsi="Times New Roman" w:cs="Times New Roman"/>
          <w:spacing w:val="-4"/>
          <w:sz w:val="24"/>
          <w:szCs w:val="24"/>
        </w:rPr>
        <w:t>e opinativo da ASJUR2 no sentido de não provimento dos recursos interpostos, consoante</w:t>
      </w:r>
      <w:proofErr w:type="gramEnd"/>
      <w:r w:rsidR="005F13DB" w:rsidRPr="00D819FE">
        <w:rPr>
          <w:rFonts w:ascii="Times New Roman" w:hAnsi="Times New Roman" w:cs="Times New Roman"/>
          <w:spacing w:val="-4"/>
          <w:sz w:val="24"/>
          <w:szCs w:val="24"/>
        </w:rPr>
        <w:t xml:space="preserve"> consulta ao histórico de tramitação do PAD nº </w:t>
      </w:r>
      <w:r w:rsidR="005F13DB" w:rsidRPr="00D819FE">
        <w:rPr>
          <w:rFonts w:ascii="Times New Roman" w:hAnsi="Times New Roman" w:cs="Times New Roman"/>
          <w:sz w:val="24"/>
          <w:szCs w:val="24"/>
        </w:rPr>
        <w:t>5907/2017, datada de 11/6/2018,</w:t>
      </w:r>
      <w:r w:rsidR="005F13DB" w:rsidRPr="00D819FE">
        <w:rPr>
          <w:rFonts w:ascii="Times New Roman" w:hAnsi="Times New Roman" w:cs="Times New Roman"/>
          <w:spacing w:val="-4"/>
          <w:sz w:val="24"/>
          <w:szCs w:val="24"/>
        </w:rPr>
        <w:t xml:space="preserve">  </w:t>
      </w:r>
      <w:r w:rsidRPr="00D819FE">
        <w:rPr>
          <w:rFonts w:ascii="Times New Roman" w:hAnsi="Times New Roman" w:cs="Times New Roman"/>
          <w:sz w:val="24"/>
          <w:szCs w:val="24"/>
        </w:rPr>
        <w:t>conclui-se pela elisão do achado sob exame.</w:t>
      </w:r>
    </w:p>
    <w:p w:rsidR="00F26E9D" w:rsidRPr="00775054" w:rsidRDefault="00CB577E" w:rsidP="00414DB8">
      <w:pPr>
        <w:numPr>
          <w:ilvl w:val="2"/>
          <w:numId w:val="1"/>
        </w:numPr>
        <w:spacing w:before="120" w:after="120" w:line="240" w:lineRule="auto"/>
        <w:jc w:val="both"/>
        <w:rPr>
          <w:rFonts w:ascii="Times New Roman" w:hAnsi="Times New Roman" w:cs="Times New Roman"/>
          <w:color w:val="000000" w:themeColor="text1"/>
          <w:sz w:val="24"/>
          <w:szCs w:val="24"/>
          <w:u w:val="single"/>
        </w:rPr>
      </w:pPr>
      <w:r w:rsidRPr="00775054">
        <w:rPr>
          <w:rFonts w:ascii="Times New Roman" w:hAnsi="Times New Roman" w:cs="Times New Roman"/>
          <w:color w:val="000000" w:themeColor="text1"/>
          <w:sz w:val="24"/>
          <w:szCs w:val="24"/>
          <w:u w:val="single"/>
        </w:rPr>
        <w:t xml:space="preserve">Deficiência na </w:t>
      </w:r>
      <w:r w:rsidR="002078EA">
        <w:rPr>
          <w:rFonts w:ascii="Times New Roman" w:hAnsi="Times New Roman" w:cs="Times New Roman"/>
          <w:color w:val="000000" w:themeColor="text1"/>
          <w:sz w:val="24"/>
          <w:szCs w:val="24"/>
          <w:u w:val="single"/>
        </w:rPr>
        <w:t>c</w:t>
      </w:r>
      <w:r w:rsidR="001347BE" w:rsidRPr="00775054">
        <w:rPr>
          <w:rFonts w:ascii="Times New Roman" w:hAnsi="Times New Roman" w:cs="Times New Roman"/>
          <w:color w:val="000000" w:themeColor="text1"/>
          <w:sz w:val="24"/>
          <w:szCs w:val="24"/>
          <w:u w:val="single"/>
        </w:rPr>
        <w:t xml:space="preserve">omunicação da </w:t>
      </w:r>
      <w:r w:rsidR="002078EA">
        <w:rPr>
          <w:rFonts w:ascii="Times New Roman" w:hAnsi="Times New Roman" w:cs="Times New Roman"/>
          <w:color w:val="000000" w:themeColor="text1"/>
          <w:sz w:val="24"/>
          <w:szCs w:val="24"/>
          <w:u w:val="single"/>
        </w:rPr>
        <w:t>e</w:t>
      </w:r>
      <w:r w:rsidR="001347BE" w:rsidRPr="00775054">
        <w:rPr>
          <w:rFonts w:ascii="Times New Roman" w:hAnsi="Times New Roman" w:cs="Times New Roman"/>
          <w:color w:val="000000" w:themeColor="text1"/>
          <w:sz w:val="24"/>
          <w:szCs w:val="24"/>
          <w:u w:val="single"/>
        </w:rPr>
        <w:t>stratégia</w:t>
      </w:r>
      <w:r w:rsidRPr="00775054">
        <w:rPr>
          <w:rFonts w:ascii="Times New Roman" w:hAnsi="Times New Roman" w:cs="Times New Roman"/>
          <w:color w:val="000000" w:themeColor="text1"/>
          <w:sz w:val="24"/>
          <w:szCs w:val="24"/>
          <w:u w:val="single"/>
        </w:rPr>
        <w:t>.</w:t>
      </w:r>
    </w:p>
    <w:p w:rsidR="00F26E9D" w:rsidRPr="00775054" w:rsidRDefault="00F26E9D"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Situação encontrada</w:t>
      </w:r>
      <w:r w:rsidRPr="00775054">
        <w:rPr>
          <w:rFonts w:ascii="Times New Roman" w:hAnsi="Times New Roman" w:cs="Times New Roman"/>
          <w:color w:val="000000" w:themeColor="text1"/>
          <w:sz w:val="24"/>
          <w:szCs w:val="24"/>
        </w:rPr>
        <w:t>:</w:t>
      </w:r>
    </w:p>
    <w:p w:rsidR="00CB1B59" w:rsidRDefault="0064376B" w:rsidP="0064376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A COPEG, em 2016, executou alguns eventos para divulgação da Estratégia, tais quais: distribuição de Agenda Institucional com temática referente ao Planejamento Estratégico 2016-2021, que foi enviada a servidores, requisitados e magistrados de 2º grau; elaboração do Caderno da Estratégia; e construção do Portal da Estratégia, acessado por meio da intranet do Tribunal. Em 2017, </w:t>
      </w:r>
      <w:r w:rsidR="002078EA">
        <w:rPr>
          <w:rFonts w:ascii="Times New Roman" w:hAnsi="Times New Roman" w:cs="Times New Roman"/>
          <w:color w:val="000000" w:themeColor="text1"/>
          <w:sz w:val="24"/>
          <w:szCs w:val="24"/>
        </w:rPr>
        <w:t>constatou-se realização</w:t>
      </w:r>
      <w:r w:rsidRPr="00775054">
        <w:rPr>
          <w:rFonts w:ascii="Times New Roman" w:hAnsi="Times New Roman" w:cs="Times New Roman"/>
          <w:color w:val="000000" w:themeColor="text1"/>
          <w:sz w:val="24"/>
          <w:szCs w:val="24"/>
        </w:rPr>
        <w:t xml:space="preserve">, pela COPEG, </w:t>
      </w:r>
      <w:r w:rsidR="002078EA">
        <w:rPr>
          <w:rFonts w:ascii="Times New Roman" w:hAnsi="Times New Roman" w:cs="Times New Roman"/>
          <w:color w:val="000000" w:themeColor="text1"/>
          <w:sz w:val="24"/>
          <w:szCs w:val="24"/>
        </w:rPr>
        <w:t xml:space="preserve">de </w:t>
      </w:r>
      <w:r w:rsidRPr="00775054">
        <w:rPr>
          <w:rFonts w:ascii="Times New Roman" w:hAnsi="Times New Roman" w:cs="Times New Roman"/>
          <w:color w:val="000000" w:themeColor="text1"/>
          <w:sz w:val="24"/>
          <w:szCs w:val="24"/>
        </w:rPr>
        <w:t xml:space="preserve">oficina de desdobramento da estratégia, que teve como público alvo apenas a SGP. </w:t>
      </w:r>
      <w:r w:rsidR="002078EA">
        <w:rPr>
          <w:rFonts w:ascii="Times New Roman" w:hAnsi="Times New Roman" w:cs="Times New Roman"/>
          <w:color w:val="000000" w:themeColor="text1"/>
          <w:sz w:val="24"/>
          <w:szCs w:val="24"/>
        </w:rPr>
        <w:t>Em consulta realizada ao</w:t>
      </w:r>
      <w:r w:rsidRPr="00775054">
        <w:rPr>
          <w:rFonts w:ascii="Times New Roman" w:hAnsi="Times New Roman" w:cs="Times New Roman"/>
          <w:color w:val="000000" w:themeColor="text1"/>
          <w:sz w:val="24"/>
          <w:szCs w:val="24"/>
        </w:rPr>
        <w:t xml:space="preserve"> Portal da Estratégia</w:t>
      </w:r>
      <w:r w:rsidR="002078EA">
        <w:rPr>
          <w:rFonts w:ascii="Times New Roman" w:hAnsi="Times New Roman" w:cs="Times New Roman"/>
          <w:color w:val="000000" w:themeColor="text1"/>
          <w:sz w:val="24"/>
          <w:szCs w:val="24"/>
        </w:rPr>
        <w:t>, datada de 9/11/2017,</w:t>
      </w:r>
      <w:r w:rsidRPr="00775054">
        <w:rPr>
          <w:rFonts w:ascii="Times New Roman" w:hAnsi="Times New Roman" w:cs="Times New Roman"/>
          <w:color w:val="000000" w:themeColor="text1"/>
          <w:sz w:val="24"/>
          <w:szCs w:val="24"/>
        </w:rPr>
        <w:t xml:space="preserve"> </w:t>
      </w:r>
      <w:r w:rsidR="002078EA">
        <w:rPr>
          <w:rFonts w:ascii="Times New Roman" w:hAnsi="Times New Roman" w:cs="Times New Roman"/>
          <w:color w:val="000000" w:themeColor="text1"/>
          <w:sz w:val="24"/>
          <w:szCs w:val="24"/>
        </w:rPr>
        <w:t>verificou-se divulgação de</w:t>
      </w:r>
      <w:r w:rsidRPr="00775054">
        <w:rPr>
          <w:rFonts w:ascii="Times New Roman" w:hAnsi="Times New Roman" w:cs="Times New Roman"/>
          <w:color w:val="000000" w:themeColor="text1"/>
          <w:sz w:val="24"/>
          <w:szCs w:val="24"/>
        </w:rPr>
        <w:t xml:space="preserve"> informações acerca da missão, visão, valores, projetos, mapa estratégico, normas e orientações acerca do Planejamento Estratégico institucional. No entanto, </w:t>
      </w:r>
      <w:r w:rsidR="002078EA">
        <w:rPr>
          <w:rFonts w:ascii="Times New Roman" w:hAnsi="Times New Roman" w:cs="Times New Roman"/>
          <w:color w:val="000000" w:themeColor="text1"/>
          <w:sz w:val="24"/>
          <w:szCs w:val="24"/>
        </w:rPr>
        <w:t xml:space="preserve">constatou-se que </w:t>
      </w:r>
      <w:r w:rsidRPr="00775054">
        <w:rPr>
          <w:rFonts w:ascii="Times New Roman" w:hAnsi="Times New Roman" w:cs="Times New Roman"/>
          <w:color w:val="000000" w:themeColor="text1"/>
          <w:sz w:val="24"/>
          <w:szCs w:val="24"/>
        </w:rPr>
        <w:t xml:space="preserve">o </w:t>
      </w:r>
      <w:r w:rsidR="002078EA">
        <w:rPr>
          <w:rFonts w:ascii="Times New Roman" w:hAnsi="Times New Roman" w:cs="Times New Roman"/>
          <w:color w:val="000000" w:themeColor="text1"/>
          <w:sz w:val="24"/>
          <w:szCs w:val="24"/>
        </w:rPr>
        <w:t>referido portal</w:t>
      </w:r>
      <w:r w:rsidRPr="00775054">
        <w:rPr>
          <w:rFonts w:ascii="Times New Roman" w:hAnsi="Times New Roman" w:cs="Times New Roman"/>
          <w:color w:val="000000" w:themeColor="text1"/>
          <w:sz w:val="24"/>
          <w:szCs w:val="24"/>
        </w:rPr>
        <w:t xml:space="preserve"> não </w:t>
      </w:r>
      <w:r w:rsidR="002078EA">
        <w:rPr>
          <w:rFonts w:ascii="Times New Roman" w:hAnsi="Times New Roman" w:cs="Times New Roman"/>
          <w:color w:val="000000" w:themeColor="text1"/>
          <w:sz w:val="24"/>
          <w:szCs w:val="24"/>
        </w:rPr>
        <w:t>era</w:t>
      </w:r>
      <w:r w:rsidRPr="00775054">
        <w:rPr>
          <w:rFonts w:ascii="Times New Roman" w:hAnsi="Times New Roman" w:cs="Times New Roman"/>
          <w:color w:val="000000" w:themeColor="text1"/>
          <w:sz w:val="24"/>
          <w:szCs w:val="24"/>
        </w:rPr>
        <w:t xml:space="preserve"> atualizado de forma sistemática</w:t>
      </w:r>
      <w:r w:rsidR="002078EA">
        <w:rPr>
          <w:rFonts w:ascii="Times New Roman" w:hAnsi="Times New Roman" w:cs="Times New Roman"/>
          <w:color w:val="000000" w:themeColor="text1"/>
          <w:sz w:val="24"/>
          <w:szCs w:val="24"/>
        </w:rPr>
        <w:t xml:space="preserve">, tendo-se observado adicionalmente </w:t>
      </w:r>
      <w:r w:rsidRPr="00775054">
        <w:rPr>
          <w:rFonts w:ascii="Times New Roman" w:hAnsi="Times New Roman" w:cs="Times New Roman"/>
          <w:color w:val="000000" w:themeColor="text1"/>
          <w:sz w:val="24"/>
          <w:szCs w:val="24"/>
        </w:rPr>
        <w:t xml:space="preserve">que: não há </w:t>
      </w:r>
      <w:r w:rsidRPr="00884F25">
        <w:rPr>
          <w:rFonts w:ascii="Times New Roman" w:hAnsi="Times New Roman" w:cs="Times New Roman"/>
          <w:i/>
          <w:color w:val="000000" w:themeColor="text1"/>
          <w:sz w:val="24"/>
          <w:szCs w:val="24"/>
        </w:rPr>
        <w:t>link</w:t>
      </w:r>
      <w:r w:rsidRPr="00775054">
        <w:rPr>
          <w:rFonts w:ascii="Times New Roman" w:hAnsi="Times New Roman" w:cs="Times New Roman"/>
          <w:color w:val="000000" w:themeColor="text1"/>
          <w:sz w:val="24"/>
          <w:szCs w:val="24"/>
        </w:rPr>
        <w:t xml:space="preserve"> na aba "indicadores de desempenho" para os indicadores 2016-2021; não é possível consultar eventuais revisões dos indicadores e iniciativas estratégicas; não constam as atas das </w:t>
      </w:r>
      <w:proofErr w:type="spellStart"/>
      <w:r w:rsidRPr="00775054">
        <w:rPr>
          <w:rFonts w:ascii="Times New Roman" w:hAnsi="Times New Roman" w:cs="Times New Roman"/>
          <w:color w:val="000000" w:themeColor="text1"/>
          <w:sz w:val="24"/>
          <w:szCs w:val="24"/>
        </w:rPr>
        <w:t>RAEs</w:t>
      </w:r>
      <w:proofErr w:type="spellEnd"/>
      <w:r w:rsidR="002078EA">
        <w:rPr>
          <w:rFonts w:ascii="Times New Roman" w:hAnsi="Times New Roman" w:cs="Times New Roman"/>
          <w:color w:val="000000" w:themeColor="text1"/>
          <w:sz w:val="24"/>
          <w:szCs w:val="24"/>
        </w:rPr>
        <w:t xml:space="preserve"> realizadas no exercício em curso ou em anos anteriores</w:t>
      </w:r>
      <w:r w:rsidRPr="00775054">
        <w:rPr>
          <w:rFonts w:ascii="Times New Roman" w:hAnsi="Times New Roman" w:cs="Times New Roman"/>
          <w:color w:val="000000" w:themeColor="text1"/>
          <w:sz w:val="24"/>
          <w:szCs w:val="24"/>
        </w:rPr>
        <w:t xml:space="preserve">; </w:t>
      </w:r>
      <w:r w:rsidR="00884F25">
        <w:rPr>
          <w:rFonts w:ascii="Times New Roman" w:hAnsi="Times New Roman" w:cs="Times New Roman"/>
          <w:color w:val="000000" w:themeColor="text1"/>
          <w:sz w:val="24"/>
          <w:szCs w:val="24"/>
        </w:rPr>
        <w:t xml:space="preserve">e </w:t>
      </w:r>
      <w:r w:rsidRPr="00775054">
        <w:rPr>
          <w:rFonts w:ascii="Times New Roman" w:hAnsi="Times New Roman" w:cs="Times New Roman"/>
          <w:color w:val="000000" w:themeColor="text1"/>
          <w:sz w:val="24"/>
          <w:szCs w:val="24"/>
        </w:rPr>
        <w:t>n</w:t>
      </w:r>
      <w:r w:rsidR="002078EA">
        <w:rPr>
          <w:rFonts w:ascii="Times New Roman" w:hAnsi="Times New Roman" w:cs="Times New Roman"/>
          <w:color w:val="000000" w:themeColor="text1"/>
          <w:sz w:val="24"/>
          <w:szCs w:val="24"/>
        </w:rPr>
        <w:t>ão</w:t>
      </w:r>
      <w:r w:rsidRPr="00775054">
        <w:rPr>
          <w:rFonts w:ascii="Times New Roman" w:hAnsi="Times New Roman" w:cs="Times New Roman"/>
          <w:color w:val="000000" w:themeColor="text1"/>
          <w:sz w:val="24"/>
          <w:szCs w:val="24"/>
        </w:rPr>
        <w:t xml:space="preserve"> são divulgados, periodicamente, os resultados dos indicadores e projetos. </w:t>
      </w:r>
    </w:p>
    <w:p w:rsidR="00CB1B59" w:rsidRDefault="0064376B" w:rsidP="0064376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Além disso, a equipe de auditoria realizou Pesquisa de Avaliação da Comunicação da Estratégia, entre os dias 9 e 14/11/2017, por meio </w:t>
      </w:r>
      <w:r w:rsidR="002078EA">
        <w:rPr>
          <w:rFonts w:ascii="Times New Roman" w:hAnsi="Times New Roman" w:cs="Times New Roman"/>
          <w:color w:val="000000" w:themeColor="text1"/>
          <w:sz w:val="24"/>
          <w:szCs w:val="24"/>
        </w:rPr>
        <w:t xml:space="preserve">de ferramenta </w:t>
      </w:r>
      <w:r w:rsidR="002078EA" w:rsidRPr="000A7463">
        <w:rPr>
          <w:rFonts w:ascii="Times New Roman" w:hAnsi="Times New Roman" w:cs="Times New Roman"/>
          <w:color w:val="000000" w:themeColor="text1"/>
          <w:sz w:val="24"/>
          <w:szCs w:val="24"/>
        </w:rPr>
        <w:t>Web</w:t>
      </w:r>
      <w:r w:rsidR="002078EA">
        <w:rPr>
          <w:rFonts w:ascii="Times New Roman" w:hAnsi="Times New Roman" w:cs="Times New Roman"/>
          <w:color w:val="000000" w:themeColor="text1"/>
          <w:sz w:val="24"/>
          <w:szCs w:val="24"/>
        </w:rPr>
        <w:t xml:space="preserve"> cujo </w:t>
      </w:r>
      <w:r w:rsidR="002078EA" w:rsidRPr="00884F25">
        <w:rPr>
          <w:rFonts w:ascii="Times New Roman" w:hAnsi="Times New Roman" w:cs="Times New Roman"/>
          <w:i/>
          <w:color w:val="000000" w:themeColor="text1"/>
          <w:sz w:val="24"/>
          <w:szCs w:val="24"/>
        </w:rPr>
        <w:t>link</w:t>
      </w:r>
      <w:r w:rsidR="002078EA">
        <w:rPr>
          <w:rFonts w:ascii="Times New Roman" w:hAnsi="Times New Roman" w:cs="Times New Roman"/>
          <w:color w:val="000000" w:themeColor="text1"/>
          <w:sz w:val="24"/>
          <w:szCs w:val="24"/>
        </w:rPr>
        <w:t xml:space="preserve"> de acesso restou divulgado via</w:t>
      </w:r>
      <w:r w:rsidRPr="00775054">
        <w:rPr>
          <w:rFonts w:ascii="Times New Roman" w:hAnsi="Times New Roman" w:cs="Times New Roman"/>
          <w:color w:val="000000" w:themeColor="text1"/>
          <w:sz w:val="24"/>
          <w:szCs w:val="24"/>
        </w:rPr>
        <w:t xml:space="preserve"> e-mail institucional, respondida por 265 servidores do TRE-BA, dentre os quais: apenas 56,98 %</w:t>
      </w:r>
      <w:proofErr w:type="gramStart"/>
      <w:r w:rsidRPr="00775054">
        <w:rPr>
          <w:rFonts w:ascii="Times New Roman" w:hAnsi="Times New Roman" w:cs="Times New Roman"/>
          <w:color w:val="000000" w:themeColor="text1"/>
          <w:sz w:val="24"/>
          <w:szCs w:val="24"/>
        </w:rPr>
        <w:t xml:space="preserve">  </w:t>
      </w:r>
      <w:proofErr w:type="gramEnd"/>
      <w:r w:rsidRPr="00775054">
        <w:rPr>
          <w:rFonts w:ascii="Times New Roman" w:hAnsi="Times New Roman" w:cs="Times New Roman"/>
          <w:color w:val="000000" w:themeColor="text1"/>
          <w:sz w:val="24"/>
          <w:szCs w:val="24"/>
        </w:rPr>
        <w:t xml:space="preserve">reportaram conhecer a missão, visão e objetivos estratégicos do TRE-BA; 65,28% registraram que a linguagem, iniciativas e ferramentas utilizadas pelo </w:t>
      </w:r>
      <w:r w:rsidR="002078EA">
        <w:rPr>
          <w:rFonts w:ascii="Times New Roman" w:hAnsi="Times New Roman" w:cs="Times New Roman"/>
          <w:color w:val="000000" w:themeColor="text1"/>
          <w:sz w:val="24"/>
          <w:szCs w:val="24"/>
        </w:rPr>
        <w:t>Órgão</w:t>
      </w:r>
      <w:r w:rsidRPr="00775054">
        <w:rPr>
          <w:rFonts w:ascii="Times New Roman" w:hAnsi="Times New Roman" w:cs="Times New Roman"/>
          <w:color w:val="000000" w:themeColor="text1"/>
          <w:sz w:val="24"/>
          <w:szCs w:val="24"/>
        </w:rPr>
        <w:t xml:space="preserve"> para comunicar sua estratégia não são adequadas, nem facilitam sua compreensão; 80,75% informaram não conhecer o Portal da Estratégia; e 90,19% consideraram que a promoção de eventos (cursos, palestras, </w:t>
      </w:r>
      <w:r w:rsidRPr="002078EA">
        <w:rPr>
          <w:rFonts w:ascii="Times New Roman" w:hAnsi="Times New Roman" w:cs="Times New Roman"/>
          <w:i/>
          <w:color w:val="000000" w:themeColor="text1"/>
          <w:sz w:val="24"/>
          <w:szCs w:val="24"/>
        </w:rPr>
        <w:t>workshops</w:t>
      </w:r>
      <w:r w:rsidRPr="00775054">
        <w:rPr>
          <w:rFonts w:ascii="Times New Roman" w:hAnsi="Times New Roman" w:cs="Times New Roman"/>
          <w:color w:val="000000" w:themeColor="text1"/>
          <w:sz w:val="24"/>
          <w:szCs w:val="24"/>
        </w:rPr>
        <w:t xml:space="preserve"> e outros) de divulgação do planejamento estratégico </w:t>
      </w:r>
      <w:r w:rsidR="002078EA">
        <w:rPr>
          <w:rFonts w:ascii="Times New Roman" w:hAnsi="Times New Roman" w:cs="Times New Roman"/>
          <w:color w:val="000000" w:themeColor="text1"/>
          <w:sz w:val="24"/>
          <w:szCs w:val="24"/>
        </w:rPr>
        <w:t>institucional</w:t>
      </w:r>
      <w:r w:rsidRPr="00775054">
        <w:rPr>
          <w:rFonts w:ascii="Times New Roman" w:hAnsi="Times New Roman" w:cs="Times New Roman"/>
          <w:color w:val="000000" w:themeColor="text1"/>
          <w:sz w:val="24"/>
          <w:szCs w:val="24"/>
        </w:rPr>
        <w:t xml:space="preserve"> facilitaria a compreensão da </w:t>
      </w:r>
      <w:r w:rsidR="00884F25">
        <w:rPr>
          <w:rFonts w:ascii="Times New Roman" w:hAnsi="Times New Roman" w:cs="Times New Roman"/>
          <w:color w:val="000000" w:themeColor="text1"/>
          <w:sz w:val="24"/>
          <w:szCs w:val="24"/>
        </w:rPr>
        <w:t>e</w:t>
      </w:r>
      <w:r w:rsidRPr="00775054">
        <w:rPr>
          <w:rFonts w:ascii="Times New Roman" w:hAnsi="Times New Roman" w:cs="Times New Roman"/>
          <w:color w:val="000000" w:themeColor="text1"/>
          <w:sz w:val="24"/>
          <w:szCs w:val="24"/>
        </w:rPr>
        <w:t xml:space="preserve">stratégia. </w:t>
      </w:r>
    </w:p>
    <w:p w:rsidR="00CB1B59" w:rsidRDefault="0064376B" w:rsidP="0064376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lastRenderedPageBreak/>
        <w:t xml:space="preserve">No que se refere ao sítio organizacional na Internet, verificou-se que o planejamento estratégico para o quinquênio 2016-2021 encontra-se divulgado na versão original da formulação, aprovada por meio da Resolução Administrativa do TRE-BA nº 14/2015. Contudo, não restou evidenciada a publicação do teor das revisões resultantes de deliberação do CGPE, em </w:t>
      </w:r>
      <w:proofErr w:type="spellStart"/>
      <w:r w:rsidRPr="00775054">
        <w:rPr>
          <w:rFonts w:ascii="Times New Roman" w:hAnsi="Times New Roman" w:cs="Times New Roman"/>
          <w:color w:val="000000" w:themeColor="text1"/>
          <w:sz w:val="24"/>
          <w:szCs w:val="24"/>
        </w:rPr>
        <w:t>RAEs</w:t>
      </w:r>
      <w:proofErr w:type="spellEnd"/>
      <w:r w:rsidRPr="00775054">
        <w:rPr>
          <w:rFonts w:ascii="Times New Roman" w:hAnsi="Times New Roman" w:cs="Times New Roman"/>
          <w:color w:val="000000" w:themeColor="text1"/>
          <w:sz w:val="24"/>
          <w:szCs w:val="24"/>
        </w:rPr>
        <w:t xml:space="preserve"> realizadas em 2016 e 2017, ou da Corte deste Tribunal, nem a republicação de arquivo retificado, notadamente no que tange às alterações referentes às iniciativas e indicadores de desempenho estratégicos inicialmente estabelecidos. </w:t>
      </w:r>
    </w:p>
    <w:p w:rsidR="00CB1B59" w:rsidRDefault="0064376B" w:rsidP="0064376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Paralelamente, constatou-se que os resultados da gestão estratégica do TRE-BA são divulgados ao público externo, apenas anualmente, por meio do Relatório de Gestão Anual do Órgão, no Portal da Transparência.</w:t>
      </w:r>
    </w:p>
    <w:p w:rsidR="00F26E9D" w:rsidRPr="00775054" w:rsidRDefault="0064376B" w:rsidP="0064376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Adicionalmente, evidenciou-se que se encontra em fase de conclusão o Plano de Divulgação da Estratégia, elaborado pela ASCOM, que utilizará ações publicitárias e jornalísticas para tornar amplamente conhecido o PEI 2016-2021 do TRE-BA. </w:t>
      </w:r>
      <w:r w:rsidR="00987FDE">
        <w:rPr>
          <w:rFonts w:ascii="Times New Roman" w:hAnsi="Times New Roman" w:cs="Times New Roman"/>
          <w:color w:val="000000" w:themeColor="text1"/>
          <w:sz w:val="24"/>
          <w:szCs w:val="24"/>
        </w:rPr>
        <w:t>Registre-se que, i</w:t>
      </w:r>
      <w:r w:rsidRPr="00775054">
        <w:rPr>
          <w:rFonts w:ascii="Times New Roman" w:hAnsi="Times New Roman" w:cs="Times New Roman"/>
          <w:color w:val="000000" w:themeColor="text1"/>
          <w:sz w:val="24"/>
          <w:szCs w:val="24"/>
        </w:rPr>
        <w:t xml:space="preserve">nicialmente, as referidas ações serão dirigidas ao público interno, sendo, em um segundo momento, voltadas à comunidade jurídica relacionada à Justiça Eleitoral e, por fim, direcionadas </w:t>
      </w:r>
      <w:proofErr w:type="gramStart"/>
      <w:r w:rsidRPr="00775054">
        <w:rPr>
          <w:rFonts w:ascii="Times New Roman" w:hAnsi="Times New Roman" w:cs="Times New Roman"/>
          <w:color w:val="000000" w:themeColor="text1"/>
          <w:sz w:val="24"/>
          <w:szCs w:val="24"/>
        </w:rPr>
        <w:t>à</w:t>
      </w:r>
      <w:proofErr w:type="gramEnd"/>
      <w:r w:rsidRPr="00775054">
        <w:rPr>
          <w:rFonts w:ascii="Times New Roman" w:hAnsi="Times New Roman" w:cs="Times New Roman"/>
          <w:color w:val="000000" w:themeColor="text1"/>
          <w:sz w:val="24"/>
          <w:szCs w:val="24"/>
        </w:rPr>
        <w:t xml:space="preserve"> toda sociedade. O referido plano possui como objetivo específico disseminar e ampliar o conhecimento sobre as diretrizes, metodologias, indicadores e metas. Além disso, </w:t>
      </w:r>
      <w:proofErr w:type="gramStart"/>
      <w:r w:rsidRPr="00775054">
        <w:rPr>
          <w:rFonts w:ascii="Times New Roman" w:hAnsi="Times New Roman" w:cs="Times New Roman"/>
          <w:color w:val="000000" w:themeColor="text1"/>
          <w:sz w:val="24"/>
          <w:szCs w:val="24"/>
        </w:rPr>
        <w:t>propõe,</w:t>
      </w:r>
      <w:proofErr w:type="gramEnd"/>
      <w:r w:rsidRPr="00775054">
        <w:rPr>
          <w:rFonts w:ascii="Times New Roman" w:hAnsi="Times New Roman" w:cs="Times New Roman"/>
          <w:color w:val="000000" w:themeColor="text1"/>
          <w:sz w:val="24"/>
          <w:szCs w:val="24"/>
        </w:rPr>
        <w:t xml:space="preserve"> previamente à implantação das ações, realização de pesquisa institucional para mensurar o grau de conhecimento do público interno, bem como nova pesquisa após 12 meses da implantação das ações de comunicação.</w:t>
      </w:r>
      <w:r w:rsidR="00CB577E" w:rsidRPr="00775054">
        <w:rPr>
          <w:rFonts w:ascii="Times New Roman" w:hAnsi="Times New Roman" w:cs="Times New Roman"/>
          <w:color w:val="000000" w:themeColor="text1"/>
          <w:sz w:val="24"/>
          <w:szCs w:val="24"/>
        </w:rPr>
        <w:t xml:space="preserve">  </w:t>
      </w:r>
    </w:p>
    <w:p w:rsidR="00F26E9D" w:rsidRPr="00775054" w:rsidRDefault="00F26E9D" w:rsidP="00414DB8">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F26E9D" w:rsidRPr="00775054" w:rsidRDefault="0064376B" w:rsidP="004004E7">
      <w:pPr>
        <w:numPr>
          <w:ilvl w:val="4"/>
          <w:numId w:val="1"/>
        </w:numPr>
        <w:spacing w:after="0" w:line="240" w:lineRule="auto"/>
        <w:jc w:val="both"/>
        <w:rPr>
          <w:rFonts w:ascii="Times New Roman" w:hAnsi="Times New Roman" w:cs="Times New Roman"/>
          <w:color w:val="000000" w:themeColor="text1"/>
          <w:spacing w:val="-6"/>
          <w:sz w:val="24"/>
          <w:szCs w:val="24"/>
        </w:rPr>
      </w:pPr>
      <w:r w:rsidRPr="00775054">
        <w:rPr>
          <w:rFonts w:ascii="Times New Roman" w:hAnsi="Times New Roman" w:cs="Times New Roman"/>
          <w:color w:val="000000" w:themeColor="text1"/>
          <w:spacing w:val="-6"/>
          <w:sz w:val="24"/>
          <w:szCs w:val="24"/>
        </w:rPr>
        <w:t>Decreto nº 9.203/2017, art. 3º, VI e art. 4º, XI;</w:t>
      </w:r>
      <w:r w:rsidR="004004E7" w:rsidRPr="004004E7">
        <w:t xml:space="preserve"> </w:t>
      </w:r>
      <w:r w:rsidR="004004E7" w:rsidRPr="004004E7">
        <w:rPr>
          <w:rFonts w:ascii="Times New Roman" w:hAnsi="Times New Roman" w:cs="Times New Roman"/>
          <w:color w:val="000000" w:themeColor="text1"/>
          <w:spacing w:val="-6"/>
          <w:sz w:val="24"/>
          <w:szCs w:val="24"/>
        </w:rPr>
        <w:t>subitem 9.1.1.</w:t>
      </w:r>
      <w:r w:rsidR="004004E7">
        <w:rPr>
          <w:rFonts w:ascii="Times New Roman" w:hAnsi="Times New Roman" w:cs="Times New Roman"/>
          <w:color w:val="000000" w:themeColor="text1"/>
          <w:spacing w:val="-6"/>
          <w:sz w:val="24"/>
          <w:szCs w:val="24"/>
        </w:rPr>
        <w:t>4</w:t>
      </w:r>
      <w:r w:rsidR="004004E7" w:rsidRPr="004004E7">
        <w:rPr>
          <w:rFonts w:ascii="Times New Roman" w:hAnsi="Times New Roman" w:cs="Times New Roman"/>
          <w:color w:val="000000" w:themeColor="text1"/>
          <w:spacing w:val="-6"/>
          <w:sz w:val="24"/>
          <w:szCs w:val="24"/>
        </w:rPr>
        <w:t>, do Acórdão TCU Plenário nº 1.233/2012</w:t>
      </w:r>
      <w:r w:rsidR="004004E7">
        <w:rPr>
          <w:rFonts w:ascii="Times New Roman" w:hAnsi="Times New Roman" w:cs="Times New Roman"/>
          <w:color w:val="000000" w:themeColor="text1"/>
          <w:spacing w:val="-6"/>
          <w:sz w:val="24"/>
          <w:szCs w:val="24"/>
        </w:rPr>
        <w:t>;</w:t>
      </w:r>
      <w:r w:rsidRPr="00775054">
        <w:rPr>
          <w:rFonts w:ascii="Times New Roman" w:hAnsi="Times New Roman" w:cs="Times New Roman"/>
          <w:color w:val="000000" w:themeColor="text1"/>
          <w:spacing w:val="-6"/>
          <w:sz w:val="24"/>
          <w:szCs w:val="24"/>
        </w:rPr>
        <w:t xml:space="preserve"> Referencial </w:t>
      </w:r>
      <w:r w:rsidR="00987FDE">
        <w:rPr>
          <w:rFonts w:ascii="Times New Roman" w:hAnsi="Times New Roman" w:cs="Times New Roman"/>
          <w:color w:val="000000" w:themeColor="text1"/>
          <w:spacing w:val="-6"/>
          <w:sz w:val="24"/>
          <w:szCs w:val="24"/>
        </w:rPr>
        <w:t>B</w:t>
      </w:r>
      <w:r w:rsidRPr="00775054">
        <w:rPr>
          <w:rFonts w:ascii="Times New Roman" w:hAnsi="Times New Roman" w:cs="Times New Roman"/>
          <w:color w:val="000000" w:themeColor="text1"/>
          <w:spacing w:val="-6"/>
          <w:sz w:val="24"/>
          <w:szCs w:val="24"/>
        </w:rPr>
        <w:t xml:space="preserve">ásico de </w:t>
      </w:r>
      <w:r w:rsidR="00987FDE">
        <w:rPr>
          <w:rFonts w:ascii="Times New Roman" w:hAnsi="Times New Roman" w:cs="Times New Roman"/>
          <w:color w:val="000000" w:themeColor="text1"/>
          <w:spacing w:val="-6"/>
          <w:sz w:val="24"/>
          <w:szCs w:val="24"/>
        </w:rPr>
        <w:t>G</w:t>
      </w:r>
      <w:r w:rsidRPr="00775054">
        <w:rPr>
          <w:rFonts w:ascii="Times New Roman" w:hAnsi="Times New Roman" w:cs="Times New Roman"/>
          <w:color w:val="000000" w:themeColor="text1"/>
          <w:spacing w:val="-6"/>
          <w:sz w:val="24"/>
          <w:szCs w:val="24"/>
        </w:rPr>
        <w:t xml:space="preserve">overnança, </w:t>
      </w:r>
      <w:r w:rsidR="00987FDE">
        <w:rPr>
          <w:rFonts w:ascii="Times New Roman" w:hAnsi="Times New Roman" w:cs="Times New Roman"/>
          <w:color w:val="000000" w:themeColor="text1"/>
          <w:spacing w:val="-6"/>
          <w:sz w:val="24"/>
          <w:szCs w:val="24"/>
        </w:rPr>
        <w:t>TCU,</w:t>
      </w:r>
      <w:r w:rsidRPr="00775054">
        <w:rPr>
          <w:rFonts w:ascii="Times New Roman" w:hAnsi="Times New Roman" w:cs="Times New Roman"/>
          <w:color w:val="000000" w:themeColor="text1"/>
          <w:spacing w:val="-6"/>
          <w:sz w:val="24"/>
          <w:szCs w:val="24"/>
        </w:rPr>
        <w:t xml:space="preserve"> Versão 2 – 2014, Práticas </w:t>
      </w:r>
      <w:proofErr w:type="gramStart"/>
      <w:r w:rsidRPr="00775054">
        <w:rPr>
          <w:rFonts w:ascii="Times New Roman" w:hAnsi="Times New Roman" w:cs="Times New Roman"/>
          <w:color w:val="000000" w:themeColor="text1"/>
          <w:spacing w:val="-6"/>
          <w:sz w:val="24"/>
          <w:szCs w:val="24"/>
        </w:rPr>
        <w:t>C3.</w:t>
      </w:r>
      <w:proofErr w:type="gramEnd"/>
      <w:r w:rsidRPr="00775054">
        <w:rPr>
          <w:rFonts w:ascii="Times New Roman" w:hAnsi="Times New Roman" w:cs="Times New Roman"/>
          <w:color w:val="000000" w:themeColor="text1"/>
          <w:spacing w:val="-6"/>
          <w:sz w:val="24"/>
          <w:szCs w:val="24"/>
        </w:rPr>
        <w:t xml:space="preserve">1 e E1.1; Resolução CNJ nº 198/2014, art. 7º, parágrafo único; e Gerenciamento de Riscos Corporativos Integrado com a Estratégia e Performance do COSO, traduzido por </w:t>
      </w:r>
      <w:proofErr w:type="spellStart"/>
      <w:r w:rsidRPr="00775054">
        <w:rPr>
          <w:rFonts w:ascii="Times New Roman" w:hAnsi="Times New Roman" w:cs="Times New Roman"/>
          <w:color w:val="000000" w:themeColor="text1"/>
          <w:spacing w:val="-6"/>
          <w:sz w:val="24"/>
          <w:szCs w:val="24"/>
        </w:rPr>
        <w:t>PwC</w:t>
      </w:r>
      <w:proofErr w:type="spellEnd"/>
      <w:r w:rsidRPr="00775054">
        <w:rPr>
          <w:rFonts w:ascii="Times New Roman" w:hAnsi="Times New Roman" w:cs="Times New Roman"/>
          <w:color w:val="000000" w:themeColor="text1"/>
          <w:spacing w:val="-6"/>
          <w:sz w:val="24"/>
          <w:szCs w:val="24"/>
        </w:rPr>
        <w:t>, junho de 2017, Componentes e Princípios 19 e 20.</w:t>
      </w:r>
    </w:p>
    <w:p w:rsidR="00F26E9D" w:rsidRPr="00775054" w:rsidRDefault="00F26E9D"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F26E9D" w:rsidRPr="008A6131" w:rsidRDefault="00E84EAD" w:rsidP="00E84EAD">
      <w:pPr>
        <w:numPr>
          <w:ilvl w:val="4"/>
          <w:numId w:val="1"/>
        </w:numPr>
        <w:spacing w:after="0" w:line="240" w:lineRule="auto"/>
        <w:jc w:val="both"/>
        <w:rPr>
          <w:rFonts w:ascii="Times New Roman" w:hAnsi="Times New Roman" w:cs="Times New Roman"/>
          <w:i/>
          <w:spacing w:val="-4"/>
          <w:sz w:val="24"/>
          <w:szCs w:val="24"/>
        </w:rPr>
      </w:pPr>
      <w:r w:rsidRPr="008A6131">
        <w:rPr>
          <w:rFonts w:ascii="Times New Roman" w:hAnsi="Times New Roman" w:cs="Times New Roman"/>
          <w:bCs/>
          <w:sz w:val="24"/>
          <w:szCs w:val="24"/>
        </w:rPr>
        <w:t>Insuficiência de capacitação dos agentes responsáveis pela comunicação</w:t>
      </w:r>
      <w:r w:rsidR="00987FDE" w:rsidRPr="008A6131">
        <w:rPr>
          <w:rFonts w:ascii="Times New Roman" w:hAnsi="Times New Roman" w:cs="Times New Roman"/>
          <w:bCs/>
          <w:sz w:val="24"/>
          <w:szCs w:val="24"/>
        </w:rPr>
        <w:t xml:space="preserve"> da estratégia</w:t>
      </w:r>
      <w:r w:rsidRPr="008A6131">
        <w:rPr>
          <w:rFonts w:ascii="Times New Roman" w:hAnsi="Times New Roman" w:cs="Times New Roman"/>
          <w:bCs/>
          <w:sz w:val="24"/>
          <w:szCs w:val="24"/>
        </w:rPr>
        <w:t xml:space="preserve">; ausência de aprovação formal de plano de comunicação da estratégia organizacional; desatualização de informações no Portal da Estratégia; inadequação de linguagem, iniciativas e respectivas ferramentas utilizadas para a comunicação da estratégia; e insuficiência de eventos </w:t>
      </w:r>
      <w:r w:rsidR="00987FDE" w:rsidRPr="008A6131">
        <w:rPr>
          <w:rFonts w:ascii="Times New Roman" w:hAnsi="Times New Roman" w:cs="Times New Roman"/>
          <w:bCs/>
          <w:sz w:val="24"/>
          <w:szCs w:val="24"/>
        </w:rPr>
        <w:t xml:space="preserve">destinados </w:t>
      </w:r>
      <w:r w:rsidRPr="008A6131">
        <w:rPr>
          <w:rFonts w:ascii="Times New Roman" w:hAnsi="Times New Roman" w:cs="Times New Roman"/>
          <w:bCs/>
          <w:sz w:val="24"/>
          <w:szCs w:val="24"/>
        </w:rPr>
        <w:t>à promoção da estratégia</w:t>
      </w:r>
      <w:r w:rsidR="00987FDE" w:rsidRPr="008A6131">
        <w:rPr>
          <w:rFonts w:ascii="Times New Roman" w:hAnsi="Times New Roman" w:cs="Times New Roman"/>
          <w:bCs/>
          <w:sz w:val="24"/>
          <w:szCs w:val="24"/>
        </w:rPr>
        <w:t>, nos diversos extratos organizacionais</w:t>
      </w:r>
      <w:r w:rsidRPr="008A6131">
        <w:rPr>
          <w:rFonts w:ascii="Times New Roman" w:hAnsi="Times New Roman" w:cs="Times New Roman"/>
          <w:bCs/>
          <w:sz w:val="24"/>
          <w:szCs w:val="24"/>
        </w:rPr>
        <w:t>.</w:t>
      </w:r>
    </w:p>
    <w:p w:rsidR="00F26E9D" w:rsidRPr="00775054" w:rsidRDefault="00F26E9D" w:rsidP="00414DB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F26E9D" w:rsidRPr="00CB1B59" w:rsidRDefault="00E84EAD" w:rsidP="00E84EAD">
      <w:pPr>
        <w:numPr>
          <w:ilvl w:val="4"/>
          <w:numId w:val="1"/>
        </w:numPr>
        <w:spacing w:after="0" w:line="240" w:lineRule="auto"/>
        <w:jc w:val="both"/>
        <w:rPr>
          <w:rFonts w:ascii="Times New Roman" w:hAnsi="Times New Roman" w:cs="Times New Roman"/>
          <w:i/>
          <w:color w:val="000000" w:themeColor="text1"/>
          <w:spacing w:val="-2"/>
          <w:sz w:val="24"/>
          <w:szCs w:val="24"/>
        </w:rPr>
      </w:pPr>
      <w:r w:rsidRPr="00CB1B59">
        <w:rPr>
          <w:rFonts w:ascii="Times New Roman" w:hAnsi="Times New Roman" w:cs="Times New Roman"/>
          <w:color w:val="000000" w:themeColor="text1"/>
          <w:spacing w:val="-2"/>
          <w:sz w:val="24"/>
          <w:szCs w:val="24"/>
        </w:rPr>
        <w:t xml:space="preserve">Inconformidade com o aparato normativo vigente; comprometimento da concretização da missão e do alcance da visão de futuro institucionais; não atendimento às expectativas das partes interessadas; comprometimento do fluxo de informações atinentes à </w:t>
      </w:r>
      <w:r w:rsidR="00987FDE" w:rsidRPr="00CB1B59">
        <w:rPr>
          <w:rFonts w:ascii="Times New Roman" w:hAnsi="Times New Roman" w:cs="Times New Roman"/>
          <w:color w:val="000000" w:themeColor="text1"/>
          <w:spacing w:val="-2"/>
          <w:sz w:val="24"/>
          <w:szCs w:val="24"/>
        </w:rPr>
        <w:t>e</w:t>
      </w:r>
      <w:r w:rsidRPr="00CB1B59">
        <w:rPr>
          <w:rFonts w:ascii="Times New Roman" w:hAnsi="Times New Roman" w:cs="Times New Roman"/>
          <w:color w:val="000000" w:themeColor="text1"/>
          <w:spacing w:val="-2"/>
          <w:sz w:val="24"/>
          <w:szCs w:val="24"/>
        </w:rPr>
        <w:t xml:space="preserve">stratégia organizacional; compreensão clara da </w:t>
      </w:r>
      <w:r w:rsidR="00987FDE" w:rsidRPr="00CB1B59">
        <w:rPr>
          <w:rFonts w:ascii="Times New Roman" w:hAnsi="Times New Roman" w:cs="Times New Roman"/>
          <w:color w:val="000000" w:themeColor="text1"/>
          <w:spacing w:val="-2"/>
          <w:sz w:val="24"/>
          <w:szCs w:val="24"/>
        </w:rPr>
        <w:t>e</w:t>
      </w:r>
      <w:r w:rsidRPr="00CB1B59">
        <w:rPr>
          <w:rFonts w:ascii="Times New Roman" w:hAnsi="Times New Roman" w:cs="Times New Roman"/>
          <w:color w:val="000000" w:themeColor="text1"/>
          <w:spacing w:val="-2"/>
          <w:sz w:val="24"/>
          <w:szCs w:val="24"/>
        </w:rPr>
        <w:t xml:space="preserve">stratégia restrita à Alta Gestão organizacional; atuação de gestores e demais colaboradores em desacordo com os valores e objetivos estratégicos organizacionais; não cumprimento ou cumprimento deficiente dos objetivos estratégicos, iniciativas e metas associadas; ausência ou deficiência de participação, cooperação e envolvimento das unidades para uma ação alinhada; inexecução ou execução deficiente do planejamento; </w:t>
      </w:r>
      <w:r w:rsidRPr="00CB1B59">
        <w:rPr>
          <w:rFonts w:ascii="Times New Roman" w:hAnsi="Times New Roman" w:cs="Times New Roman"/>
          <w:color w:val="000000" w:themeColor="text1"/>
          <w:spacing w:val="-2"/>
          <w:sz w:val="24"/>
          <w:szCs w:val="24"/>
        </w:rPr>
        <w:lastRenderedPageBreak/>
        <w:t>ausência/deficiência na promoção dos valores organizacionais; dispersão de esforços e recursos humanos na busca da concretização da missão institucional; desmotivação dos gestores e demais colaboradores; obtenção de informações equivocadas pelos usuários; e desperdício de tempo dos usuários na tentativa de obtenção de dados relativos à Estratégia organizacional.</w:t>
      </w:r>
    </w:p>
    <w:p w:rsidR="00F26E9D" w:rsidRPr="00775054" w:rsidRDefault="00F26E9D"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F26E9D" w:rsidRPr="00D819FE" w:rsidRDefault="00E84EAD" w:rsidP="00FD3300">
      <w:pPr>
        <w:numPr>
          <w:ilvl w:val="4"/>
          <w:numId w:val="1"/>
        </w:numPr>
        <w:spacing w:after="0" w:line="240" w:lineRule="auto"/>
        <w:jc w:val="both"/>
        <w:rPr>
          <w:rFonts w:ascii="Times New Roman" w:hAnsi="Times New Roman" w:cs="Times New Roman"/>
          <w:i/>
          <w:sz w:val="24"/>
          <w:szCs w:val="24"/>
        </w:rPr>
      </w:pPr>
      <w:r w:rsidRPr="00775054">
        <w:rPr>
          <w:rFonts w:ascii="Times New Roman" w:hAnsi="Times New Roman" w:cs="Times New Roman"/>
          <w:color w:val="000000" w:themeColor="text1"/>
          <w:sz w:val="24"/>
          <w:szCs w:val="24"/>
        </w:rPr>
        <w:t>PAD nº 328/2018 (Doc. nº 3.427/2017) -</w:t>
      </w:r>
      <w:r w:rsidR="00822082"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Pesquisa de Avaliação da Comunicação da Estratégia realizada entre os dias 9 e 14/11/2017; PAD nº 12.027/2017 (Doc. nº 171.852/2017); PAD nº 14.857/2017(Doc. nº</w:t>
      </w:r>
      <w:r w:rsidR="00822082" w:rsidRPr="00775054">
        <w:rPr>
          <w:rFonts w:ascii="Times New Roman" w:hAnsi="Times New Roman" w:cs="Times New Roman"/>
          <w:color w:val="000000" w:themeColor="text1"/>
          <w:sz w:val="24"/>
          <w:szCs w:val="24"/>
        </w:rPr>
        <w:t xml:space="preserve"> 207.296/2017</w:t>
      </w:r>
      <w:r w:rsidRPr="00775054">
        <w:rPr>
          <w:rFonts w:ascii="Times New Roman" w:hAnsi="Times New Roman" w:cs="Times New Roman"/>
          <w:color w:val="000000" w:themeColor="text1"/>
          <w:sz w:val="24"/>
          <w:szCs w:val="24"/>
        </w:rPr>
        <w:t>)</w:t>
      </w:r>
      <w:r w:rsidR="00FD3300">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14.848/2017 (Doc. nº 217.389/2017) - extratos de entrevista com a ASCOM e COPEG; </w:t>
      </w:r>
      <w:r w:rsidRPr="00D819FE">
        <w:rPr>
          <w:rFonts w:ascii="Times New Roman" w:hAnsi="Times New Roman" w:cs="Times New Roman"/>
          <w:sz w:val="24"/>
          <w:szCs w:val="24"/>
        </w:rPr>
        <w:t>PAD nº 14.519/2017 (Doc</w:t>
      </w:r>
      <w:r w:rsidR="00BB7027" w:rsidRPr="00D819FE">
        <w:rPr>
          <w:rFonts w:ascii="Times New Roman" w:hAnsi="Times New Roman" w:cs="Times New Roman"/>
          <w:sz w:val="24"/>
          <w:szCs w:val="24"/>
        </w:rPr>
        <w:t>s</w:t>
      </w:r>
      <w:r w:rsidRPr="00D819FE">
        <w:rPr>
          <w:rFonts w:ascii="Times New Roman" w:hAnsi="Times New Roman" w:cs="Times New Roman"/>
          <w:sz w:val="24"/>
          <w:szCs w:val="24"/>
        </w:rPr>
        <w:t>.</w:t>
      </w:r>
      <w:r w:rsidR="00987FDE" w:rsidRPr="00D819FE">
        <w:rPr>
          <w:rFonts w:ascii="Times New Roman" w:hAnsi="Times New Roman" w:cs="Times New Roman"/>
          <w:sz w:val="24"/>
          <w:szCs w:val="24"/>
        </w:rPr>
        <w:t xml:space="preserve"> </w:t>
      </w:r>
      <w:r w:rsidRPr="00D819FE">
        <w:rPr>
          <w:rFonts w:ascii="Times New Roman" w:hAnsi="Times New Roman" w:cs="Times New Roman"/>
          <w:sz w:val="24"/>
          <w:szCs w:val="24"/>
        </w:rPr>
        <w:t>nº</w:t>
      </w:r>
      <w:r w:rsidR="00BB7027" w:rsidRPr="00D819FE">
        <w:rPr>
          <w:rFonts w:ascii="Times New Roman" w:hAnsi="Times New Roman" w:cs="Times New Roman"/>
          <w:sz w:val="24"/>
          <w:szCs w:val="24"/>
        </w:rPr>
        <w:t xml:space="preserve"> 43.568/2018 e 77.204/2018</w:t>
      </w:r>
      <w:r w:rsidRPr="00D819FE">
        <w:rPr>
          <w:rFonts w:ascii="Times New Roman" w:hAnsi="Times New Roman" w:cs="Times New Roman"/>
          <w:sz w:val="24"/>
          <w:szCs w:val="24"/>
        </w:rPr>
        <w:t>) - referente ao Plano de Comunicação da Estratégia do TRE-BA; e Portal da Estratégia "http://intranet.tre-ba.gov.br/institucional/unidades/diretoria-geral/planejamento-estrategico", acessado em 9/11/2017</w:t>
      </w:r>
      <w:r w:rsidR="00FD3300" w:rsidRPr="00D819FE">
        <w:rPr>
          <w:rFonts w:ascii="Times New Roman" w:hAnsi="Times New Roman" w:cs="Times New Roman"/>
          <w:sz w:val="24"/>
          <w:szCs w:val="24"/>
        </w:rPr>
        <w:t>; e</w:t>
      </w:r>
      <w:r w:rsidR="00FD3300" w:rsidRPr="00D819FE">
        <w:t xml:space="preserve"> </w:t>
      </w:r>
      <w:r w:rsidR="00FD3300" w:rsidRPr="00D819FE">
        <w:rPr>
          <w:rFonts w:ascii="Times New Roman" w:hAnsi="Times New Roman" w:cs="Times New Roman"/>
          <w:sz w:val="24"/>
          <w:szCs w:val="24"/>
        </w:rPr>
        <w:t>PAD nº 4.727/2018 (Docs. nº 64.529/2018</w:t>
      </w:r>
      <w:r w:rsidR="001C6F68" w:rsidRPr="00D819FE">
        <w:rPr>
          <w:rFonts w:ascii="Times New Roman" w:hAnsi="Times New Roman" w:cs="Times New Roman"/>
          <w:sz w:val="24"/>
          <w:szCs w:val="24"/>
        </w:rPr>
        <w:t>,</w:t>
      </w:r>
      <w:r w:rsidR="00FD3300" w:rsidRPr="00D819FE">
        <w:rPr>
          <w:rFonts w:ascii="Times New Roman" w:hAnsi="Times New Roman" w:cs="Times New Roman"/>
          <w:sz w:val="24"/>
          <w:szCs w:val="24"/>
        </w:rPr>
        <w:t xml:space="preserve"> 65.235/2018</w:t>
      </w:r>
      <w:r w:rsidR="001C6F68" w:rsidRPr="00D819FE">
        <w:rPr>
          <w:rFonts w:ascii="Times New Roman" w:hAnsi="Times New Roman" w:cs="Times New Roman"/>
          <w:sz w:val="24"/>
          <w:szCs w:val="24"/>
        </w:rPr>
        <w:t xml:space="preserve"> e 80.064/2018</w:t>
      </w:r>
      <w:r w:rsidR="00FD3300" w:rsidRPr="00D819FE">
        <w:rPr>
          <w:rFonts w:ascii="Times New Roman" w:hAnsi="Times New Roman" w:cs="Times New Roman"/>
          <w:sz w:val="24"/>
          <w:szCs w:val="24"/>
        </w:rPr>
        <w:t>)</w:t>
      </w:r>
      <w:r w:rsidRPr="00D819FE">
        <w:rPr>
          <w:rFonts w:ascii="Times New Roman" w:hAnsi="Times New Roman" w:cs="Times New Roman"/>
          <w:sz w:val="24"/>
          <w:szCs w:val="24"/>
        </w:rPr>
        <w:t>.</w:t>
      </w:r>
    </w:p>
    <w:p w:rsidR="007C6F2A" w:rsidRPr="00775054" w:rsidRDefault="007C6F2A" w:rsidP="007C6F2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responsáveis:</w:t>
      </w:r>
    </w:p>
    <w:p w:rsidR="007C6F2A" w:rsidRPr="00611E5B" w:rsidRDefault="00014CB1" w:rsidP="00014CB1">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Em resposta à RDI nº 4/2018 (PAD nº 1.304/2018, Doc. nº 24.827/2018), a COPEG informou que o Plano de Comunicação da Estratégia do TRE-BA foi elaborado pela ASCOM conforme PAD nº </w:t>
      </w:r>
      <w:r w:rsidRPr="00611E5B">
        <w:rPr>
          <w:rFonts w:ascii="Times New Roman" w:hAnsi="Times New Roman" w:cs="Times New Roman"/>
          <w:sz w:val="24"/>
          <w:szCs w:val="24"/>
        </w:rPr>
        <w:t>1</w:t>
      </w:r>
      <w:r w:rsidR="00611E5B" w:rsidRPr="00611E5B">
        <w:rPr>
          <w:rFonts w:ascii="Times New Roman" w:hAnsi="Times New Roman" w:cs="Times New Roman"/>
          <w:sz w:val="24"/>
          <w:szCs w:val="24"/>
        </w:rPr>
        <w:t>4</w:t>
      </w:r>
      <w:r w:rsidRPr="00611E5B">
        <w:rPr>
          <w:rFonts w:ascii="Times New Roman" w:hAnsi="Times New Roman" w:cs="Times New Roman"/>
          <w:sz w:val="24"/>
          <w:szCs w:val="24"/>
        </w:rPr>
        <w:t>.519</w:t>
      </w:r>
      <w:r w:rsidRPr="00611E5B">
        <w:rPr>
          <w:rFonts w:ascii="Times New Roman" w:hAnsi="Times New Roman" w:cs="Times New Roman"/>
          <w:color w:val="000000" w:themeColor="text1"/>
          <w:sz w:val="24"/>
          <w:szCs w:val="24"/>
        </w:rPr>
        <w:t>/2017</w:t>
      </w:r>
      <w:r w:rsidR="007C6F2A" w:rsidRPr="00611E5B">
        <w:rPr>
          <w:rFonts w:ascii="Times New Roman" w:hAnsi="Times New Roman" w:cs="Times New Roman"/>
          <w:color w:val="000000" w:themeColor="text1"/>
          <w:sz w:val="24"/>
          <w:szCs w:val="24"/>
        </w:rPr>
        <w:t>.</w:t>
      </w:r>
    </w:p>
    <w:p w:rsidR="00EF67A0" w:rsidRDefault="00EF67A0" w:rsidP="00EF67A0">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6/2018 (PAD nº 1.307/2018, Doc. nº 23.874/2018), a Diretora</w:t>
      </w:r>
      <w:r w:rsidR="00987FDE">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Geral informou que a COPEG retornou o PAD </w:t>
      </w:r>
      <w:r w:rsidRPr="00611E5B">
        <w:rPr>
          <w:rFonts w:ascii="Times New Roman" w:hAnsi="Times New Roman" w:cs="Times New Roman"/>
          <w:sz w:val="24"/>
          <w:szCs w:val="24"/>
        </w:rPr>
        <w:t>nº 14.519/201</w:t>
      </w:r>
      <w:r w:rsidR="000A7463" w:rsidRPr="00BD69D2">
        <w:rPr>
          <w:rFonts w:ascii="Times New Roman" w:hAnsi="Times New Roman" w:cs="Times New Roman"/>
          <w:color w:val="000000" w:themeColor="text1"/>
          <w:sz w:val="24"/>
          <w:szCs w:val="24"/>
        </w:rPr>
        <w:t>7</w:t>
      </w:r>
      <w:r w:rsidRPr="00BD69D2">
        <w:rPr>
          <w:rFonts w:ascii="Times New Roman" w:hAnsi="Times New Roman" w:cs="Times New Roman"/>
          <w:color w:val="000000" w:themeColor="text1"/>
          <w:sz w:val="24"/>
          <w:szCs w:val="24"/>
        </w:rPr>
        <w:t xml:space="preserve"> </w:t>
      </w:r>
      <w:r w:rsidRPr="00611E5B">
        <w:rPr>
          <w:rFonts w:ascii="Times New Roman" w:hAnsi="Times New Roman" w:cs="Times New Roman"/>
          <w:color w:val="000000" w:themeColor="text1"/>
          <w:sz w:val="24"/>
          <w:szCs w:val="24"/>
        </w:rPr>
        <w:t>à</w:t>
      </w:r>
      <w:r w:rsidRPr="00775054">
        <w:rPr>
          <w:rFonts w:ascii="Times New Roman" w:hAnsi="Times New Roman" w:cs="Times New Roman"/>
          <w:color w:val="000000" w:themeColor="text1"/>
          <w:sz w:val="24"/>
          <w:szCs w:val="24"/>
        </w:rPr>
        <w:t xml:space="preserve"> ASCOM para alterações no Plano de Comunicação da Estratégia, acrescentando que ainda não houve envio à ASSESP para respectiva aprovação.</w:t>
      </w:r>
      <w:r w:rsidR="003863BE"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Ressaltou,</w:t>
      </w:r>
      <w:r w:rsidR="003863BE"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ainda,</w:t>
      </w:r>
      <w:r w:rsidR="003863BE" w:rsidRPr="00775054">
        <w:rPr>
          <w:rFonts w:ascii="Times New Roman" w:hAnsi="Times New Roman" w:cs="Times New Roman"/>
          <w:color w:val="000000" w:themeColor="text1"/>
          <w:sz w:val="24"/>
          <w:szCs w:val="24"/>
        </w:rPr>
        <w:t xml:space="preserve"> que</w:t>
      </w:r>
      <w:r w:rsidR="00987FDE">
        <w:rPr>
          <w:rFonts w:ascii="Times New Roman" w:hAnsi="Times New Roman" w:cs="Times New Roman"/>
          <w:color w:val="000000" w:themeColor="text1"/>
          <w:sz w:val="24"/>
          <w:szCs w:val="24"/>
        </w:rPr>
        <w:t>,</w:t>
      </w:r>
      <w:r w:rsidR="003863BE" w:rsidRPr="00775054">
        <w:rPr>
          <w:rFonts w:ascii="Times New Roman" w:hAnsi="Times New Roman" w:cs="Times New Roman"/>
          <w:color w:val="000000" w:themeColor="text1"/>
          <w:sz w:val="24"/>
          <w:szCs w:val="24"/>
        </w:rPr>
        <w:t xml:space="preserve"> regimentalmente</w:t>
      </w:r>
      <w:r w:rsidR="00987FDE">
        <w:rPr>
          <w:rFonts w:ascii="Times New Roman" w:hAnsi="Times New Roman" w:cs="Times New Roman"/>
          <w:color w:val="000000" w:themeColor="text1"/>
          <w:sz w:val="24"/>
          <w:szCs w:val="24"/>
        </w:rPr>
        <w:t>,</w:t>
      </w:r>
      <w:r w:rsidR="003863BE" w:rsidRPr="00775054">
        <w:rPr>
          <w:rFonts w:ascii="Times New Roman" w:hAnsi="Times New Roman" w:cs="Times New Roman"/>
          <w:color w:val="000000" w:themeColor="text1"/>
          <w:sz w:val="24"/>
          <w:szCs w:val="24"/>
        </w:rPr>
        <w:t xml:space="preserve"> a ASCOM é subordinada diretamente à Presidência do Tribunal.</w:t>
      </w:r>
      <w:r w:rsidRPr="00775054">
        <w:rPr>
          <w:rFonts w:ascii="Times New Roman" w:hAnsi="Times New Roman" w:cs="Times New Roman"/>
          <w:color w:val="000000" w:themeColor="text1"/>
          <w:sz w:val="24"/>
          <w:szCs w:val="24"/>
        </w:rPr>
        <w:t xml:space="preserve"> </w:t>
      </w:r>
    </w:p>
    <w:p w:rsidR="00306322" w:rsidRPr="008060A9" w:rsidRDefault="00306322" w:rsidP="00306322">
      <w:pPr>
        <w:numPr>
          <w:ilvl w:val="4"/>
          <w:numId w:val="1"/>
        </w:numPr>
        <w:spacing w:after="0" w:line="240" w:lineRule="auto"/>
        <w:jc w:val="both"/>
        <w:rPr>
          <w:rFonts w:ascii="Times New Roman" w:hAnsi="Times New Roman" w:cs="Times New Roman"/>
          <w:sz w:val="24"/>
          <w:szCs w:val="24"/>
        </w:rPr>
      </w:pPr>
      <w:r w:rsidRPr="00D819FE">
        <w:rPr>
          <w:rFonts w:ascii="Times New Roman" w:hAnsi="Times New Roman" w:cs="Times New Roman"/>
          <w:sz w:val="24"/>
          <w:szCs w:val="24"/>
        </w:rPr>
        <w:t xml:space="preserve">Em resposta à RDI Circular nº 5/2018 (PAD nº 4.727/2018, Doc. nº 64.529/2018), a ASCOM informou que já </w:t>
      </w:r>
      <w:r w:rsidR="005F13DB" w:rsidRPr="008060A9">
        <w:rPr>
          <w:rFonts w:ascii="Times New Roman" w:hAnsi="Times New Roman" w:cs="Times New Roman"/>
          <w:sz w:val="24"/>
          <w:szCs w:val="24"/>
        </w:rPr>
        <w:t>elaborou</w:t>
      </w:r>
      <w:r w:rsidRPr="008060A9">
        <w:rPr>
          <w:rFonts w:ascii="Times New Roman" w:hAnsi="Times New Roman" w:cs="Times New Roman"/>
          <w:sz w:val="24"/>
          <w:szCs w:val="24"/>
        </w:rPr>
        <w:t xml:space="preserve"> o Plano de Comunicação da Estratégia e </w:t>
      </w:r>
      <w:r w:rsidR="005F13DB" w:rsidRPr="008060A9">
        <w:rPr>
          <w:rFonts w:ascii="Times New Roman" w:hAnsi="Times New Roman" w:cs="Times New Roman"/>
          <w:sz w:val="24"/>
          <w:szCs w:val="24"/>
        </w:rPr>
        <w:t xml:space="preserve">que o mesmo tramita </w:t>
      </w:r>
      <w:r w:rsidRPr="008060A9">
        <w:rPr>
          <w:rFonts w:ascii="Times New Roman" w:hAnsi="Times New Roman" w:cs="Times New Roman"/>
          <w:sz w:val="24"/>
          <w:szCs w:val="24"/>
        </w:rPr>
        <w:t xml:space="preserve">para aprovação </w:t>
      </w:r>
      <w:r w:rsidR="005F13DB" w:rsidRPr="008060A9">
        <w:rPr>
          <w:rFonts w:ascii="Times New Roman" w:hAnsi="Times New Roman" w:cs="Times New Roman"/>
          <w:sz w:val="24"/>
          <w:szCs w:val="24"/>
        </w:rPr>
        <w:t>n</w:t>
      </w:r>
      <w:r w:rsidRPr="008060A9">
        <w:rPr>
          <w:rFonts w:ascii="Times New Roman" w:hAnsi="Times New Roman" w:cs="Times New Roman"/>
          <w:sz w:val="24"/>
          <w:szCs w:val="24"/>
        </w:rPr>
        <w:t xml:space="preserve">o PAD nº 14.519/2017. Informou também que o referido PAD </w:t>
      </w:r>
      <w:r w:rsidR="005F13DB" w:rsidRPr="008060A9">
        <w:rPr>
          <w:rFonts w:ascii="Times New Roman" w:hAnsi="Times New Roman" w:cs="Times New Roman"/>
          <w:sz w:val="24"/>
          <w:szCs w:val="24"/>
        </w:rPr>
        <w:t>estava em 18/4/2018</w:t>
      </w:r>
      <w:r w:rsidRPr="008060A9">
        <w:rPr>
          <w:rFonts w:ascii="Times New Roman" w:hAnsi="Times New Roman" w:cs="Times New Roman"/>
          <w:sz w:val="24"/>
          <w:szCs w:val="24"/>
        </w:rPr>
        <w:t>, na COPEG para análise e envio para aprovação.</w:t>
      </w:r>
    </w:p>
    <w:p w:rsidR="001C763C" w:rsidRPr="002805DF" w:rsidRDefault="001C763C" w:rsidP="001C763C">
      <w:pPr>
        <w:numPr>
          <w:ilvl w:val="4"/>
          <w:numId w:val="1"/>
        </w:numPr>
        <w:spacing w:after="0" w:line="240" w:lineRule="auto"/>
        <w:jc w:val="both"/>
        <w:rPr>
          <w:rFonts w:ascii="Times New Roman" w:hAnsi="Times New Roman" w:cs="Times New Roman"/>
          <w:sz w:val="24"/>
          <w:szCs w:val="24"/>
        </w:rPr>
      </w:pPr>
      <w:r w:rsidRPr="008060A9">
        <w:rPr>
          <w:rFonts w:ascii="Times New Roman" w:hAnsi="Times New Roman" w:cs="Times New Roman"/>
          <w:sz w:val="24"/>
          <w:szCs w:val="24"/>
        </w:rPr>
        <w:t>Em resposta à RDI Circular nº 5/2018 (PAD nº 4.727/2018, Doc. nº 65.235/2018), a Diretora-Geral informou que o Plano de Comunicação da Estratégia, objeto do PAD n.º 14.519/2017, foi encaminhado pela ASCOM à COPEG em 19 de março, para análise, visando o encaminhamento à Presidência para aprovação. Informou, ainda, o enviou do</w:t>
      </w:r>
      <w:r w:rsidR="005F13DB" w:rsidRPr="008060A9">
        <w:rPr>
          <w:rFonts w:ascii="Times New Roman" w:hAnsi="Times New Roman" w:cs="Times New Roman"/>
          <w:sz w:val="24"/>
          <w:szCs w:val="24"/>
        </w:rPr>
        <w:t xml:space="preserve"> Memorando n.º </w:t>
      </w:r>
      <w:r w:rsidRPr="008060A9">
        <w:rPr>
          <w:rFonts w:ascii="Times New Roman" w:hAnsi="Times New Roman" w:cs="Times New Roman"/>
          <w:sz w:val="24"/>
          <w:szCs w:val="24"/>
        </w:rPr>
        <w:t xml:space="preserve">1/2018/ASSESD, constante do PAD n.º 5.067/2018, à COPEG determinando a finalização do procedimento no prazo de </w:t>
      </w:r>
      <w:proofErr w:type="gramStart"/>
      <w:r w:rsidRPr="008060A9">
        <w:rPr>
          <w:rFonts w:ascii="Times New Roman" w:hAnsi="Times New Roman" w:cs="Times New Roman"/>
          <w:sz w:val="24"/>
          <w:szCs w:val="24"/>
        </w:rPr>
        <w:t>5</w:t>
      </w:r>
      <w:proofErr w:type="gramEnd"/>
      <w:r w:rsidRPr="008060A9">
        <w:rPr>
          <w:rFonts w:ascii="Times New Roman" w:hAnsi="Times New Roman" w:cs="Times New Roman"/>
          <w:sz w:val="24"/>
          <w:szCs w:val="24"/>
        </w:rPr>
        <w:t xml:space="preserve"> dias.</w:t>
      </w:r>
      <w:r w:rsidR="00EA268B" w:rsidRPr="008060A9">
        <w:rPr>
          <w:rFonts w:ascii="Times New Roman" w:hAnsi="Times New Roman" w:cs="Times New Roman"/>
          <w:sz w:val="24"/>
          <w:szCs w:val="24"/>
        </w:rPr>
        <w:t xml:space="preserve"> C</w:t>
      </w:r>
      <w:r w:rsidRPr="008060A9">
        <w:rPr>
          <w:rFonts w:ascii="Times New Roman" w:hAnsi="Times New Roman" w:cs="Times New Roman"/>
          <w:sz w:val="24"/>
          <w:szCs w:val="24"/>
        </w:rPr>
        <w:t>om relação à ASCOM, informou trata</w:t>
      </w:r>
      <w:r w:rsidR="005F13DB" w:rsidRPr="008060A9">
        <w:rPr>
          <w:rFonts w:ascii="Times New Roman" w:hAnsi="Times New Roman" w:cs="Times New Roman"/>
          <w:sz w:val="24"/>
          <w:szCs w:val="24"/>
        </w:rPr>
        <w:t>r</w:t>
      </w:r>
      <w:r w:rsidRPr="008060A9">
        <w:rPr>
          <w:rFonts w:ascii="Times New Roman" w:hAnsi="Times New Roman" w:cs="Times New Roman"/>
          <w:sz w:val="24"/>
          <w:szCs w:val="24"/>
        </w:rPr>
        <w:t xml:space="preserve">-se de unidade vinculada regimentalmente à Presidência, razão pela qual não caberia </w:t>
      </w:r>
      <w:r w:rsidR="005F13DB" w:rsidRPr="002805DF">
        <w:rPr>
          <w:rFonts w:ascii="Times New Roman" w:hAnsi="Times New Roman" w:cs="Times New Roman"/>
          <w:sz w:val="24"/>
          <w:szCs w:val="24"/>
        </w:rPr>
        <w:t xml:space="preserve">àquela </w:t>
      </w:r>
      <w:r w:rsidRPr="002805DF">
        <w:rPr>
          <w:rFonts w:ascii="Times New Roman" w:hAnsi="Times New Roman" w:cs="Times New Roman"/>
          <w:sz w:val="24"/>
          <w:szCs w:val="24"/>
        </w:rPr>
        <w:t>unidade diretiva qualquer encaminhamento.</w:t>
      </w:r>
    </w:p>
    <w:p w:rsidR="00EA268B" w:rsidRPr="002805DF" w:rsidRDefault="005E19AE" w:rsidP="00EA268B">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S</w:t>
      </w:r>
      <w:r w:rsidR="00EA268B" w:rsidRPr="002805DF">
        <w:rPr>
          <w:rFonts w:ascii="Times New Roman" w:hAnsi="Times New Roman" w:cs="Times New Roman"/>
          <w:sz w:val="24"/>
          <w:szCs w:val="24"/>
        </w:rPr>
        <w:t>alientou</w:t>
      </w:r>
      <w:r w:rsidRPr="002805DF">
        <w:rPr>
          <w:rFonts w:ascii="Times New Roman" w:hAnsi="Times New Roman" w:cs="Times New Roman"/>
          <w:sz w:val="24"/>
          <w:szCs w:val="24"/>
        </w:rPr>
        <w:t>, ainda,</w:t>
      </w:r>
      <w:r w:rsidR="00EA268B" w:rsidRPr="002805DF">
        <w:rPr>
          <w:rFonts w:ascii="Times New Roman" w:hAnsi="Times New Roman" w:cs="Times New Roman"/>
          <w:sz w:val="24"/>
          <w:szCs w:val="24"/>
        </w:rPr>
        <w:t xml:space="preserve"> que, conforme preceituado no art. 12, I</w:t>
      </w:r>
      <w:r w:rsidR="005F13DB" w:rsidRPr="002805DF">
        <w:rPr>
          <w:rFonts w:ascii="Times New Roman" w:hAnsi="Times New Roman" w:cs="Times New Roman"/>
          <w:sz w:val="24"/>
          <w:szCs w:val="24"/>
        </w:rPr>
        <w:t>,</w:t>
      </w:r>
      <w:r w:rsidR="00EA268B" w:rsidRPr="002805DF">
        <w:rPr>
          <w:rFonts w:ascii="Times New Roman" w:hAnsi="Times New Roman" w:cs="Times New Roman"/>
          <w:sz w:val="24"/>
          <w:szCs w:val="24"/>
        </w:rPr>
        <w:t xml:space="preserve"> da Resolução Administrativa n.º 5/2013, compete à </w:t>
      </w:r>
      <w:r w:rsidRPr="002805DF">
        <w:rPr>
          <w:rFonts w:ascii="Times New Roman" w:hAnsi="Times New Roman" w:cs="Times New Roman"/>
          <w:sz w:val="24"/>
          <w:szCs w:val="24"/>
        </w:rPr>
        <w:t xml:space="preserve">ASCOM </w:t>
      </w:r>
      <w:r w:rsidR="00EA268B" w:rsidRPr="002805DF">
        <w:rPr>
          <w:rFonts w:ascii="Times New Roman" w:hAnsi="Times New Roman" w:cs="Times New Roman"/>
          <w:sz w:val="24"/>
          <w:szCs w:val="24"/>
        </w:rPr>
        <w:t>“divulgar a missão, as ações e os objetivos estratégicos do Tribunal, visando à consolidação da imagem do órgão perante a sociedade”.</w:t>
      </w:r>
      <w:r w:rsidR="00D45E96" w:rsidRPr="002805DF">
        <w:rPr>
          <w:rFonts w:ascii="Times New Roman" w:hAnsi="Times New Roman" w:cs="Times New Roman"/>
          <w:sz w:val="24"/>
          <w:szCs w:val="24"/>
        </w:rPr>
        <w:t xml:space="preserve"> </w:t>
      </w:r>
      <w:r w:rsidRPr="002805DF">
        <w:rPr>
          <w:rFonts w:ascii="Times New Roman" w:hAnsi="Times New Roman" w:cs="Times New Roman"/>
          <w:sz w:val="24"/>
          <w:szCs w:val="24"/>
        </w:rPr>
        <w:t>Ressaltou</w:t>
      </w:r>
      <w:r w:rsidR="00EA268B" w:rsidRPr="002805DF">
        <w:rPr>
          <w:rFonts w:ascii="Times New Roman" w:hAnsi="Times New Roman" w:cs="Times New Roman"/>
          <w:sz w:val="24"/>
          <w:szCs w:val="24"/>
        </w:rPr>
        <w:t xml:space="preserve"> </w:t>
      </w:r>
      <w:r w:rsidR="00D45E96" w:rsidRPr="002805DF">
        <w:rPr>
          <w:rFonts w:ascii="Times New Roman" w:hAnsi="Times New Roman" w:cs="Times New Roman"/>
          <w:sz w:val="24"/>
          <w:szCs w:val="24"/>
        </w:rPr>
        <w:t>que</w:t>
      </w:r>
      <w:r w:rsidR="00EA268B" w:rsidRPr="002805DF">
        <w:rPr>
          <w:rFonts w:ascii="Times New Roman" w:hAnsi="Times New Roman" w:cs="Times New Roman"/>
          <w:sz w:val="24"/>
          <w:szCs w:val="24"/>
        </w:rPr>
        <w:t xml:space="preserve"> </w:t>
      </w:r>
      <w:proofErr w:type="gramStart"/>
      <w:r w:rsidR="00EA268B" w:rsidRPr="002805DF">
        <w:rPr>
          <w:rFonts w:ascii="Times New Roman" w:hAnsi="Times New Roman" w:cs="Times New Roman"/>
          <w:sz w:val="24"/>
          <w:szCs w:val="24"/>
        </w:rPr>
        <w:t>cumpre</w:t>
      </w:r>
      <w:proofErr w:type="gramEnd"/>
      <w:r w:rsidR="00EA268B" w:rsidRPr="002805DF">
        <w:rPr>
          <w:rFonts w:ascii="Times New Roman" w:hAnsi="Times New Roman" w:cs="Times New Roman"/>
          <w:sz w:val="24"/>
          <w:szCs w:val="24"/>
        </w:rPr>
        <w:t xml:space="preserve"> àquela unidade outras atribuições relativas ao gerenciamento dos meios de relacionamento com a sociedade e público interno, propositura e promoção de ações de relações públicas e divulgação institucional, implantação e gerenciamento do plano de comunicação interna, promoção e apoio a iniciativas de todas as unidades </w:t>
      </w:r>
      <w:r w:rsidR="00EA268B" w:rsidRPr="002805DF">
        <w:rPr>
          <w:rFonts w:ascii="Times New Roman" w:hAnsi="Times New Roman" w:cs="Times New Roman"/>
          <w:sz w:val="24"/>
          <w:szCs w:val="24"/>
        </w:rPr>
        <w:lastRenderedPageBreak/>
        <w:t>do Tribunal que impulsionem o conhecimento e a cidadania (incisos II, IV, V e VIII do art. 12)</w:t>
      </w:r>
      <w:r w:rsidRPr="002805DF">
        <w:rPr>
          <w:rFonts w:ascii="Times New Roman" w:hAnsi="Times New Roman" w:cs="Times New Roman"/>
          <w:sz w:val="24"/>
          <w:szCs w:val="24"/>
        </w:rPr>
        <w:t>, entendendo</w:t>
      </w:r>
      <w:r w:rsidR="00EA268B" w:rsidRPr="002805DF">
        <w:rPr>
          <w:rFonts w:ascii="Times New Roman" w:hAnsi="Times New Roman" w:cs="Times New Roman"/>
          <w:sz w:val="24"/>
          <w:szCs w:val="24"/>
        </w:rPr>
        <w:t xml:space="preserve"> que a recomendação constante do  </w:t>
      </w:r>
      <w:r w:rsidRPr="002805DF">
        <w:rPr>
          <w:rFonts w:ascii="Times New Roman" w:hAnsi="Times New Roman" w:cs="Times New Roman"/>
          <w:sz w:val="24"/>
          <w:szCs w:val="24"/>
        </w:rPr>
        <w:t>sub</w:t>
      </w:r>
      <w:r w:rsidR="00EA268B" w:rsidRPr="002805DF">
        <w:rPr>
          <w:rFonts w:ascii="Times New Roman" w:hAnsi="Times New Roman" w:cs="Times New Roman"/>
          <w:sz w:val="24"/>
          <w:szCs w:val="24"/>
        </w:rPr>
        <w:t>item</w:t>
      </w:r>
      <w:r w:rsidRPr="002805DF">
        <w:rPr>
          <w:rFonts w:ascii="Times New Roman" w:hAnsi="Times New Roman" w:cs="Times New Roman"/>
          <w:sz w:val="24"/>
          <w:szCs w:val="24"/>
        </w:rPr>
        <w:t xml:space="preserve"> 6.1.14</w:t>
      </w:r>
      <w:r w:rsidR="00EA268B" w:rsidRPr="002805DF">
        <w:rPr>
          <w:rFonts w:ascii="Times New Roman" w:hAnsi="Times New Roman" w:cs="Times New Roman"/>
          <w:sz w:val="24"/>
          <w:szCs w:val="24"/>
        </w:rPr>
        <w:t xml:space="preserve"> deve</w:t>
      </w:r>
      <w:r w:rsidR="00D45E96" w:rsidRPr="002805DF">
        <w:rPr>
          <w:rFonts w:ascii="Times New Roman" w:hAnsi="Times New Roman" w:cs="Times New Roman"/>
          <w:sz w:val="24"/>
          <w:szCs w:val="24"/>
        </w:rPr>
        <w:t>ria</w:t>
      </w:r>
      <w:r w:rsidR="00EA268B" w:rsidRPr="002805DF">
        <w:rPr>
          <w:rFonts w:ascii="Times New Roman" w:hAnsi="Times New Roman" w:cs="Times New Roman"/>
          <w:sz w:val="24"/>
          <w:szCs w:val="24"/>
        </w:rPr>
        <w:t xml:space="preserve"> ser direcionada à ASCOM, unidade a que</w:t>
      </w:r>
      <w:r w:rsidRPr="002805DF">
        <w:rPr>
          <w:rFonts w:ascii="Times New Roman" w:hAnsi="Times New Roman" w:cs="Times New Roman"/>
          <w:sz w:val="24"/>
          <w:szCs w:val="24"/>
        </w:rPr>
        <w:t>m</w:t>
      </w:r>
      <w:r w:rsidR="00EA268B" w:rsidRPr="002805DF">
        <w:rPr>
          <w:rFonts w:ascii="Times New Roman" w:hAnsi="Times New Roman" w:cs="Times New Roman"/>
          <w:sz w:val="24"/>
          <w:szCs w:val="24"/>
        </w:rPr>
        <w:t xml:space="preserve"> cumpre o desenvolvimento da atividade mencionada. De todo modo, sugeri</w:t>
      </w:r>
      <w:r w:rsidR="00D45E96" w:rsidRPr="002805DF">
        <w:rPr>
          <w:rFonts w:ascii="Times New Roman" w:hAnsi="Times New Roman" w:cs="Times New Roman"/>
          <w:sz w:val="24"/>
          <w:szCs w:val="24"/>
        </w:rPr>
        <w:t>u</w:t>
      </w:r>
      <w:r w:rsidR="00EA268B" w:rsidRPr="002805DF">
        <w:rPr>
          <w:rFonts w:ascii="Times New Roman" w:hAnsi="Times New Roman" w:cs="Times New Roman"/>
          <w:sz w:val="24"/>
          <w:szCs w:val="24"/>
        </w:rPr>
        <w:t xml:space="preserve"> a elaboração de material de propaganda institucional</w:t>
      </w:r>
      <w:r w:rsidRPr="002805DF">
        <w:rPr>
          <w:rFonts w:ascii="Times New Roman" w:hAnsi="Times New Roman" w:cs="Times New Roman"/>
          <w:sz w:val="24"/>
          <w:szCs w:val="24"/>
        </w:rPr>
        <w:t>,</w:t>
      </w:r>
      <w:r w:rsidR="00EA268B" w:rsidRPr="002805DF">
        <w:rPr>
          <w:rFonts w:ascii="Times New Roman" w:hAnsi="Times New Roman" w:cs="Times New Roman"/>
          <w:sz w:val="24"/>
          <w:szCs w:val="24"/>
        </w:rPr>
        <w:t xml:space="preserve"> incluindo material gráfico adequado para afixação em locais visíveis ao público interno e externo, inclusão no site do TRE-BA, na página inicial da intranet, nos Portais das áreas e nos timbres dos rodapés dos documentos produzidos pelas unidades, a exemplo de ofícios, memorandos, editais etc</w:t>
      </w:r>
      <w:r w:rsidRPr="002805DF">
        <w:rPr>
          <w:rFonts w:ascii="Times New Roman" w:hAnsi="Times New Roman" w:cs="Times New Roman"/>
          <w:sz w:val="24"/>
          <w:szCs w:val="24"/>
        </w:rPr>
        <w:t>.</w:t>
      </w:r>
      <w:r w:rsidR="00EA268B" w:rsidRPr="002805DF">
        <w:rPr>
          <w:rFonts w:ascii="Times New Roman" w:hAnsi="Times New Roman" w:cs="Times New Roman"/>
          <w:sz w:val="24"/>
          <w:szCs w:val="24"/>
        </w:rPr>
        <w:t>, criando ainda um modelo padronizado de assinatura eletrônica para utilização por todos os servidores em seus e-mails corporativos.</w:t>
      </w:r>
    </w:p>
    <w:p w:rsidR="00C46D38" w:rsidRDefault="00920E49" w:rsidP="00C46D38">
      <w:pPr>
        <w:numPr>
          <w:ilvl w:val="4"/>
          <w:numId w:val="1"/>
        </w:numPr>
        <w:spacing w:after="0" w:line="240" w:lineRule="auto"/>
        <w:jc w:val="both"/>
        <w:rPr>
          <w:rFonts w:ascii="Times New Roman" w:hAnsi="Times New Roman" w:cs="Times New Roman"/>
          <w:color w:val="548DD4" w:themeColor="text2" w:themeTint="99"/>
          <w:sz w:val="24"/>
          <w:szCs w:val="24"/>
        </w:rPr>
      </w:pPr>
      <w:r w:rsidRPr="002805DF">
        <w:rPr>
          <w:rFonts w:ascii="Times New Roman" w:hAnsi="Times New Roman" w:cs="Times New Roman"/>
          <w:sz w:val="24"/>
          <w:szCs w:val="24"/>
        </w:rPr>
        <w:t xml:space="preserve">Em resposta à RDI Circular nº 5/2018 (PAD nº 4.727/2018, Doc. nº 80.064/2018), a COPEG ressaltou que, embora não tenha realizado um evento específico para a promoção da estratégia, foram realizadas oficinas de desdobramento da estratégia que contribuíram para a comunicação da mesma na SGP. Com efeito, para que os participantes das oficinas se sentissem aptos a traduzir a estratégia em seu âmbito de atuação, a SEPLANE fez uma explanação sobre a construção participativa do Planejamento 2016-2021, mencionando os direcionadores utilizados e o alinhamento às premissas fixadas pela Resolução Administrativa nº 198, de 1º de julho de 2014, do CNJ, bem como as diretrizes estabelecidas durante o I Encontro Estratégico da Justiça Eleitoral, realizado em fevereiro de 2015. </w:t>
      </w:r>
      <w:r w:rsidR="005E19AE" w:rsidRPr="002805DF">
        <w:rPr>
          <w:rFonts w:ascii="Times New Roman" w:hAnsi="Times New Roman" w:cs="Times New Roman"/>
          <w:sz w:val="24"/>
          <w:szCs w:val="24"/>
        </w:rPr>
        <w:t>Registrou que, na oportunidade, f</w:t>
      </w:r>
      <w:r w:rsidRPr="002805DF">
        <w:rPr>
          <w:rFonts w:ascii="Times New Roman" w:hAnsi="Times New Roman" w:cs="Times New Roman"/>
          <w:sz w:val="24"/>
          <w:szCs w:val="24"/>
        </w:rPr>
        <w:t xml:space="preserve">oram exibidos o mapa estratégico do TRE-BA, os principais direcionadores institucionais (Missão, Visão, Valores e Atributos de Valor para a Sociedade), bem como 15 objetivos estratégicos distribuídos nas perspectivas sociedade, processos internos e aprendizado e crescimento, 29 indicadores de desempenho estratégicos e 31 projetos estratégicos. </w:t>
      </w:r>
      <w:r w:rsidR="005E19AE" w:rsidRPr="002805DF">
        <w:rPr>
          <w:rFonts w:ascii="Times New Roman" w:hAnsi="Times New Roman" w:cs="Times New Roman"/>
          <w:sz w:val="24"/>
          <w:szCs w:val="24"/>
        </w:rPr>
        <w:t>Acrescentou que f</w:t>
      </w:r>
      <w:r w:rsidRPr="002805DF">
        <w:rPr>
          <w:rFonts w:ascii="Times New Roman" w:hAnsi="Times New Roman" w:cs="Times New Roman"/>
          <w:sz w:val="24"/>
          <w:szCs w:val="24"/>
        </w:rPr>
        <w:t>oi apresentada a Cadeia de Valor, ferramenta de gestão fundamental que, no processo de elaboração do Planejamento Estratégico do TRE-BA 2016-2021, foi utilizada para vincular a estratégia estabelecida aos oito Macroprocessos de trabalho</w:t>
      </w:r>
      <w:r w:rsidR="005E19AE" w:rsidRPr="002805DF">
        <w:rPr>
          <w:rFonts w:ascii="Times New Roman" w:hAnsi="Times New Roman" w:cs="Times New Roman"/>
          <w:sz w:val="24"/>
          <w:szCs w:val="24"/>
        </w:rPr>
        <w:t xml:space="preserve"> - </w:t>
      </w:r>
      <w:r w:rsidRPr="002805DF">
        <w:rPr>
          <w:rFonts w:ascii="Times New Roman" w:hAnsi="Times New Roman" w:cs="Times New Roman"/>
          <w:sz w:val="24"/>
          <w:szCs w:val="24"/>
        </w:rPr>
        <w:t>Planejamento</w:t>
      </w:r>
      <w:r w:rsidR="00C46D38" w:rsidRPr="002805DF">
        <w:rPr>
          <w:rFonts w:ascii="Times New Roman" w:hAnsi="Times New Roman" w:cs="Times New Roman"/>
          <w:sz w:val="24"/>
          <w:szCs w:val="24"/>
        </w:rPr>
        <w:t xml:space="preserve"> e Gestão Institucional; Controles; Governança; Eleições; Cadastro Eleitoral; Informação, Mediação e Conscientização para a Cidadania; Prestação Jurisdicional e Gestão Jurídica, Administrativa e Tecnológica</w:t>
      </w:r>
      <w:r w:rsidR="005E19AE" w:rsidRPr="002805DF">
        <w:rPr>
          <w:rFonts w:ascii="Times New Roman" w:hAnsi="Times New Roman" w:cs="Times New Roman"/>
          <w:sz w:val="24"/>
          <w:szCs w:val="24"/>
        </w:rPr>
        <w:t xml:space="preserve"> -, </w:t>
      </w:r>
      <w:r w:rsidR="00C46D38" w:rsidRPr="002805DF">
        <w:rPr>
          <w:rFonts w:ascii="Times New Roman" w:hAnsi="Times New Roman" w:cs="Times New Roman"/>
          <w:sz w:val="24"/>
          <w:szCs w:val="24"/>
        </w:rPr>
        <w:t xml:space="preserve">e que os referidos conteúdos foram exaustivamente trabalhados durante as duas oficinas realizadas nos meses de agosto e outubro de 2017. Assim, </w:t>
      </w:r>
      <w:r w:rsidR="005E19AE" w:rsidRPr="002805DF">
        <w:rPr>
          <w:rFonts w:ascii="Times New Roman" w:hAnsi="Times New Roman" w:cs="Times New Roman"/>
          <w:sz w:val="24"/>
          <w:szCs w:val="24"/>
        </w:rPr>
        <w:t xml:space="preserve">concluiu que, </w:t>
      </w:r>
      <w:r w:rsidR="00C46D38" w:rsidRPr="002805DF">
        <w:rPr>
          <w:rFonts w:ascii="Times New Roman" w:hAnsi="Times New Roman" w:cs="Times New Roman"/>
          <w:sz w:val="24"/>
          <w:szCs w:val="24"/>
        </w:rPr>
        <w:t xml:space="preserve">em que pese o entendimento de que há deficiência na divulgação da estratégia, o desdobramento da mesma na SGP foi de grande relevância para a </w:t>
      </w:r>
      <w:r w:rsidR="005E19AE" w:rsidRPr="002805DF">
        <w:rPr>
          <w:rFonts w:ascii="Times New Roman" w:hAnsi="Times New Roman" w:cs="Times New Roman"/>
          <w:sz w:val="24"/>
          <w:szCs w:val="24"/>
        </w:rPr>
        <w:t>transmissão do conteúdo citado, ponderando que, c</w:t>
      </w:r>
      <w:r w:rsidR="00C46D38" w:rsidRPr="002805DF">
        <w:rPr>
          <w:rFonts w:ascii="Times New Roman" w:hAnsi="Times New Roman" w:cs="Times New Roman"/>
          <w:sz w:val="24"/>
          <w:szCs w:val="24"/>
        </w:rPr>
        <w:t>aso o desdobramento se rep</w:t>
      </w:r>
      <w:r w:rsidR="005E19AE" w:rsidRPr="002805DF">
        <w:rPr>
          <w:rFonts w:ascii="Times New Roman" w:hAnsi="Times New Roman" w:cs="Times New Roman"/>
          <w:sz w:val="24"/>
          <w:szCs w:val="24"/>
        </w:rPr>
        <w:t>etisse</w:t>
      </w:r>
      <w:r w:rsidR="00C46D38" w:rsidRPr="002805DF">
        <w:rPr>
          <w:rFonts w:ascii="Times New Roman" w:hAnsi="Times New Roman" w:cs="Times New Roman"/>
          <w:sz w:val="24"/>
          <w:szCs w:val="24"/>
        </w:rPr>
        <w:t xml:space="preserve"> nas demais unidades deste Tribunal</w:t>
      </w:r>
      <w:r w:rsidR="005E19AE" w:rsidRPr="002805DF">
        <w:rPr>
          <w:rFonts w:ascii="Times New Roman" w:hAnsi="Times New Roman" w:cs="Times New Roman"/>
          <w:sz w:val="24"/>
          <w:szCs w:val="24"/>
        </w:rPr>
        <w:t>,</w:t>
      </w:r>
      <w:r w:rsidR="00C46D38" w:rsidRPr="002805DF">
        <w:rPr>
          <w:rFonts w:ascii="Times New Roman" w:hAnsi="Times New Roman" w:cs="Times New Roman"/>
          <w:sz w:val="24"/>
          <w:szCs w:val="24"/>
        </w:rPr>
        <w:t xml:space="preserve"> nos mesmos moldes, a comunicação da estratégia contar</w:t>
      </w:r>
      <w:r w:rsidR="005E19AE" w:rsidRPr="002805DF">
        <w:rPr>
          <w:rFonts w:ascii="Times New Roman" w:hAnsi="Times New Roman" w:cs="Times New Roman"/>
          <w:sz w:val="24"/>
          <w:szCs w:val="24"/>
        </w:rPr>
        <w:t>ia</w:t>
      </w:r>
      <w:r w:rsidR="00C46D38" w:rsidRPr="002805DF">
        <w:rPr>
          <w:rFonts w:ascii="Times New Roman" w:hAnsi="Times New Roman" w:cs="Times New Roman"/>
          <w:sz w:val="24"/>
          <w:szCs w:val="24"/>
        </w:rPr>
        <w:t xml:space="preserve"> com uma ferramenta de grande valor.</w:t>
      </w:r>
    </w:p>
    <w:p w:rsidR="00C46D38" w:rsidRPr="002805DF" w:rsidRDefault="00C46D38" w:rsidP="00C46D38">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Acrescentou que, em 2016, a COPEG executou alguns eventos para divulgação da Estratégia, tais quais: distribuição de Agenda Institucional com temática referente ao Planejamento Estratégico 2016-2021, que foi enviada a servidores, requisitados e magistrados de 2ºgrau; elaboração do Caderno da Estratégia; e construção do Portal da Estratégia, acessado por meio da intranet do Tribunal e quanto à desatualização de informações no Portal da Estratégia, esclareceu que a construção do referido portal contou com o apoio da estagiária de comunicação que trabalhava</w:t>
      </w:r>
      <w:r w:rsidR="001F5B29" w:rsidRPr="002805DF">
        <w:rPr>
          <w:rFonts w:ascii="Times New Roman" w:hAnsi="Times New Roman" w:cs="Times New Roman"/>
          <w:sz w:val="24"/>
          <w:szCs w:val="24"/>
        </w:rPr>
        <w:t xml:space="preserve"> </w:t>
      </w:r>
      <w:r w:rsidR="005E19AE" w:rsidRPr="002805DF">
        <w:rPr>
          <w:rFonts w:ascii="Times New Roman" w:hAnsi="Times New Roman" w:cs="Times New Roman"/>
          <w:sz w:val="24"/>
          <w:szCs w:val="24"/>
        </w:rPr>
        <w:t xml:space="preserve">naquela </w:t>
      </w:r>
      <w:r w:rsidRPr="002805DF">
        <w:rPr>
          <w:rFonts w:ascii="Times New Roman" w:hAnsi="Times New Roman" w:cs="Times New Roman"/>
          <w:sz w:val="24"/>
          <w:szCs w:val="24"/>
        </w:rPr>
        <w:t xml:space="preserve">unidade. </w:t>
      </w:r>
      <w:r w:rsidR="005E19AE" w:rsidRPr="002805DF">
        <w:rPr>
          <w:rFonts w:ascii="Times New Roman" w:hAnsi="Times New Roman" w:cs="Times New Roman"/>
          <w:sz w:val="24"/>
          <w:szCs w:val="24"/>
        </w:rPr>
        <w:lastRenderedPageBreak/>
        <w:t>Acrescentou que</w:t>
      </w:r>
      <w:r w:rsidRPr="002805DF">
        <w:rPr>
          <w:rFonts w:ascii="Times New Roman" w:hAnsi="Times New Roman" w:cs="Times New Roman"/>
          <w:sz w:val="24"/>
          <w:szCs w:val="24"/>
        </w:rPr>
        <w:t xml:space="preserve"> com a saída da estagiária em junho de 2017, a atualização da página ficou deficitária.</w:t>
      </w:r>
      <w:r w:rsidR="00B41C5E" w:rsidRPr="002805DF">
        <w:rPr>
          <w:rFonts w:ascii="Times New Roman" w:hAnsi="Times New Roman" w:cs="Times New Roman"/>
          <w:sz w:val="24"/>
          <w:szCs w:val="24"/>
        </w:rPr>
        <w:t xml:space="preserve"> </w:t>
      </w:r>
      <w:r w:rsidR="005E19AE" w:rsidRPr="002805DF">
        <w:rPr>
          <w:rFonts w:ascii="Times New Roman" w:hAnsi="Times New Roman" w:cs="Times New Roman"/>
          <w:sz w:val="24"/>
          <w:szCs w:val="24"/>
        </w:rPr>
        <w:t>Registrou que, c</w:t>
      </w:r>
      <w:r w:rsidRPr="002805DF">
        <w:rPr>
          <w:rFonts w:ascii="Times New Roman" w:hAnsi="Times New Roman" w:cs="Times New Roman"/>
          <w:sz w:val="24"/>
          <w:szCs w:val="24"/>
        </w:rPr>
        <w:t>iente dos prejuízos decorrentes da ausência de mão-de-obra especializada, a COPEG buscou o preenchimento da vaga por outro estagiário, mas não obteve êxito.</w:t>
      </w:r>
    </w:p>
    <w:p w:rsidR="00C46D38" w:rsidRPr="002805DF" w:rsidRDefault="00C46D38" w:rsidP="00C46D38">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Por fim,</w:t>
      </w:r>
      <w:r w:rsidR="00B41C5E" w:rsidRPr="002805DF">
        <w:rPr>
          <w:rFonts w:ascii="Times New Roman" w:hAnsi="Times New Roman" w:cs="Times New Roman"/>
          <w:sz w:val="24"/>
          <w:szCs w:val="24"/>
        </w:rPr>
        <w:t xml:space="preserve"> informou que o</w:t>
      </w:r>
      <w:r w:rsidRPr="002805DF">
        <w:rPr>
          <w:rFonts w:ascii="Times New Roman" w:hAnsi="Times New Roman" w:cs="Times New Roman"/>
          <w:sz w:val="24"/>
          <w:szCs w:val="24"/>
        </w:rPr>
        <w:t xml:space="preserve"> Plano de Comunicação da Estratégia</w:t>
      </w:r>
      <w:r w:rsidR="00B41C5E" w:rsidRPr="002805DF">
        <w:rPr>
          <w:rFonts w:ascii="Times New Roman" w:hAnsi="Times New Roman" w:cs="Times New Roman"/>
          <w:sz w:val="24"/>
          <w:szCs w:val="24"/>
        </w:rPr>
        <w:t xml:space="preserve"> </w:t>
      </w:r>
      <w:r w:rsidRPr="002805DF">
        <w:rPr>
          <w:rFonts w:ascii="Times New Roman" w:hAnsi="Times New Roman" w:cs="Times New Roman"/>
          <w:sz w:val="24"/>
          <w:szCs w:val="24"/>
        </w:rPr>
        <w:t xml:space="preserve">foi elaborado pela </w:t>
      </w:r>
      <w:r w:rsidR="005E19AE" w:rsidRPr="002805DF">
        <w:rPr>
          <w:rFonts w:ascii="Times New Roman" w:hAnsi="Times New Roman" w:cs="Times New Roman"/>
          <w:sz w:val="24"/>
          <w:szCs w:val="24"/>
        </w:rPr>
        <w:t>ASCOM</w:t>
      </w:r>
      <w:r w:rsidRPr="002805DF">
        <w:rPr>
          <w:rFonts w:ascii="Times New Roman" w:hAnsi="Times New Roman" w:cs="Times New Roman"/>
          <w:sz w:val="24"/>
          <w:szCs w:val="24"/>
        </w:rPr>
        <w:t>, conforme PAD nº 14</w:t>
      </w:r>
      <w:r w:rsidR="002805DF" w:rsidRPr="002805DF">
        <w:rPr>
          <w:rFonts w:ascii="Times New Roman" w:hAnsi="Times New Roman" w:cs="Times New Roman"/>
          <w:sz w:val="24"/>
          <w:szCs w:val="24"/>
        </w:rPr>
        <w:t>.</w:t>
      </w:r>
      <w:r w:rsidRPr="002805DF">
        <w:rPr>
          <w:rFonts w:ascii="Times New Roman" w:hAnsi="Times New Roman" w:cs="Times New Roman"/>
          <w:sz w:val="24"/>
          <w:szCs w:val="24"/>
        </w:rPr>
        <w:t>519/2017</w:t>
      </w:r>
      <w:r w:rsidR="00B41C5E" w:rsidRPr="002805DF">
        <w:rPr>
          <w:rFonts w:ascii="Times New Roman" w:hAnsi="Times New Roman" w:cs="Times New Roman"/>
          <w:sz w:val="24"/>
          <w:szCs w:val="24"/>
        </w:rPr>
        <w:t xml:space="preserve"> e que</w:t>
      </w:r>
      <w:r w:rsidRPr="002805DF">
        <w:rPr>
          <w:rFonts w:ascii="Times New Roman" w:hAnsi="Times New Roman" w:cs="Times New Roman"/>
          <w:sz w:val="24"/>
          <w:szCs w:val="24"/>
        </w:rPr>
        <w:t xml:space="preserve"> </w:t>
      </w:r>
      <w:r w:rsidR="00B41C5E" w:rsidRPr="002805DF">
        <w:rPr>
          <w:rFonts w:ascii="Times New Roman" w:hAnsi="Times New Roman" w:cs="Times New Roman"/>
          <w:sz w:val="24"/>
          <w:szCs w:val="24"/>
        </w:rPr>
        <w:t>a</w:t>
      </w:r>
      <w:r w:rsidR="005E19AE" w:rsidRPr="002805DF">
        <w:rPr>
          <w:rFonts w:ascii="Times New Roman" w:hAnsi="Times New Roman" w:cs="Times New Roman"/>
          <w:sz w:val="24"/>
          <w:szCs w:val="24"/>
        </w:rPr>
        <w:t xml:space="preserve"> COPEG solicitou ajustes em </w:t>
      </w:r>
      <w:r w:rsidRPr="002805DF">
        <w:rPr>
          <w:rFonts w:ascii="Times New Roman" w:hAnsi="Times New Roman" w:cs="Times New Roman"/>
          <w:sz w:val="24"/>
          <w:szCs w:val="24"/>
        </w:rPr>
        <w:t>5</w:t>
      </w:r>
      <w:r w:rsidR="005E19AE" w:rsidRPr="002805DF">
        <w:rPr>
          <w:rFonts w:ascii="Times New Roman" w:hAnsi="Times New Roman" w:cs="Times New Roman"/>
          <w:sz w:val="24"/>
          <w:szCs w:val="24"/>
        </w:rPr>
        <w:t>5/12/2017</w:t>
      </w:r>
      <w:r w:rsidRPr="002805DF">
        <w:rPr>
          <w:rFonts w:ascii="Times New Roman" w:hAnsi="Times New Roman" w:cs="Times New Roman"/>
          <w:sz w:val="24"/>
          <w:szCs w:val="24"/>
        </w:rPr>
        <w:t xml:space="preserve">, </w:t>
      </w:r>
      <w:r w:rsidR="005E19AE" w:rsidRPr="002805DF">
        <w:rPr>
          <w:rFonts w:ascii="Times New Roman" w:hAnsi="Times New Roman" w:cs="Times New Roman"/>
          <w:sz w:val="24"/>
          <w:szCs w:val="24"/>
        </w:rPr>
        <w:t>tendo o expediente retorna</w:t>
      </w:r>
      <w:r w:rsidRPr="002805DF">
        <w:rPr>
          <w:rFonts w:ascii="Times New Roman" w:hAnsi="Times New Roman" w:cs="Times New Roman"/>
          <w:sz w:val="24"/>
          <w:szCs w:val="24"/>
        </w:rPr>
        <w:t xml:space="preserve">do </w:t>
      </w:r>
      <w:r w:rsidR="005E19AE" w:rsidRPr="002805DF">
        <w:rPr>
          <w:rFonts w:ascii="Times New Roman" w:hAnsi="Times New Roman" w:cs="Times New Roman"/>
          <w:sz w:val="24"/>
          <w:szCs w:val="24"/>
        </w:rPr>
        <w:t>à</w:t>
      </w:r>
      <w:r w:rsidRPr="002805DF">
        <w:rPr>
          <w:rFonts w:ascii="Times New Roman" w:hAnsi="Times New Roman" w:cs="Times New Roman"/>
          <w:sz w:val="24"/>
          <w:szCs w:val="24"/>
        </w:rPr>
        <w:t xml:space="preserve"> Unidade em março do presente exercício para apreciação das inclusões efetuadas.</w:t>
      </w:r>
    </w:p>
    <w:p w:rsidR="007C6F2A" w:rsidRPr="00775054" w:rsidRDefault="007C6F2A" w:rsidP="007C6F2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F856A4" w:rsidRPr="002805DF" w:rsidRDefault="00AA0209" w:rsidP="00F856A4">
      <w:pPr>
        <w:numPr>
          <w:ilvl w:val="4"/>
          <w:numId w:val="1"/>
        </w:numPr>
        <w:spacing w:after="0" w:line="240" w:lineRule="auto"/>
        <w:jc w:val="both"/>
        <w:rPr>
          <w:rFonts w:ascii="Times New Roman" w:hAnsi="Times New Roman" w:cs="Times New Roman"/>
          <w:i/>
          <w:sz w:val="24"/>
          <w:szCs w:val="24"/>
        </w:rPr>
      </w:pPr>
      <w:r w:rsidRPr="002805DF">
        <w:rPr>
          <w:rFonts w:ascii="Times New Roman" w:hAnsi="Times New Roman" w:cs="Times New Roman"/>
          <w:sz w:val="24"/>
          <w:szCs w:val="24"/>
        </w:rPr>
        <w:t>Tendo em vista que o</w:t>
      </w:r>
      <w:r w:rsidR="00786085" w:rsidRPr="002805DF">
        <w:rPr>
          <w:rFonts w:ascii="Times New Roman" w:hAnsi="Times New Roman" w:cs="Times New Roman"/>
          <w:sz w:val="24"/>
          <w:szCs w:val="24"/>
        </w:rPr>
        <w:t xml:space="preserve"> Plano de Comunicação da Estratégia</w:t>
      </w:r>
      <w:r w:rsidR="002018AB" w:rsidRPr="002805DF">
        <w:rPr>
          <w:rFonts w:ascii="Times New Roman" w:hAnsi="Times New Roman" w:cs="Times New Roman"/>
          <w:sz w:val="24"/>
          <w:szCs w:val="24"/>
        </w:rPr>
        <w:t xml:space="preserve">, </w:t>
      </w:r>
      <w:r w:rsidR="00835EF5" w:rsidRPr="002805DF">
        <w:rPr>
          <w:rFonts w:ascii="Times New Roman" w:hAnsi="Times New Roman" w:cs="Times New Roman"/>
          <w:sz w:val="24"/>
          <w:szCs w:val="24"/>
        </w:rPr>
        <w:t xml:space="preserve">contemplando iniciativas voltadas à divulgação da estratégia ao público interno e externo, </w:t>
      </w:r>
      <w:r w:rsidR="002018AB" w:rsidRPr="002805DF">
        <w:rPr>
          <w:rFonts w:ascii="Times New Roman" w:hAnsi="Times New Roman" w:cs="Times New Roman"/>
          <w:sz w:val="24"/>
          <w:szCs w:val="24"/>
        </w:rPr>
        <w:t>elaborado</w:t>
      </w:r>
      <w:r w:rsidR="00786085" w:rsidRPr="002805DF">
        <w:rPr>
          <w:rFonts w:ascii="Times New Roman" w:hAnsi="Times New Roman" w:cs="Times New Roman"/>
          <w:sz w:val="24"/>
          <w:szCs w:val="24"/>
        </w:rPr>
        <w:t xml:space="preserve"> pela ASCOM,</w:t>
      </w:r>
      <w:r w:rsidR="002018AB" w:rsidRPr="002805DF">
        <w:rPr>
          <w:rFonts w:ascii="Times New Roman" w:hAnsi="Times New Roman" w:cs="Times New Roman"/>
          <w:sz w:val="24"/>
          <w:szCs w:val="24"/>
        </w:rPr>
        <w:t xml:space="preserve"> foi aprovado pelo Presidente do TRE-BA</w:t>
      </w:r>
      <w:r w:rsidRPr="002805DF">
        <w:rPr>
          <w:rFonts w:ascii="Times New Roman" w:hAnsi="Times New Roman" w:cs="Times New Roman"/>
          <w:sz w:val="24"/>
          <w:szCs w:val="24"/>
        </w:rPr>
        <w:t>,</w:t>
      </w:r>
      <w:r w:rsidR="002018AB" w:rsidRPr="002805DF">
        <w:rPr>
          <w:rFonts w:ascii="Times New Roman" w:hAnsi="Times New Roman" w:cs="Times New Roman"/>
          <w:sz w:val="24"/>
          <w:szCs w:val="24"/>
        </w:rPr>
        <w:t xml:space="preserve"> em 26/4/2018</w:t>
      </w:r>
      <w:r w:rsidRPr="002805DF">
        <w:rPr>
          <w:rFonts w:ascii="Times New Roman" w:hAnsi="Times New Roman" w:cs="Times New Roman"/>
          <w:sz w:val="24"/>
          <w:szCs w:val="24"/>
        </w:rPr>
        <w:t>,</w:t>
      </w:r>
      <w:r w:rsidR="002018AB" w:rsidRPr="002805DF">
        <w:rPr>
          <w:rFonts w:ascii="Times New Roman" w:hAnsi="Times New Roman" w:cs="Times New Roman"/>
          <w:sz w:val="24"/>
          <w:szCs w:val="24"/>
        </w:rPr>
        <w:t xml:space="preserve"> e autoriza</w:t>
      </w:r>
      <w:r w:rsidRPr="002805DF">
        <w:rPr>
          <w:rFonts w:ascii="Times New Roman" w:hAnsi="Times New Roman" w:cs="Times New Roman"/>
          <w:sz w:val="24"/>
          <w:szCs w:val="24"/>
        </w:rPr>
        <w:t>da</w:t>
      </w:r>
      <w:r w:rsidR="002018AB" w:rsidRPr="002805DF">
        <w:rPr>
          <w:rFonts w:ascii="Times New Roman" w:hAnsi="Times New Roman" w:cs="Times New Roman"/>
          <w:sz w:val="24"/>
          <w:szCs w:val="24"/>
        </w:rPr>
        <w:t xml:space="preserve"> sua execução pela COPEG (PAD nº 14.519/2017, Docs. nº 43.568/2018 e 77.204/2018)</w:t>
      </w:r>
      <w:r w:rsidRPr="002805DF">
        <w:rPr>
          <w:rFonts w:ascii="Times New Roman" w:hAnsi="Times New Roman" w:cs="Times New Roman"/>
          <w:sz w:val="24"/>
          <w:szCs w:val="24"/>
        </w:rPr>
        <w:t xml:space="preserve">, conclui-se, quanto ao aspecto pontuado, pelo saneamento da fragilidade ora evidenciada. Contudo, com relação às demais fragilidades sinalizadas na descrição da situação encontrada, </w:t>
      </w:r>
      <w:r w:rsidR="005E19AE" w:rsidRPr="002805DF">
        <w:rPr>
          <w:rFonts w:ascii="Times New Roman" w:hAnsi="Times New Roman" w:cs="Times New Roman"/>
          <w:sz w:val="24"/>
          <w:szCs w:val="24"/>
        </w:rPr>
        <w:t xml:space="preserve">tendo em vista que o desdobramento, embora constitua </w:t>
      </w:r>
      <w:r w:rsidR="00E96147" w:rsidRPr="002805DF">
        <w:rPr>
          <w:rFonts w:ascii="Times New Roman" w:hAnsi="Times New Roman" w:cs="Times New Roman"/>
          <w:sz w:val="24"/>
          <w:szCs w:val="24"/>
        </w:rPr>
        <w:t>relevante</w:t>
      </w:r>
      <w:r w:rsidR="005E19AE" w:rsidRPr="002805DF">
        <w:rPr>
          <w:rFonts w:ascii="Times New Roman" w:hAnsi="Times New Roman" w:cs="Times New Roman"/>
          <w:sz w:val="24"/>
          <w:szCs w:val="24"/>
        </w:rPr>
        <w:t xml:space="preserve"> ferramenta de divulgação da estratégia, restringe-se à área desdobrada, </w:t>
      </w:r>
      <w:r w:rsidRPr="002805DF">
        <w:rPr>
          <w:rFonts w:ascii="Times New Roman" w:hAnsi="Times New Roman" w:cs="Times New Roman"/>
          <w:sz w:val="24"/>
          <w:szCs w:val="24"/>
        </w:rPr>
        <w:t xml:space="preserve">conclui-se pela subsistência </w:t>
      </w:r>
      <w:r w:rsidR="005E19AE" w:rsidRPr="002805DF">
        <w:rPr>
          <w:rFonts w:ascii="Times New Roman" w:hAnsi="Times New Roman" w:cs="Times New Roman"/>
          <w:sz w:val="24"/>
          <w:szCs w:val="24"/>
        </w:rPr>
        <w:t>do achado</w:t>
      </w:r>
      <w:r w:rsidR="00E96147" w:rsidRPr="002805DF">
        <w:rPr>
          <w:rFonts w:ascii="Times New Roman" w:hAnsi="Times New Roman" w:cs="Times New Roman"/>
          <w:sz w:val="24"/>
          <w:szCs w:val="24"/>
        </w:rPr>
        <w:t xml:space="preserve"> anteriormente evidenciado</w:t>
      </w:r>
      <w:r w:rsidRPr="002805DF">
        <w:rPr>
          <w:rFonts w:ascii="Times New Roman" w:hAnsi="Times New Roman" w:cs="Times New Roman"/>
          <w:sz w:val="24"/>
          <w:szCs w:val="24"/>
        </w:rPr>
        <w:t>.</w:t>
      </w:r>
      <w:r w:rsidR="002018AB" w:rsidRPr="002805DF">
        <w:rPr>
          <w:rFonts w:ascii="Times New Roman" w:hAnsi="Times New Roman" w:cs="Times New Roman"/>
          <w:sz w:val="24"/>
          <w:szCs w:val="24"/>
        </w:rPr>
        <w:t xml:space="preserve">  </w:t>
      </w:r>
      <w:r w:rsidR="00786085" w:rsidRPr="002805DF">
        <w:rPr>
          <w:rFonts w:ascii="Times New Roman" w:hAnsi="Times New Roman" w:cs="Times New Roman"/>
          <w:sz w:val="24"/>
          <w:szCs w:val="24"/>
        </w:rPr>
        <w:t xml:space="preserve"> </w:t>
      </w:r>
    </w:p>
    <w:p w:rsidR="00655FF8" w:rsidRPr="00775054" w:rsidRDefault="007054B1" w:rsidP="00655FF8">
      <w:pPr>
        <w:pStyle w:val="PargrafodaLista"/>
        <w:numPr>
          <w:ilvl w:val="2"/>
          <w:numId w:val="1"/>
        </w:numPr>
        <w:spacing w:before="120"/>
        <w:jc w:val="both"/>
        <w:rPr>
          <w:b w:val="0"/>
          <w:color w:val="000000" w:themeColor="text1"/>
          <w:sz w:val="24"/>
          <w:szCs w:val="24"/>
          <w:u w:val="single"/>
        </w:rPr>
      </w:pPr>
      <w:bookmarkStart w:id="13" w:name="_Toc511288060"/>
      <w:r w:rsidRPr="00775054">
        <w:rPr>
          <w:b w:val="0"/>
          <w:color w:val="000000" w:themeColor="text1"/>
          <w:sz w:val="24"/>
          <w:szCs w:val="24"/>
          <w:u w:val="single"/>
        </w:rPr>
        <w:t>De</w:t>
      </w:r>
      <w:r w:rsidR="00984CA9" w:rsidRPr="00775054">
        <w:rPr>
          <w:b w:val="0"/>
          <w:color w:val="000000" w:themeColor="text1"/>
          <w:sz w:val="24"/>
          <w:szCs w:val="24"/>
          <w:u w:val="single"/>
        </w:rPr>
        <w:t>ficiência no desdobramento da estratégia</w:t>
      </w:r>
      <w:r w:rsidRPr="00775054">
        <w:rPr>
          <w:b w:val="0"/>
          <w:color w:val="000000" w:themeColor="text1"/>
          <w:sz w:val="24"/>
          <w:szCs w:val="24"/>
          <w:u w:val="single"/>
        </w:rPr>
        <w:t>.</w:t>
      </w:r>
      <w:bookmarkEnd w:id="13"/>
    </w:p>
    <w:p w:rsidR="007054B1" w:rsidRPr="00775054" w:rsidRDefault="007054B1" w:rsidP="000976B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Situação encontrada:</w:t>
      </w:r>
    </w:p>
    <w:p w:rsidR="007054B1" w:rsidRPr="00535F81" w:rsidRDefault="00984CA9" w:rsidP="00984CA9">
      <w:pPr>
        <w:numPr>
          <w:ilvl w:val="4"/>
          <w:numId w:val="1"/>
        </w:numPr>
        <w:spacing w:after="0" w:line="240" w:lineRule="auto"/>
        <w:jc w:val="both"/>
        <w:rPr>
          <w:rFonts w:ascii="Times New Roman" w:hAnsi="Times New Roman" w:cs="Times New Roman"/>
          <w:color w:val="000000" w:themeColor="text1"/>
          <w:spacing w:val="-2"/>
          <w:sz w:val="24"/>
          <w:szCs w:val="24"/>
        </w:rPr>
      </w:pPr>
      <w:r w:rsidRPr="00535F81">
        <w:rPr>
          <w:rFonts w:ascii="Times New Roman" w:hAnsi="Times New Roman" w:cs="Times New Roman"/>
          <w:color w:val="000000" w:themeColor="text1"/>
          <w:spacing w:val="-2"/>
          <w:sz w:val="24"/>
          <w:szCs w:val="24"/>
        </w:rPr>
        <w:t>O Planejamento Estratégico Institucional para o período 2016-2021 foi aprovado co</w:t>
      </w:r>
      <w:r w:rsidR="00F05ED6" w:rsidRPr="00535F81">
        <w:rPr>
          <w:rFonts w:ascii="Times New Roman" w:hAnsi="Times New Roman" w:cs="Times New Roman"/>
          <w:color w:val="000000" w:themeColor="text1"/>
          <w:spacing w:val="-2"/>
          <w:sz w:val="24"/>
          <w:szCs w:val="24"/>
        </w:rPr>
        <w:t>ntemplando</w:t>
      </w:r>
      <w:r w:rsidRPr="00535F81">
        <w:rPr>
          <w:rFonts w:ascii="Times New Roman" w:hAnsi="Times New Roman" w:cs="Times New Roman"/>
          <w:color w:val="000000" w:themeColor="text1"/>
          <w:spacing w:val="-2"/>
          <w:sz w:val="24"/>
          <w:szCs w:val="24"/>
        </w:rPr>
        <w:t xml:space="preserve"> meta de realizar, até o final de 2021, 100% do desdobramento da </w:t>
      </w:r>
      <w:r w:rsidR="00F05ED6" w:rsidRPr="00535F81">
        <w:rPr>
          <w:rFonts w:ascii="Times New Roman" w:hAnsi="Times New Roman" w:cs="Times New Roman"/>
          <w:color w:val="000000" w:themeColor="text1"/>
          <w:spacing w:val="-2"/>
          <w:sz w:val="24"/>
          <w:szCs w:val="24"/>
        </w:rPr>
        <w:t>e</w:t>
      </w:r>
      <w:r w:rsidRPr="00535F81">
        <w:rPr>
          <w:rFonts w:ascii="Times New Roman" w:hAnsi="Times New Roman" w:cs="Times New Roman"/>
          <w:color w:val="000000" w:themeColor="text1"/>
          <w:spacing w:val="-2"/>
          <w:sz w:val="24"/>
          <w:szCs w:val="24"/>
        </w:rPr>
        <w:t>stratégia do Tribunal nas Secretarias, Coordenadorias e Zonas Eleitorais. Contudo, na I RAE</w:t>
      </w:r>
      <w:r w:rsidR="00F05ED6" w:rsidRPr="00535F81">
        <w:rPr>
          <w:rFonts w:ascii="Times New Roman" w:hAnsi="Times New Roman" w:cs="Times New Roman"/>
          <w:color w:val="000000" w:themeColor="text1"/>
          <w:spacing w:val="-2"/>
          <w:sz w:val="24"/>
          <w:szCs w:val="24"/>
        </w:rPr>
        <w:t xml:space="preserve"> </w:t>
      </w:r>
      <w:r w:rsidR="00F05ED6" w:rsidRPr="00535F81">
        <w:rPr>
          <w:rFonts w:ascii="Times New Roman" w:hAnsi="Times New Roman" w:cs="Times New Roman"/>
          <w:spacing w:val="-2"/>
          <w:sz w:val="24"/>
          <w:szCs w:val="24"/>
        </w:rPr>
        <w:t>de 2017</w:t>
      </w:r>
      <w:r w:rsidRPr="00535F81">
        <w:rPr>
          <w:rFonts w:ascii="Times New Roman" w:hAnsi="Times New Roman" w:cs="Times New Roman"/>
          <w:spacing w:val="-2"/>
          <w:sz w:val="24"/>
          <w:szCs w:val="24"/>
        </w:rPr>
        <w:t xml:space="preserve">, </w:t>
      </w:r>
      <w:r w:rsidRPr="00535F81">
        <w:rPr>
          <w:rFonts w:ascii="Times New Roman" w:hAnsi="Times New Roman" w:cs="Times New Roman"/>
          <w:color w:val="000000" w:themeColor="text1"/>
          <w:spacing w:val="-2"/>
          <w:sz w:val="24"/>
          <w:szCs w:val="24"/>
        </w:rPr>
        <w:t xml:space="preserve">realizada em agosto, </w:t>
      </w:r>
      <w:r w:rsidR="00F05ED6" w:rsidRPr="00535F81">
        <w:rPr>
          <w:rFonts w:ascii="Times New Roman" w:hAnsi="Times New Roman" w:cs="Times New Roman"/>
          <w:color w:val="000000" w:themeColor="text1"/>
          <w:spacing w:val="-2"/>
          <w:sz w:val="24"/>
          <w:szCs w:val="24"/>
        </w:rPr>
        <w:t>a referida</w:t>
      </w:r>
      <w:r w:rsidRPr="00535F81">
        <w:rPr>
          <w:rFonts w:ascii="Times New Roman" w:hAnsi="Times New Roman" w:cs="Times New Roman"/>
          <w:color w:val="000000" w:themeColor="text1"/>
          <w:spacing w:val="-2"/>
          <w:sz w:val="24"/>
          <w:szCs w:val="24"/>
        </w:rPr>
        <w:t xml:space="preserve"> meta foi redefinida, tendo sido decidido pelo CGPE que o desdobramento da estratégia seria realizado apenas na SGP</w:t>
      </w:r>
      <w:r w:rsidR="00EF0DC8" w:rsidRPr="00535F81">
        <w:rPr>
          <w:rFonts w:ascii="Times New Roman" w:hAnsi="Times New Roman" w:cs="Times New Roman"/>
          <w:color w:val="000000" w:themeColor="text1"/>
          <w:spacing w:val="-2"/>
          <w:sz w:val="24"/>
          <w:szCs w:val="24"/>
        </w:rPr>
        <w:t xml:space="preserve"> (2017)</w:t>
      </w:r>
      <w:r w:rsidRPr="00535F81">
        <w:rPr>
          <w:rFonts w:ascii="Times New Roman" w:hAnsi="Times New Roman" w:cs="Times New Roman"/>
          <w:color w:val="000000" w:themeColor="text1"/>
          <w:spacing w:val="-2"/>
          <w:sz w:val="24"/>
          <w:szCs w:val="24"/>
        </w:rPr>
        <w:t>, SCI</w:t>
      </w:r>
      <w:r w:rsidR="00EF0DC8" w:rsidRPr="00535F81">
        <w:rPr>
          <w:rFonts w:ascii="Times New Roman" w:hAnsi="Times New Roman" w:cs="Times New Roman"/>
          <w:color w:val="000000" w:themeColor="text1"/>
          <w:spacing w:val="-2"/>
          <w:sz w:val="24"/>
          <w:szCs w:val="24"/>
        </w:rPr>
        <w:t xml:space="preserve"> (2017)</w:t>
      </w:r>
      <w:r w:rsidRPr="00535F81">
        <w:rPr>
          <w:rFonts w:ascii="Times New Roman" w:hAnsi="Times New Roman" w:cs="Times New Roman"/>
          <w:color w:val="000000" w:themeColor="text1"/>
          <w:spacing w:val="-2"/>
          <w:sz w:val="24"/>
          <w:szCs w:val="24"/>
        </w:rPr>
        <w:t>, SGA</w:t>
      </w:r>
      <w:r w:rsidR="00535F81" w:rsidRPr="00535F81">
        <w:rPr>
          <w:rFonts w:ascii="Times New Roman" w:hAnsi="Times New Roman" w:cs="Times New Roman"/>
          <w:color w:val="000000" w:themeColor="text1"/>
          <w:spacing w:val="-2"/>
          <w:sz w:val="24"/>
          <w:szCs w:val="24"/>
        </w:rPr>
        <w:t xml:space="preserve"> </w:t>
      </w:r>
      <w:r w:rsidR="00EF0DC8" w:rsidRPr="00535F81">
        <w:rPr>
          <w:rFonts w:ascii="Times New Roman" w:hAnsi="Times New Roman" w:cs="Times New Roman"/>
          <w:color w:val="000000" w:themeColor="text1"/>
          <w:spacing w:val="-2"/>
          <w:sz w:val="24"/>
          <w:szCs w:val="24"/>
        </w:rPr>
        <w:t>(2017-2018)</w:t>
      </w:r>
      <w:r w:rsidRPr="00535F81">
        <w:rPr>
          <w:rFonts w:ascii="Times New Roman" w:hAnsi="Times New Roman" w:cs="Times New Roman"/>
          <w:color w:val="000000" w:themeColor="text1"/>
          <w:spacing w:val="-2"/>
          <w:sz w:val="24"/>
          <w:szCs w:val="24"/>
        </w:rPr>
        <w:t>, SOF</w:t>
      </w:r>
      <w:r w:rsidR="00EF0DC8" w:rsidRPr="00535F81">
        <w:rPr>
          <w:rFonts w:ascii="Times New Roman" w:hAnsi="Times New Roman" w:cs="Times New Roman"/>
          <w:color w:val="000000" w:themeColor="text1"/>
          <w:spacing w:val="-2"/>
          <w:sz w:val="24"/>
          <w:szCs w:val="24"/>
        </w:rPr>
        <w:t xml:space="preserve"> (2018)</w:t>
      </w:r>
      <w:r w:rsidRPr="00535F81">
        <w:rPr>
          <w:rFonts w:ascii="Times New Roman" w:hAnsi="Times New Roman" w:cs="Times New Roman"/>
          <w:color w:val="000000" w:themeColor="text1"/>
          <w:spacing w:val="-2"/>
          <w:sz w:val="24"/>
          <w:szCs w:val="24"/>
        </w:rPr>
        <w:t>, SCR</w:t>
      </w:r>
      <w:r w:rsidR="00EF0DC8" w:rsidRPr="00535F81">
        <w:rPr>
          <w:rFonts w:ascii="Times New Roman" w:hAnsi="Times New Roman" w:cs="Times New Roman"/>
          <w:color w:val="000000" w:themeColor="text1"/>
          <w:spacing w:val="-2"/>
          <w:sz w:val="24"/>
          <w:szCs w:val="24"/>
        </w:rPr>
        <w:t xml:space="preserve"> (2019)</w:t>
      </w:r>
      <w:r w:rsidRPr="00535F81">
        <w:rPr>
          <w:rFonts w:ascii="Times New Roman" w:hAnsi="Times New Roman" w:cs="Times New Roman"/>
          <w:color w:val="000000" w:themeColor="text1"/>
          <w:spacing w:val="-2"/>
          <w:sz w:val="24"/>
          <w:szCs w:val="24"/>
        </w:rPr>
        <w:t>, SJU</w:t>
      </w:r>
      <w:r w:rsidR="00EF0DC8" w:rsidRPr="00535F81">
        <w:rPr>
          <w:rFonts w:ascii="Times New Roman" w:hAnsi="Times New Roman" w:cs="Times New Roman"/>
          <w:color w:val="000000" w:themeColor="text1"/>
          <w:spacing w:val="-2"/>
          <w:sz w:val="24"/>
          <w:szCs w:val="24"/>
        </w:rPr>
        <w:t xml:space="preserve"> (2020)</w:t>
      </w:r>
      <w:r w:rsidRPr="00535F81">
        <w:rPr>
          <w:rFonts w:ascii="Times New Roman" w:hAnsi="Times New Roman" w:cs="Times New Roman"/>
          <w:color w:val="000000" w:themeColor="text1"/>
          <w:spacing w:val="-2"/>
          <w:sz w:val="24"/>
          <w:szCs w:val="24"/>
        </w:rPr>
        <w:t>, COPEG</w:t>
      </w:r>
      <w:r w:rsidR="00EF0DC8" w:rsidRPr="00535F81">
        <w:rPr>
          <w:rFonts w:ascii="Times New Roman" w:hAnsi="Times New Roman" w:cs="Times New Roman"/>
          <w:color w:val="000000" w:themeColor="text1"/>
          <w:spacing w:val="-2"/>
          <w:sz w:val="24"/>
          <w:szCs w:val="24"/>
        </w:rPr>
        <w:t xml:space="preserve"> (2021)</w:t>
      </w:r>
      <w:r w:rsidRPr="00535F81">
        <w:rPr>
          <w:rFonts w:ascii="Times New Roman" w:hAnsi="Times New Roman" w:cs="Times New Roman"/>
          <w:color w:val="000000" w:themeColor="text1"/>
          <w:spacing w:val="-2"/>
          <w:sz w:val="24"/>
          <w:szCs w:val="24"/>
        </w:rPr>
        <w:t>, COELE</w:t>
      </w:r>
      <w:r w:rsidR="00EF0DC8" w:rsidRPr="00535F81">
        <w:rPr>
          <w:rFonts w:ascii="Times New Roman" w:hAnsi="Times New Roman" w:cs="Times New Roman"/>
          <w:color w:val="000000" w:themeColor="text1"/>
          <w:spacing w:val="-2"/>
          <w:sz w:val="24"/>
          <w:szCs w:val="24"/>
        </w:rPr>
        <w:t xml:space="preserve"> (2021) </w:t>
      </w:r>
      <w:r w:rsidRPr="00535F81">
        <w:rPr>
          <w:rFonts w:ascii="Times New Roman" w:hAnsi="Times New Roman" w:cs="Times New Roman"/>
          <w:color w:val="000000" w:themeColor="text1"/>
          <w:spacing w:val="-2"/>
          <w:sz w:val="24"/>
          <w:szCs w:val="24"/>
        </w:rPr>
        <w:t>e Zonas Eleitorais</w:t>
      </w:r>
      <w:r w:rsidR="00EF0DC8" w:rsidRPr="00535F81">
        <w:rPr>
          <w:rFonts w:ascii="Times New Roman" w:hAnsi="Times New Roman" w:cs="Times New Roman"/>
          <w:color w:val="000000" w:themeColor="text1"/>
          <w:spacing w:val="-2"/>
          <w:sz w:val="24"/>
          <w:szCs w:val="24"/>
        </w:rPr>
        <w:t xml:space="preserve"> (2019).</w:t>
      </w:r>
      <w:r w:rsidR="00F05ED6" w:rsidRPr="00535F81">
        <w:rPr>
          <w:rFonts w:ascii="Times New Roman" w:hAnsi="Times New Roman" w:cs="Times New Roman"/>
          <w:color w:val="000000" w:themeColor="text1"/>
          <w:spacing w:val="-2"/>
          <w:sz w:val="24"/>
          <w:szCs w:val="24"/>
        </w:rPr>
        <w:t xml:space="preserve"> </w:t>
      </w:r>
      <w:r w:rsidRPr="00535F81">
        <w:rPr>
          <w:rFonts w:ascii="Times New Roman" w:hAnsi="Times New Roman" w:cs="Times New Roman"/>
          <w:color w:val="000000" w:themeColor="text1"/>
          <w:spacing w:val="-2"/>
          <w:sz w:val="24"/>
          <w:szCs w:val="24"/>
        </w:rPr>
        <w:t xml:space="preserve">Foram utilizados como critérios para priorização do desdobramento: determinações legais, recomendações da SCI, capacidade operacional da COPEG e interesse da unidade a ser desdobrada. </w:t>
      </w:r>
      <w:r w:rsidR="00F05ED6" w:rsidRPr="00535F81">
        <w:rPr>
          <w:rFonts w:ascii="Times New Roman" w:hAnsi="Times New Roman" w:cs="Times New Roman"/>
          <w:color w:val="000000" w:themeColor="text1"/>
          <w:spacing w:val="-2"/>
          <w:sz w:val="24"/>
          <w:szCs w:val="24"/>
        </w:rPr>
        <w:t>Assim, da análise do cronograma de trabalhos apresentado, concluiu</w:t>
      </w:r>
      <w:r w:rsidRPr="00535F81">
        <w:rPr>
          <w:rFonts w:ascii="Times New Roman" w:hAnsi="Times New Roman" w:cs="Times New Roman"/>
          <w:color w:val="000000" w:themeColor="text1"/>
          <w:spacing w:val="-2"/>
          <w:sz w:val="24"/>
          <w:szCs w:val="24"/>
        </w:rPr>
        <w:t xml:space="preserve">-se que: o estabelecimento de cronograma para desdobramento no decorrer de todo o ciclo do planejamento poderá não só comprometer a execução da estratégia 2016-2021, mas também a formulação da estratégia para o próximo ciclo; que a SGS não foi contemplada, apesar de ter relevante papel no alcance das metas associadas ao </w:t>
      </w:r>
      <w:r w:rsidR="00F05ED6" w:rsidRPr="00535F81">
        <w:rPr>
          <w:rFonts w:ascii="Times New Roman" w:hAnsi="Times New Roman" w:cs="Times New Roman"/>
          <w:color w:val="000000" w:themeColor="text1"/>
          <w:spacing w:val="-2"/>
          <w:sz w:val="24"/>
          <w:szCs w:val="24"/>
        </w:rPr>
        <w:t>í</w:t>
      </w:r>
      <w:r w:rsidRPr="00535F81">
        <w:rPr>
          <w:rFonts w:ascii="Times New Roman" w:hAnsi="Times New Roman" w:cs="Times New Roman"/>
          <w:color w:val="000000" w:themeColor="text1"/>
          <w:spacing w:val="-2"/>
          <w:sz w:val="24"/>
          <w:szCs w:val="24"/>
        </w:rPr>
        <w:t xml:space="preserve">ndice de adequação das instalações físicas às normas de acessibilidade (I5) e ao projeto </w:t>
      </w:r>
      <w:r w:rsidR="00F05ED6" w:rsidRPr="00535F81">
        <w:rPr>
          <w:rFonts w:ascii="Times New Roman" w:hAnsi="Times New Roman" w:cs="Times New Roman"/>
          <w:color w:val="000000" w:themeColor="text1"/>
          <w:spacing w:val="-2"/>
          <w:sz w:val="24"/>
          <w:szCs w:val="24"/>
        </w:rPr>
        <w:t>“</w:t>
      </w:r>
      <w:proofErr w:type="spellStart"/>
      <w:r w:rsidR="00F05ED6" w:rsidRPr="00535F81">
        <w:rPr>
          <w:rFonts w:ascii="Times New Roman" w:hAnsi="Times New Roman" w:cs="Times New Roman"/>
          <w:color w:val="000000" w:themeColor="text1"/>
          <w:spacing w:val="-2"/>
          <w:sz w:val="24"/>
          <w:szCs w:val="24"/>
        </w:rPr>
        <w:t>m</w:t>
      </w:r>
      <w:r w:rsidRPr="00535F81">
        <w:rPr>
          <w:rFonts w:ascii="Times New Roman" w:hAnsi="Times New Roman" w:cs="Times New Roman"/>
          <w:color w:val="000000" w:themeColor="text1"/>
          <w:spacing w:val="-2"/>
          <w:sz w:val="24"/>
          <w:szCs w:val="24"/>
        </w:rPr>
        <w:t>elhoracessibilidade</w:t>
      </w:r>
      <w:proofErr w:type="spellEnd"/>
      <w:r w:rsidR="00F05ED6" w:rsidRPr="00535F81">
        <w:rPr>
          <w:rFonts w:ascii="Times New Roman" w:hAnsi="Times New Roman" w:cs="Times New Roman"/>
          <w:color w:val="000000" w:themeColor="text1"/>
          <w:spacing w:val="-2"/>
          <w:sz w:val="24"/>
          <w:szCs w:val="24"/>
        </w:rPr>
        <w:t>”</w:t>
      </w:r>
      <w:r w:rsidRPr="00535F81">
        <w:rPr>
          <w:rFonts w:ascii="Times New Roman" w:hAnsi="Times New Roman" w:cs="Times New Roman"/>
          <w:color w:val="000000" w:themeColor="text1"/>
          <w:spacing w:val="-2"/>
          <w:sz w:val="24"/>
          <w:szCs w:val="24"/>
        </w:rPr>
        <w:t>; e que, apesar d</w:t>
      </w:r>
      <w:r w:rsidR="00F05ED6" w:rsidRPr="00535F81">
        <w:rPr>
          <w:rFonts w:ascii="Times New Roman" w:hAnsi="Times New Roman" w:cs="Times New Roman"/>
          <w:color w:val="000000" w:themeColor="text1"/>
          <w:spacing w:val="-2"/>
          <w:sz w:val="24"/>
          <w:szCs w:val="24"/>
        </w:rPr>
        <w:t>e a</w:t>
      </w:r>
      <w:r w:rsidRPr="00535F81">
        <w:rPr>
          <w:rFonts w:ascii="Times New Roman" w:hAnsi="Times New Roman" w:cs="Times New Roman"/>
          <w:color w:val="000000" w:themeColor="text1"/>
          <w:spacing w:val="-2"/>
          <w:sz w:val="24"/>
          <w:szCs w:val="24"/>
        </w:rPr>
        <w:t xml:space="preserve"> meta para 2017 </w:t>
      </w:r>
      <w:r w:rsidR="00F05ED6" w:rsidRPr="00535F81">
        <w:rPr>
          <w:rFonts w:ascii="Times New Roman" w:hAnsi="Times New Roman" w:cs="Times New Roman"/>
          <w:color w:val="000000" w:themeColor="text1"/>
          <w:spacing w:val="-2"/>
          <w:sz w:val="24"/>
          <w:szCs w:val="24"/>
        </w:rPr>
        <w:t>consistir em</w:t>
      </w:r>
      <w:r w:rsidRPr="00535F81">
        <w:rPr>
          <w:rFonts w:ascii="Times New Roman" w:hAnsi="Times New Roman" w:cs="Times New Roman"/>
          <w:color w:val="000000" w:themeColor="text1"/>
          <w:spacing w:val="-2"/>
          <w:sz w:val="24"/>
          <w:szCs w:val="24"/>
        </w:rPr>
        <w:t xml:space="preserve"> desdobra</w:t>
      </w:r>
      <w:r w:rsidR="00F05ED6" w:rsidRPr="00535F81">
        <w:rPr>
          <w:rFonts w:ascii="Times New Roman" w:hAnsi="Times New Roman" w:cs="Times New Roman"/>
          <w:color w:val="000000" w:themeColor="text1"/>
          <w:spacing w:val="-2"/>
          <w:sz w:val="24"/>
          <w:szCs w:val="24"/>
        </w:rPr>
        <w:t>r</w:t>
      </w:r>
      <w:r w:rsidRPr="00535F81">
        <w:rPr>
          <w:rFonts w:ascii="Times New Roman" w:hAnsi="Times New Roman" w:cs="Times New Roman"/>
          <w:color w:val="000000" w:themeColor="text1"/>
          <w:spacing w:val="-2"/>
          <w:sz w:val="24"/>
          <w:szCs w:val="24"/>
        </w:rPr>
        <w:t xml:space="preserve"> a estratégia na SGP, SCI e iniciar na SGA, até o final de novembro de 2017, </w:t>
      </w:r>
      <w:r w:rsidR="00F05ED6" w:rsidRPr="00535F81">
        <w:rPr>
          <w:rFonts w:ascii="Times New Roman" w:hAnsi="Times New Roman" w:cs="Times New Roman"/>
          <w:color w:val="000000" w:themeColor="text1"/>
          <w:spacing w:val="-2"/>
          <w:sz w:val="24"/>
          <w:szCs w:val="24"/>
        </w:rPr>
        <w:t>os trabalhos de alinhamento somente haviam sido iniciados na SGP e SCI.</w:t>
      </w:r>
      <w:r w:rsidR="007054B1" w:rsidRPr="00535F81">
        <w:rPr>
          <w:rFonts w:ascii="Times New Roman" w:hAnsi="Times New Roman" w:cs="Times New Roman"/>
          <w:color w:val="000000" w:themeColor="text1"/>
          <w:spacing w:val="-2"/>
          <w:sz w:val="24"/>
          <w:szCs w:val="24"/>
        </w:rPr>
        <w:t xml:space="preserve"> </w:t>
      </w:r>
    </w:p>
    <w:p w:rsidR="007054B1" w:rsidRPr="00775054" w:rsidRDefault="007054B1" w:rsidP="007054B1">
      <w:pPr>
        <w:numPr>
          <w:ilvl w:val="3"/>
          <w:numId w:val="1"/>
        </w:numPr>
        <w:spacing w:after="0" w:line="240" w:lineRule="auto"/>
        <w:ind w:left="1077" w:hanging="1077"/>
        <w:jc w:val="both"/>
        <w:rPr>
          <w:rFonts w:ascii="Times New Roman" w:hAnsi="Times New Roman" w:cs="Times New Roman"/>
          <w:color w:val="000000" w:themeColor="text1"/>
          <w:sz w:val="24"/>
          <w:szCs w:val="24"/>
        </w:rPr>
      </w:pPr>
      <w:r w:rsidRPr="00775054">
        <w:rPr>
          <w:rFonts w:ascii="Times New Roman" w:hAnsi="Times New Roman" w:cs="Times New Roman"/>
          <w:i/>
          <w:color w:val="000000" w:themeColor="text1"/>
          <w:sz w:val="24"/>
          <w:szCs w:val="24"/>
        </w:rPr>
        <w:t>Critério(s)</w:t>
      </w:r>
      <w:r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ab/>
      </w:r>
    </w:p>
    <w:p w:rsidR="007054B1" w:rsidRPr="00535F81" w:rsidRDefault="00033039" w:rsidP="00033039">
      <w:pPr>
        <w:numPr>
          <w:ilvl w:val="4"/>
          <w:numId w:val="1"/>
        </w:numPr>
        <w:spacing w:after="0" w:line="240" w:lineRule="auto"/>
        <w:jc w:val="both"/>
        <w:rPr>
          <w:rFonts w:ascii="Times New Roman" w:hAnsi="Times New Roman" w:cs="Times New Roman"/>
          <w:color w:val="000000" w:themeColor="text1"/>
          <w:sz w:val="24"/>
          <w:szCs w:val="24"/>
        </w:rPr>
      </w:pPr>
      <w:r w:rsidRPr="00535F81">
        <w:rPr>
          <w:rFonts w:ascii="Times New Roman" w:hAnsi="Times New Roman" w:cs="Times New Roman"/>
          <w:color w:val="000000" w:themeColor="text1"/>
          <w:sz w:val="24"/>
          <w:szCs w:val="24"/>
        </w:rPr>
        <w:t xml:space="preserve">Decreto nº 9.203/2017, </w:t>
      </w:r>
      <w:proofErr w:type="spellStart"/>
      <w:r w:rsidRPr="00535F81">
        <w:rPr>
          <w:rFonts w:ascii="Times New Roman" w:hAnsi="Times New Roman" w:cs="Times New Roman"/>
          <w:color w:val="000000" w:themeColor="text1"/>
          <w:sz w:val="24"/>
          <w:szCs w:val="24"/>
        </w:rPr>
        <w:t>art</w:t>
      </w:r>
      <w:proofErr w:type="spellEnd"/>
      <w:r w:rsidRPr="00535F81">
        <w:rPr>
          <w:rFonts w:ascii="Times New Roman" w:hAnsi="Times New Roman" w:cs="Times New Roman"/>
          <w:color w:val="000000" w:themeColor="text1"/>
          <w:sz w:val="24"/>
          <w:szCs w:val="24"/>
        </w:rPr>
        <w:t xml:space="preserve"> 17º, II; Resolução Administrativa do TRE-BA nº 14/2015, Indicador I21 - Índice de Alinhamento das Unidades à Estratégia do Tribunal (fl.54)</w:t>
      </w:r>
      <w:proofErr w:type="gramStart"/>
      <w:r w:rsidRPr="00535F81">
        <w:rPr>
          <w:rFonts w:ascii="Times New Roman" w:hAnsi="Times New Roman" w:cs="Times New Roman"/>
          <w:color w:val="000000" w:themeColor="text1"/>
          <w:sz w:val="24"/>
          <w:szCs w:val="24"/>
        </w:rPr>
        <w:t xml:space="preserve">  </w:t>
      </w:r>
      <w:proofErr w:type="gramEnd"/>
      <w:r w:rsidRPr="00535F81">
        <w:rPr>
          <w:rFonts w:ascii="Times New Roman" w:hAnsi="Times New Roman" w:cs="Times New Roman"/>
          <w:color w:val="000000" w:themeColor="text1"/>
          <w:sz w:val="24"/>
          <w:szCs w:val="24"/>
        </w:rPr>
        <w:t>e P.4- Desdobramento da Estratégia (fl.</w:t>
      </w:r>
      <w:r w:rsidR="002055B7" w:rsidRPr="00535F81">
        <w:rPr>
          <w:rFonts w:ascii="Times New Roman" w:hAnsi="Times New Roman" w:cs="Times New Roman"/>
          <w:color w:val="000000" w:themeColor="text1"/>
          <w:sz w:val="24"/>
          <w:szCs w:val="24"/>
        </w:rPr>
        <w:t xml:space="preserve"> </w:t>
      </w:r>
      <w:r w:rsidRPr="00535F81">
        <w:rPr>
          <w:rFonts w:ascii="Times New Roman" w:hAnsi="Times New Roman" w:cs="Times New Roman"/>
          <w:color w:val="000000" w:themeColor="text1"/>
          <w:sz w:val="24"/>
          <w:szCs w:val="24"/>
        </w:rPr>
        <w:t>69);</w:t>
      </w:r>
      <w:r w:rsidR="00D551D6" w:rsidRPr="00535F81">
        <w:rPr>
          <w:rFonts w:ascii="Times New Roman" w:hAnsi="Times New Roman" w:cs="Times New Roman"/>
          <w:color w:val="000000" w:themeColor="text1"/>
          <w:sz w:val="24"/>
          <w:szCs w:val="24"/>
        </w:rPr>
        <w:t xml:space="preserve"> subitem 9.1.1.3, do Acórdão TCU Plenário nº 1.233/2012; </w:t>
      </w:r>
      <w:r w:rsidRPr="00535F81">
        <w:rPr>
          <w:rFonts w:ascii="Times New Roman" w:hAnsi="Times New Roman" w:cs="Times New Roman"/>
          <w:color w:val="000000" w:themeColor="text1"/>
          <w:sz w:val="24"/>
          <w:szCs w:val="24"/>
        </w:rPr>
        <w:t xml:space="preserve"> Referencial </w:t>
      </w:r>
      <w:r w:rsidR="00E0306F" w:rsidRPr="00535F81">
        <w:rPr>
          <w:rFonts w:ascii="Times New Roman" w:hAnsi="Times New Roman" w:cs="Times New Roman"/>
          <w:color w:val="000000" w:themeColor="text1"/>
          <w:sz w:val="24"/>
          <w:szCs w:val="24"/>
        </w:rPr>
        <w:t>B</w:t>
      </w:r>
      <w:r w:rsidRPr="00535F81">
        <w:rPr>
          <w:rFonts w:ascii="Times New Roman" w:hAnsi="Times New Roman" w:cs="Times New Roman"/>
          <w:color w:val="000000" w:themeColor="text1"/>
          <w:sz w:val="24"/>
          <w:szCs w:val="24"/>
        </w:rPr>
        <w:t xml:space="preserve">ásico de </w:t>
      </w:r>
      <w:r w:rsidR="00E0306F" w:rsidRPr="00535F81">
        <w:rPr>
          <w:rFonts w:ascii="Times New Roman" w:hAnsi="Times New Roman" w:cs="Times New Roman"/>
          <w:color w:val="000000" w:themeColor="text1"/>
          <w:sz w:val="24"/>
          <w:szCs w:val="24"/>
        </w:rPr>
        <w:t>G</w:t>
      </w:r>
      <w:r w:rsidRPr="00535F81">
        <w:rPr>
          <w:rFonts w:ascii="Times New Roman" w:hAnsi="Times New Roman" w:cs="Times New Roman"/>
          <w:color w:val="000000" w:themeColor="text1"/>
          <w:sz w:val="24"/>
          <w:szCs w:val="24"/>
        </w:rPr>
        <w:t xml:space="preserve">overnança, </w:t>
      </w:r>
      <w:r w:rsidR="00E0306F" w:rsidRPr="00535F81">
        <w:rPr>
          <w:rFonts w:ascii="Times New Roman" w:hAnsi="Times New Roman" w:cs="Times New Roman"/>
          <w:color w:val="000000" w:themeColor="text1"/>
          <w:sz w:val="24"/>
          <w:szCs w:val="24"/>
        </w:rPr>
        <w:t>TCU,</w:t>
      </w:r>
      <w:r w:rsidRPr="00535F81">
        <w:rPr>
          <w:rFonts w:ascii="Times New Roman" w:hAnsi="Times New Roman" w:cs="Times New Roman"/>
          <w:color w:val="000000" w:themeColor="text1"/>
          <w:sz w:val="24"/>
          <w:szCs w:val="24"/>
        </w:rPr>
        <w:t xml:space="preserve"> Versão 2 – 2014, Prática E2.1; Resolução Administrativa TRE-BA  nº 5/2013, art. 40, III.;  e Gerenciamento de Riscos Corporativos </w:t>
      </w:r>
      <w:r w:rsidRPr="00535F81">
        <w:rPr>
          <w:rFonts w:ascii="Times New Roman" w:hAnsi="Times New Roman" w:cs="Times New Roman"/>
          <w:color w:val="000000" w:themeColor="text1"/>
          <w:sz w:val="24"/>
          <w:szCs w:val="24"/>
        </w:rPr>
        <w:lastRenderedPageBreak/>
        <w:t xml:space="preserve">Integrado com a Estratégia e Performance do COSO, traduzido por </w:t>
      </w:r>
      <w:proofErr w:type="spellStart"/>
      <w:r w:rsidRPr="00535F81">
        <w:rPr>
          <w:rFonts w:ascii="Times New Roman" w:hAnsi="Times New Roman" w:cs="Times New Roman"/>
          <w:color w:val="000000" w:themeColor="text1"/>
          <w:sz w:val="24"/>
          <w:szCs w:val="24"/>
        </w:rPr>
        <w:t>PwC</w:t>
      </w:r>
      <w:proofErr w:type="spellEnd"/>
      <w:r w:rsidRPr="00535F81">
        <w:rPr>
          <w:rFonts w:ascii="Times New Roman" w:hAnsi="Times New Roman" w:cs="Times New Roman"/>
          <w:color w:val="000000" w:themeColor="text1"/>
          <w:sz w:val="24"/>
          <w:szCs w:val="24"/>
        </w:rPr>
        <w:t>, junho de 2017, Componentes e Princípios 2 e 9.</w:t>
      </w:r>
    </w:p>
    <w:p w:rsidR="007054B1" w:rsidRPr="00775054" w:rsidRDefault="007054B1" w:rsidP="007054B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7054B1" w:rsidRPr="00535F81" w:rsidRDefault="008A6131" w:rsidP="00033039">
      <w:pPr>
        <w:numPr>
          <w:ilvl w:val="4"/>
          <w:numId w:val="1"/>
        </w:numPr>
        <w:spacing w:after="0" w:line="240" w:lineRule="auto"/>
        <w:jc w:val="both"/>
        <w:rPr>
          <w:rFonts w:ascii="Times New Roman" w:hAnsi="Times New Roman" w:cs="Times New Roman"/>
          <w:i/>
          <w:spacing w:val="-6"/>
          <w:sz w:val="24"/>
          <w:szCs w:val="24"/>
        </w:rPr>
      </w:pPr>
      <w:r w:rsidRPr="00535F81">
        <w:rPr>
          <w:rFonts w:ascii="Times New Roman" w:hAnsi="Times New Roman" w:cs="Times New Roman"/>
          <w:bCs/>
          <w:spacing w:val="-6"/>
          <w:sz w:val="24"/>
          <w:szCs w:val="24"/>
        </w:rPr>
        <w:t>L</w:t>
      </w:r>
      <w:r w:rsidR="00F05ED6" w:rsidRPr="00535F81">
        <w:rPr>
          <w:rFonts w:ascii="Times New Roman" w:hAnsi="Times New Roman" w:cs="Times New Roman"/>
          <w:bCs/>
          <w:spacing w:val="-6"/>
          <w:sz w:val="24"/>
          <w:szCs w:val="24"/>
        </w:rPr>
        <w:t xml:space="preserve">imitação da capacidade operacional da Unidade de gestão estratégica do </w:t>
      </w:r>
      <w:r w:rsidRPr="00535F81">
        <w:rPr>
          <w:rFonts w:ascii="Times New Roman" w:hAnsi="Times New Roman" w:cs="Times New Roman"/>
          <w:bCs/>
          <w:spacing w:val="-6"/>
          <w:sz w:val="24"/>
          <w:szCs w:val="24"/>
        </w:rPr>
        <w:t>Ó</w:t>
      </w:r>
      <w:r w:rsidR="00F05ED6" w:rsidRPr="00535F81">
        <w:rPr>
          <w:rFonts w:ascii="Times New Roman" w:hAnsi="Times New Roman" w:cs="Times New Roman"/>
          <w:bCs/>
          <w:spacing w:val="-6"/>
          <w:sz w:val="24"/>
          <w:szCs w:val="24"/>
        </w:rPr>
        <w:t xml:space="preserve">rgão; </w:t>
      </w:r>
      <w:r w:rsidR="0097187F" w:rsidRPr="00535F81">
        <w:rPr>
          <w:rFonts w:ascii="Times New Roman" w:hAnsi="Times New Roman" w:cs="Times New Roman"/>
          <w:bCs/>
          <w:spacing w:val="-6"/>
          <w:sz w:val="24"/>
          <w:szCs w:val="24"/>
        </w:rPr>
        <w:t xml:space="preserve">ineficiência de critério utilizado para priorização de unidades a serem desdobradas; </w:t>
      </w:r>
      <w:r w:rsidR="00033039" w:rsidRPr="00535F81">
        <w:rPr>
          <w:rFonts w:ascii="Times New Roman" w:hAnsi="Times New Roman" w:cs="Times New Roman"/>
          <w:bCs/>
          <w:spacing w:val="-6"/>
          <w:sz w:val="24"/>
          <w:szCs w:val="24"/>
        </w:rPr>
        <w:t xml:space="preserve">insuficiência na mobilização e comprometimento de gestores e demais colaboradores envolvidos; insuficiência de capacitação dos colaboradores; e descentralização geográfica </w:t>
      </w:r>
      <w:r w:rsidR="00F05ED6" w:rsidRPr="00535F81">
        <w:rPr>
          <w:rFonts w:ascii="Times New Roman" w:hAnsi="Times New Roman" w:cs="Times New Roman"/>
          <w:bCs/>
          <w:spacing w:val="-6"/>
          <w:sz w:val="24"/>
          <w:szCs w:val="24"/>
        </w:rPr>
        <w:t>d</w:t>
      </w:r>
      <w:r w:rsidR="00033039" w:rsidRPr="00535F81">
        <w:rPr>
          <w:rFonts w:ascii="Times New Roman" w:hAnsi="Times New Roman" w:cs="Times New Roman"/>
          <w:bCs/>
          <w:spacing w:val="-6"/>
          <w:sz w:val="24"/>
          <w:szCs w:val="24"/>
        </w:rPr>
        <w:t>as unidades</w:t>
      </w:r>
      <w:r w:rsidR="00F05ED6" w:rsidRPr="00535F81">
        <w:rPr>
          <w:rFonts w:ascii="Times New Roman" w:hAnsi="Times New Roman" w:cs="Times New Roman"/>
          <w:bCs/>
          <w:spacing w:val="-6"/>
          <w:sz w:val="24"/>
          <w:szCs w:val="24"/>
        </w:rPr>
        <w:t xml:space="preserve"> jurisdicionais do Tribunal</w:t>
      </w:r>
      <w:r w:rsidR="00033039" w:rsidRPr="00535F81">
        <w:rPr>
          <w:rFonts w:ascii="Times New Roman" w:hAnsi="Times New Roman" w:cs="Times New Roman"/>
          <w:bCs/>
          <w:spacing w:val="-6"/>
          <w:sz w:val="24"/>
          <w:szCs w:val="24"/>
        </w:rPr>
        <w:t>.</w:t>
      </w:r>
    </w:p>
    <w:p w:rsidR="007054B1" w:rsidRPr="00371B28" w:rsidRDefault="007054B1" w:rsidP="007054B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371B28">
        <w:rPr>
          <w:rFonts w:ascii="Times New Roman" w:hAnsi="Times New Roman" w:cs="Times New Roman"/>
          <w:i/>
          <w:color w:val="000000" w:themeColor="text1"/>
          <w:sz w:val="24"/>
          <w:szCs w:val="24"/>
        </w:rPr>
        <w:t>Efeito(s) (real ou potencial):</w:t>
      </w:r>
    </w:p>
    <w:p w:rsidR="007054B1" w:rsidRPr="00371B28" w:rsidRDefault="004A21CE" w:rsidP="004A21CE">
      <w:pPr>
        <w:numPr>
          <w:ilvl w:val="4"/>
          <w:numId w:val="1"/>
        </w:numPr>
        <w:spacing w:after="0" w:line="240" w:lineRule="auto"/>
        <w:jc w:val="both"/>
        <w:rPr>
          <w:rFonts w:ascii="Times New Roman" w:hAnsi="Times New Roman" w:cs="Times New Roman"/>
          <w:sz w:val="24"/>
          <w:szCs w:val="24"/>
        </w:rPr>
      </w:pPr>
      <w:r w:rsidRPr="00371B28">
        <w:rPr>
          <w:rFonts w:ascii="Times New Roman" w:hAnsi="Times New Roman" w:cs="Times New Roman"/>
          <w:sz w:val="24"/>
          <w:szCs w:val="24"/>
        </w:rPr>
        <w:t>Comprometimento da concretização da missão e do alcance da visão de futuro institucionais; não atendimento às expectativas das partes interessadas; desalinhamento das unidades e respectivos esforços para o cumprimento da estratégia; objetivos operacionais conflitantes com os objetivos táticos e estratégicos; inexecução ou execução deficiente da estratégia; dispersão de esforços e recursos na busca da concretização da missão institucional; ausência ou deficiência de metas atribuídas aos níveis tático e operacional; ausência de participação e envolvimento das unidades; desmotivação dos gestores e demais colaboradores; indefinição do papel de contribuição das unidades no cumprimento da Estratégia organizacional; e deficiência na compreensão da Estratégia.</w:t>
      </w:r>
    </w:p>
    <w:p w:rsidR="007054B1" w:rsidRPr="00371B28" w:rsidRDefault="007054B1" w:rsidP="00DC0F7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371B28">
        <w:rPr>
          <w:rFonts w:ascii="Times New Roman" w:hAnsi="Times New Roman" w:cs="Times New Roman"/>
          <w:i/>
          <w:color w:val="000000" w:themeColor="text1"/>
          <w:sz w:val="24"/>
          <w:szCs w:val="24"/>
        </w:rPr>
        <w:t>Evidência(s):</w:t>
      </w:r>
    </w:p>
    <w:p w:rsidR="007054B1" w:rsidRPr="002805DF" w:rsidRDefault="00033039" w:rsidP="00033039">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PAD nº 12.027/2017 (Doc. nº 171.454/2017); PAD nº 14.848/2017 (Doc. nº 207.238/2017); PAD nº 15.087/2016 (Docs. nº 141.394/2017 e 36.111/2017); PAD 18.848/2017 (Doc</w:t>
      </w:r>
      <w:r w:rsidR="00822082" w:rsidRPr="00775054">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nº 217.389/2017)</w:t>
      </w:r>
      <w:r w:rsidR="00233372">
        <w:rPr>
          <w:rFonts w:ascii="Times New Roman" w:hAnsi="Times New Roman" w:cs="Times New Roman"/>
          <w:color w:val="000000" w:themeColor="text1"/>
          <w:sz w:val="24"/>
          <w:szCs w:val="24"/>
        </w:rPr>
        <w:t xml:space="preserve">; e </w:t>
      </w:r>
      <w:r w:rsidR="00233372" w:rsidRPr="002805DF">
        <w:rPr>
          <w:rFonts w:ascii="Times New Roman" w:hAnsi="Times New Roman" w:cs="Times New Roman"/>
          <w:sz w:val="24"/>
          <w:szCs w:val="24"/>
        </w:rPr>
        <w:t>PAD 4.727/2018 (Doc. nº 80.064/2018).</w:t>
      </w:r>
    </w:p>
    <w:p w:rsidR="00DC0F78" w:rsidRPr="00775054" w:rsidRDefault="00DC0F78" w:rsidP="00DC0F7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w:t>
      </w:r>
      <w:r w:rsidR="004E7179" w:rsidRPr="00775054">
        <w:rPr>
          <w:rFonts w:ascii="Times New Roman" w:hAnsi="Times New Roman" w:cs="Times New Roman"/>
          <w:i/>
          <w:color w:val="000000" w:themeColor="text1"/>
          <w:sz w:val="24"/>
          <w:szCs w:val="24"/>
        </w:rPr>
        <w:t>s</w:t>
      </w:r>
      <w:r w:rsidRPr="00775054">
        <w:rPr>
          <w:rFonts w:ascii="Times New Roman" w:hAnsi="Times New Roman" w:cs="Times New Roman"/>
          <w:i/>
          <w:color w:val="000000" w:themeColor="text1"/>
          <w:sz w:val="24"/>
          <w:szCs w:val="24"/>
        </w:rPr>
        <w:t xml:space="preserve"> responsávei</w:t>
      </w:r>
      <w:r w:rsidR="004E7179" w:rsidRPr="00775054">
        <w:rPr>
          <w:rFonts w:ascii="Times New Roman" w:hAnsi="Times New Roman" w:cs="Times New Roman"/>
          <w:i/>
          <w:color w:val="000000" w:themeColor="text1"/>
          <w:sz w:val="24"/>
          <w:szCs w:val="24"/>
        </w:rPr>
        <w:t>s</w:t>
      </w:r>
      <w:r w:rsidRPr="00775054">
        <w:rPr>
          <w:rFonts w:ascii="Times New Roman" w:hAnsi="Times New Roman" w:cs="Times New Roman"/>
          <w:i/>
          <w:color w:val="000000" w:themeColor="text1"/>
          <w:sz w:val="24"/>
          <w:szCs w:val="24"/>
        </w:rPr>
        <w:t>:</w:t>
      </w:r>
    </w:p>
    <w:p w:rsidR="00DC0F78" w:rsidRDefault="004E7179" w:rsidP="0039584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Em resposta à RDI nº 4/2018 (PAD nº 1.304/2018, Doc. nº </w:t>
      </w:r>
      <w:r w:rsidR="00395843" w:rsidRPr="00775054">
        <w:rPr>
          <w:rFonts w:ascii="Times New Roman" w:hAnsi="Times New Roman" w:cs="Times New Roman"/>
          <w:color w:val="000000" w:themeColor="text1"/>
          <w:sz w:val="24"/>
          <w:szCs w:val="24"/>
        </w:rPr>
        <w:t xml:space="preserve">24.827/2018), a COPEG informou que serão realizados estudos no sentido de apresentar proposta para </w:t>
      </w:r>
      <w:r w:rsidR="0097187F">
        <w:rPr>
          <w:rFonts w:ascii="Times New Roman" w:hAnsi="Times New Roman" w:cs="Times New Roman"/>
          <w:color w:val="000000" w:themeColor="text1"/>
          <w:sz w:val="24"/>
          <w:szCs w:val="24"/>
        </w:rPr>
        <w:t>A</w:t>
      </w:r>
      <w:r w:rsidR="00395843" w:rsidRPr="00775054">
        <w:rPr>
          <w:rFonts w:ascii="Times New Roman" w:hAnsi="Times New Roman" w:cs="Times New Roman"/>
          <w:color w:val="000000" w:themeColor="text1"/>
          <w:sz w:val="24"/>
          <w:szCs w:val="24"/>
        </w:rPr>
        <w:t xml:space="preserve">lta </w:t>
      </w:r>
      <w:r w:rsidR="0097187F">
        <w:rPr>
          <w:rFonts w:ascii="Times New Roman" w:hAnsi="Times New Roman" w:cs="Times New Roman"/>
          <w:color w:val="000000" w:themeColor="text1"/>
          <w:sz w:val="24"/>
          <w:szCs w:val="24"/>
        </w:rPr>
        <w:t>A</w:t>
      </w:r>
      <w:r w:rsidR="00395843" w:rsidRPr="00775054">
        <w:rPr>
          <w:rFonts w:ascii="Times New Roman" w:hAnsi="Times New Roman" w:cs="Times New Roman"/>
          <w:color w:val="000000" w:themeColor="text1"/>
          <w:sz w:val="24"/>
          <w:szCs w:val="24"/>
        </w:rPr>
        <w:t xml:space="preserve">dministração comtemplando medidas destinadas a contornar a reduzida capacidade operacional da unidade para assegurar o desdobramento da estratégia organizacional, inclusive com a possiblidade de contratação de consultoria especializada. Esclareceu ainda, que por um erro formal a </w:t>
      </w:r>
      <w:r w:rsidR="0097187F">
        <w:rPr>
          <w:rFonts w:ascii="Times New Roman" w:hAnsi="Times New Roman" w:cs="Times New Roman"/>
          <w:color w:val="000000" w:themeColor="text1"/>
          <w:sz w:val="24"/>
          <w:szCs w:val="24"/>
        </w:rPr>
        <w:t>SGS</w:t>
      </w:r>
      <w:r w:rsidR="00395843" w:rsidRPr="00775054">
        <w:rPr>
          <w:rFonts w:ascii="Times New Roman" w:hAnsi="Times New Roman" w:cs="Times New Roman"/>
          <w:color w:val="000000" w:themeColor="text1"/>
          <w:sz w:val="24"/>
          <w:szCs w:val="24"/>
        </w:rPr>
        <w:t xml:space="preserve"> não foi contemplada no cronograma do Projeto de Desdobramento da Estratégia e que novo cronograma será elaborado com inclusão da referida Unidade</w:t>
      </w:r>
      <w:r w:rsidR="0097187F">
        <w:rPr>
          <w:rFonts w:ascii="Times New Roman" w:hAnsi="Times New Roman" w:cs="Times New Roman"/>
          <w:color w:val="000000" w:themeColor="text1"/>
          <w:sz w:val="24"/>
          <w:szCs w:val="24"/>
        </w:rPr>
        <w:t>.</w:t>
      </w:r>
    </w:p>
    <w:p w:rsidR="0076379E" w:rsidRPr="002805DF" w:rsidRDefault="0076379E" w:rsidP="0076379E">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Em resposta à RDI Circular nº 5/2018 (PAD nº 4.727/2018, Doc. nº 80.064/2018), a COPEG informou que</w:t>
      </w:r>
      <w:r w:rsidR="00E96147" w:rsidRPr="002805DF">
        <w:rPr>
          <w:rFonts w:ascii="Times New Roman" w:hAnsi="Times New Roman" w:cs="Times New Roman"/>
          <w:sz w:val="24"/>
          <w:szCs w:val="24"/>
        </w:rPr>
        <w:t>,</w:t>
      </w:r>
      <w:r w:rsidRPr="002805DF">
        <w:rPr>
          <w:rFonts w:ascii="Times New Roman" w:hAnsi="Times New Roman" w:cs="Times New Roman"/>
          <w:sz w:val="24"/>
          <w:szCs w:val="24"/>
        </w:rPr>
        <w:t xml:space="preserve"> no intuito de atender ao quanto determinado pela </w:t>
      </w:r>
      <w:r w:rsidR="00E96147" w:rsidRPr="002805DF">
        <w:rPr>
          <w:rFonts w:ascii="Times New Roman" w:hAnsi="Times New Roman" w:cs="Times New Roman"/>
          <w:sz w:val="24"/>
          <w:szCs w:val="24"/>
        </w:rPr>
        <w:t>SAU</w:t>
      </w:r>
      <w:r w:rsidRPr="002805DF">
        <w:rPr>
          <w:rFonts w:ascii="Times New Roman" w:hAnsi="Times New Roman" w:cs="Times New Roman"/>
          <w:sz w:val="24"/>
          <w:szCs w:val="24"/>
        </w:rPr>
        <w:t xml:space="preserve">, tem buscado o incremento do seu quadro de pessoal. A SEPLANE, desde março do presente exercício, passou a contar com mais uma servidora, totalizando, assim dois postos de trabalho, além </w:t>
      </w:r>
      <w:proofErr w:type="gramStart"/>
      <w:r w:rsidRPr="002805DF">
        <w:rPr>
          <w:rFonts w:ascii="Times New Roman" w:hAnsi="Times New Roman" w:cs="Times New Roman"/>
          <w:sz w:val="24"/>
          <w:szCs w:val="24"/>
        </w:rPr>
        <w:t>da Chefe</w:t>
      </w:r>
      <w:proofErr w:type="gramEnd"/>
      <w:r w:rsidRPr="002805DF">
        <w:rPr>
          <w:rFonts w:ascii="Times New Roman" w:hAnsi="Times New Roman" w:cs="Times New Roman"/>
          <w:sz w:val="24"/>
          <w:szCs w:val="24"/>
        </w:rPr>
        <w:t xml:space="preserve"> da Seção. Além disso, </w:t>
      </w:r>
      <w:r w:rsidR="00E96147" w:rsidRPr="002805DF">
        <w:rPr>
          <w:rFonts w:ascii="Times New Roman" w:hAnsi="Times New Roman" w:cs="Times New Roman"/>
          <w:sz w:val="24"/>
          <w:szCs w:val="24"/>
        </w:rPr>
        <w:t xml:space="preserve">acrescentou que seriam </w:t>
      </w:r>
      <w:r w:rsidRPr="002805DF">
        <w:rPr>
          <w:rFonts w:ascii="Times New Roman" w:hAnsi="Times New Roman" w:cs="Times New Roman"/>
          <w:sz w:val="24"/>
          <w:szCs w:val="24"/>
        </w:rPr>
        <w:t>realizados estudos contemplando medidas destinadas a contornar a reduzida capacidade operacional da unidade para assegurar o desdobramento da Estratégia organizacional, inclusive com a possiblidade de contratação de consultoria especializada. Informou, ainda, acerca da questão da formalização de critérios que assegurem o desdobramento prioritário das unidades que são responsáveis pelo cumprimento de maior número de objetivos e metas</w:t>
      </w:r>
      <w:r w:rsidR="00E96147" w:rsidRPr="002805DF">
        <w:rPr>
          <w:rFonts w:ascii="Times New Roman" w:hAnsi="Times New Roman" w:cs="Times New Roman"/>
          <w:sz w:val="24"/>
          <w:szCs w:val="24"/>
        </w:rPr>
        <w:t xml:space="preserve"> que</w:t>
      </w:r>
      <w:r w:rsidR="00E96147" w:rsidRPr="00E96147">
        <w:rPr>
          <w:rFonts w:ascii="Times New Roman" w:hAnsi="Times New Roman" w:cs="Times New Roman"/>
          <w:color w:val="000099"/>
          <w:sz w:val="24"/>
          <w:szCs w:val="24"/>
        </w:rPr>
        <w:t xml:space="preserve">, </w:t>
      </w:r>
      <w:r w:rsidR="00E96147" w:rsidRPr="002805DF">
        <w:rPr>
          <w:rFonts w:ascii="Times New Roman" w:hAnsi="Times New Roman" w:cs="Times New Roman"/>
          <w:sz w:val="24"/>
          <w:szCs w:val="24"/>
        </w:rPr>
        <w:t>e</w:t>
      </w:r>
      <w:r w:rsidRPr="002805DF">
        <w:rPr>
          <w:rFonts w:ascii="Times New Roman" w:hAnsi="Times New Roman" w:cs="Times New Roman"/>
          <w:sz w:val="24"/>
          <w:szCs w:val="24"/>
        </w:rPr>
        <w:t xml:space="preserve">mbora a SEPLANE tivesse o intuito de realizar o desdobramento nas unidades que mais contribuíssem para a estratégia, o cronograma do desdobramento foi </w:t>
      </w:r>
      <w:r w:rsidRPr="002805DF">
        <w:rPr>
          <w:rFonts w:ascii="Times New Roman" w:hAnsi="Times New Roman" w:cs="Times New Roman"/>
          <w:sz w:val="24"/>
          <w:szCs w:val="24"/>
        </w:rPr>
        <w:lastRenderedPageBreak/>
        <w:t xml:space="preserve">realizado considerando os questionamentos realizados pelo TCU e pela </w:t>
      </w:r>
      <w:r w:rsidR="00E96147" w:rsidRPr="002805DF">
        <w:rPr>
          <w:rFonts w:ascii="Times New Roman" w:hAnsi="Times New Roman" w:cs="Times New Roman"/>
          <w:sz w:val="24"/>
          <w:szCs w:val="24"/>
        </w:rPr>
        <w:t>SAU</w:t>
      </w:r>
      <w:r w:rsidRPr="002805DF">
        <w:rPr>
          <w:rFonts w:ascii="Times New Roman" w:hAnsi="Times New Roman" w:cs="Times New Roman"/>
          <w:sz w:val="24"/>
          <w:szCs w:val="24"/>
        </w:rPr>
        <w:t xml:space="preserve"> (PAD nº 5.328/2015, Acordão TCU nº 1172/2015 e 1824/2016) que apontavam para a priorização da SGP. Os questionamentos do TCU também indicaram a necessidade de se priorizar o desdobramento da SGA. </w:t>
      </w:r>
      <w:r w:rsidR="00E96147" w:rsidRPr="002805DF">
        <w:rPr>
          <w:rFonts w:ascii="Times New Roman" w:hAnsi="Times New Roman" w:cs="Times New Roman"/>
          <w:sz w:val="24"/>
          <w:szCs w:val="24"/>
        </w:rPr>
        <w:t>Esclareceu, por fim, que a</w:t>
      </w:r>
      <w:r w:rsidRPr="002805DF">
        <w:rPr>
          <w:rFonts w:ascii="Times New Roman" w:hAnsi="Times New Roman" w:cs="Times New Roman"/>
          <w:sz w:val="24"/>
          <w:szCs w:val="24"/>
        </w:rPr>
        <w:t xml:space="preserve">s demais unidades foram escolhidas de acordo com a relevância para a estratégia, mas foi imperioso considerar o envolvimento das unidades nas atividades de eleição, nos anos eleitorais, posto que isto </w:t>
      </w:r>
      <w:proofErr w:type="gramStart"/>
      <w:r w:rsidRPr="002805DF">
        <w:rPr>
          <w:rFonts w:ascii="Times New Roman" w:hAnsi="Times New Roman" w:cs="Times New Roman"/>
          <w:sz w:val="24"/>
          <w:szCs w:val="24"/>
        </w:rPr>
        <w:t>afeta</w:t>
      </w:r>
      <w:r w:rsidR="00E96147" w:rsidRPr="002805DF">
        <w:rPr>
          <w:rFonts w:ascii="Times New Roman" w:hAnsi="Times New Roman" w:cs="Times New Roman"/>
          <w:sz w:val="24"/>
          <w:szCs w:val="24"/>
        </w:rPr>
        <w:t>ria</w:t>
      </w:r>
      <w:proofErr w:type="gramEnd"/>
      <w:r w:rsidRPr="002805DF">
        <w:rPr>
          <w:rFonts w:ascii="Times New Roman" w:hAnsi="Times New Roman" w:cs="Times New Roman"/>
          <w:sz w:val="24"/>
          <w:szCs w:val="24"/>
        </w:rPr>
        <w:t xml:space="preserve"> a disponibilidade dos servidores em participar das oficinas planejadas.</w:t>
      </w:r>
    </w:p>
    <w:p w:rsidR="00DC0F78" w:rsidRPr="00775054" w:rsidRDefault="00DC0F78" w:rsidP="00DC0F7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r w:rsidR="008A6131">
        <w:rPr>
          <w:rFonts w:ascii="Times New Roman" w:hAnsi="Times New Roman" w:cs="Times New Roman"/>
          <w:i/>
          <w:color w:val="000000" w:themeColor="text1"/>
          <w:sz w:val="24"/>
          <w:szCs w:val="24"/>
        </w:rPr>
        <w:t>:</w:t>
      </w:r>
    </w:p>
    <w:p w:rsidR="00DC0F78" w:rsidRPr="002805DF" w:rsidRDefault="00014CB1" w:rsidP="00014CB1">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que pese demonstração de preocupação da unidade em </w:t>
      </w:r>
      <w:r w:rsidR="00E96147" w:rsidRPr="002805DF">
        <w:rPr>
          <w:rFonts w:ascii="Times New Roman" w:hAnsi="Times New Roman" w:cs="Times New Roman"/>
          <w:sz w:val="24"/>
          <w:szCs w:val="24"/>
        </w:rPr>
        <w:t xml:space="preserve">demonstrar a adoção de medidas com vistas a </w:t>
      </w:r>
      <w:r w:rsidRPr="002805DF">
        <w:rPr>
          <w:rFonts w:ascii="Times New Roman" w:hAnsi="Times New Roman" w:cs="Times New Roman"/>
          <w:sz w:val="24"/>
          <w:szCs w:val="24"/>
        </w:rPr>
        <w:t xml:space="preserve">contornar a </w:t>
      </w:r>
      <w:r w:rsidR="0097187F" w:rsidRPr="002805DF">
        <w:rPr>
          <w:rFonts w:ascii="Times New Roman" w:hAnsi="Times New Roman" w:cs="Times New Roman"/>
          <w:sz w:val="24"/>
          <w:szCs w:val="24"/>
        </w:rPr>
        <w:t xml:space="preserve">limitação de </w:t>
      </w:r>
      <w:r w:rsidRPr="002805DF">
        <w:rPr>
          <w:rFonts w:ascii="Times New Roman" w:hAnsi="Times New Roman" w:cs="Times New Roman"/>
          <w:sz w:val="24"/>
          <w:szCs w:val="24"/>
        </w:rPr>
        <w:t xml:space="preserve">sua capacidade operacional para assegurar o desdobramento da </w:t>
      </w:r>
      <w:r w:rsidR="0097187F" w:rsidRPr="002805DF">
        <w:rPr>
          <w:rFonts w:ascii="Times New Roman" w:hAnsi="Times New Roman" w:cs="Times New Roman"/>
          <w:sz w:val="24"/>
          <w:szCs w:val="24"/>
        </w:rPr>
        <w:t>e</w:t>
      </w:r>
      <w:r w:rsidR="008A6131" w:rsidRPr="002805DF">
        <w:rPr>
          <w:rFonts w:ascii="Times New Roman" w:hAnsi="Times New Roman" w:cs="Times New Roman"/>
          <w:sz w:val="24"/>
          <w:szCs w:val="24"/>
        </w:rPr>
        <w:t>stratégia i</w:t>
      </w:r>
      <w:r w:rsidRPr="002805DF">
        <w:rPr>
          <w:rFonts w:ascii="Times New Roman" w:hAnsi="Times New Roman" w:cs="Times New Roman"/>
          <w:sz w:val="24"/>
          <w:szCs w:val="24"/>
        </w:rPr>
        <w:t>nstitucional</w:t>
      </w:r>
      <w:r w:rsidR="00E96147" w:rsidRPr="002805DF">
        <w:rPr>
          <w:rFonts w:ascii="Times New Roman" w:hAnsi="Times New Roman" w:cs="Times New Roman"/>
          <w:sz w:val="24"/>
          <w:szCs w:val="24"/>
        </w:rPr>
        <w:t>,</w:t>
      </w:r>
      <w:r w:rsidR="0097187F" w:rsidRPr="002805DF">
        <w:rPr>
          <w:rFonts w:ascii="Times New Roman" w:hAnsi="Times New Roman" w:cs="Times New Roman"/>
          <w:sz w:val="24"/>
          <w:szCs w:val="24"/>
        </w:rPr>
        <w:t xml:space="preserve"> em tempo razoável, em face do ciclo de vigência do Planejamento Estratégico do Órgão</w:t>
      </w:r>
      <w:r w:rsidRPr="002805DF">
        <w:rPr>
          <w:rFonts w:ascii="Times New Roman" w:hAnsi="Times New Roman" w:cs="Times New Roman"/>
          <w:sz w:val="24"/>
          <w:szCs w:val="24"/>
        </w:rPr>
        <w:t xml:space="preserve">, enquanto não formalizado estudo, </w:t>
      </w:r>
      <w:r w:rsidR="0097187F" w:rsidRPr="002805DF">
        <w:rPr>
          <w:rFonts w:ascii="Times New Roman" w:hAnsi="Times New Roman" w:cs="Times New Roman"/>
          <w:sz w:val="24"/>
          <w:szCs w:val="24"/>
        </w:rPr>
        <w:t>contemplando, inclusive, reavaliação de critérios de priorização atualmente utilizados</w:t>
      </w:r>
      <w:r w:rsidR="00E96147" w:rsidRPr="002805DF">
        <w:rPr>
          <w:rFonts w:ascii="Times New Roman" w:hAnsi="Times New Roman" w:cs="Times New Roman"/>
          <w:sz w:val="24"/>
          <w:szCs w:val="24"/>
        </w:rPr>
        <w:t xml:space="preserve"> para definição do cronograma de desdobramento</w:t>
      </w:r>
      <w:r w:rsidR="0097187F" w:rsidRPr="002805DF">
        <w:rPr>
          <w:rFonts w:ascii="Times New Roman" w:hAnsi="Times New Roman" w:cs="Times New Roman"/>
          <w:sz w:val="24"/>
          <w:szCs w:val="24"/>
        </w:rPr>
        <w:t>, persist</w:t>
      </w:r>
      <w:r w:rsidR="00E96147" w:rsidRPr="002805DF">
        <w:rPr>
          <w:rFonts w:ascii="Times New Roman" w:hAnsi="Times New Roman" w:cs="Times New Roman"/>
          <w:sz w:val="24"/>
          <w:szCs w:val="24"/>
        </w:rPr>
        <w:t>irá</w:t>
      </w:r>
      <w:r w:rsidR="00535F81" w:rsidRPr="002805DF">
        <w:rPr>
          <w:rFonts w:ascii="Times New Roman" w:hAnsi="Times New Roman" w:cs="Times New Roman"/>
          <w:sz w:val="24"/>
          <w:szCs w:val="24"/>
        </w:rPr>
        <w:t xml:space="preserve"> a</w:t>
      </w:r>
      <w:r w:rsidR="0097187F" w:rsidRPr="002805DF">
        <w:rPr>
          <w:rFonts w:ascii="Times New Roman" w:hAnsi="Times New Roman" w:cs="Times New Roman"/>
          <w:sz w:val="24"/>
          <w:szCs w:val="24"/>
        </w:rPr>
        <w:t xml:space="preserve"> </w:t>
      </w:r>
      <w:r w:rsidRPr="002805DF">
        <w:rPr>
          <w:rFonts w:ascii="Times New Roman" w:hAnsi="Times New Roman" w:cs="Times New Roman"/>
          <w:sz w:val="24"/>
          <w:szCs w:val="24"/>
        </w:rPr>
        <w:t>fragilidade ora evidenciada.</w:t>
      </w:r>
    </w:p>
    <w:p w:rsidR="00DC0F78" w:rsidRPr="00775054" w:rsidRDefault="00DC0F78" w:rsidP="00DC0F78">
      <w:pPr>
        <w:pStyle w:val="PargrafodaLista"/>
        <w:numPr>
          <w:ilvl w:val="2"/>
          <w:numId w:val="1"/>
        </w:numPr>
        <w:spacing w:before="120"/>
        <w:jc w:val="both"/>
        <w:rPr>
          <w:b w:val="0"/>
          <w:color w:val="000000" w:themeColor="text1"/>
          <w:sz w:val="24"/>
          <w:szCs w:val="24"/>
          <w:u w:val="single"/>
        </w:rPr>
      </w:pPr>
      <w:bookmarkStart w:id="14" w:name="_Toc511288061"/>
      <w:r w:rsidRPr="00775054">
        <w:rPr>
          <w:b w:val="0"/>
          <w:color w:val="000000" w:themeColor="text1"/>
          <w:sz w:val="24"/>
          <w:szCs w:val="24"/>
          <w:u w:val="single"/>
        </w:rPr>
        <w:t>Deficiência no gerenciamento dos projetos estratégicos</w:t>
      </w:r>
      <w:r w:rsidR="008A6131">
        <w:rPr>
          <w:b w:val="0"/>
          <w:color w:val="000000" w:themeColor="text1"/>
          <w:sz w:val="24"/>
          <w:szCs w:val="24"/>
          <w:u w:val="single"/>
        </w:rPr>
        <w:t>.</w:t>
      </w:r>
      <w:bookmarkEnd w:id="14"/>
    </w:p>
    <w:p w:rsidR="00DC0F78" w:rsidRPr="00775054" w:rsidRDefault="00DC0F78" w:rsidP="00DC0F78">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Situação encontrada:</w:t>
      </w:r>
    </w:p>
    <w:p w:rsidR="00214B74" w:rsidRPr="00775054" w:rsidRDefault="00DC0F78" w:rsidP="00DC0F78">
      <w:pPr>
        <w:numPr>
          <w:ilvl w:val="4"/>
          <w:numId w:val="1"/>
        </w:numPr>
        <w:spacing w:after="0" w:line="240" w:lineRule="auto"/>
        <w:jc w:val="both"/>
        <w:rPr>
          <w:rFonts w:ascii="Times New Roman" w:hAnsi="Times New Roman" w:cs="Times New Roman"/>
          <w:color w:val="000000" w:themeColor="text1"/>
          <w:sz w:val="24"/>
          <w:szCs w:val="24"/>
        </w:rPr>
      </w:pPr>
      <w:r w:rsidRPr="003C391C">
        <w:rPr>
          <w:rFonts w:ascii="Times New Roman" w:hAnsi="Times New Roman" w:cs="Times New Roman"/>
          <w:sz w:val="24"/>
          <w:szCs w:val="24"/>
        </w:rPr>
        <w:t xml:space="preserve">Da análise do PAD nº 16.137/2016, verificou-se que a SEGEPRO tem solicitado aos patrocinadores dos projetos estratégicos a indicação dos respectivos gerentes, contudo não </w:t>
      </w:r>
      <w:r w:rsidR="0097187F" w:rsidRPr="003C391C">
        <w:rPr>
          <w:rFonts w:ascii="Times New Roman" w:hAnsi="Times New Roman" w:cs="Times New Roman"/>
          <w:sz w:val="24"/>
          <w:szCs w:val="24"/>
        </w:rPr>
        <w:t>se evidenciou existência de</w:t>
      </w:r>
      <w:r w:rsidRPr="003C391C">
        <w:rPr>
          <w:rFonts w:ascii="Times New Roman" w:hAnsi="Times New Roman" w:cs="Times New Roman"/>
          <w:sz w:val="24"/>
          <w:szCs w:val="24"/>
        </w:rPr>
        <w:t xml:space="preserve"> ato </w:t>
      </w:r>
      <w:r w:rsidR="0097187F" w:rsidRPr="003C391C">
        <w:rPr>
          <w:rFonts w:ascii="Times New Roman" w:hAnsi="Times New Roman" w:cs="Times New Roman"/>
          <w:sz w:val="24"/>
          <w:szCs w:val="24"/>
        </w:rPr>
        <w:t xml:space="preserve">formal </w:t>
      </w:r>
      <w:r w:rsidRPr="003C391C">
        <w:rPr>
          <w:rFonts w:ascii="Times New Roman" w:hAnsi="Times New Roman" w:cs="Times New Roman"/>
          <w:sz w:val="24"/>
          <w:szCs w:val="24"/>
        </w:rPr>
        <w:t>d</w:t>
      </w:r>
      <w:r w:rsidR="0097187F" w:rsidRPr="003C391C">
        <w:rPr>
          <w:rFonts w:ascii="Times New Roman" w:hAnsi="Times New Roman" w:cs="Times New Roman"/>
          <w:sz w:val="24"/>
          <w:szCs w:val="24"/>
        </w:rPr>
        <w:t>a</w:t>
      </w:r>
      <w:r w:rsidRPr="003C391C">
        <w:rPr>
          <w:rFonts w:ascii="Times New Roman" w:hAnsi="Times New Roman" w:cs="Times New Roman"/>
          <w:sz w:val="24"/>
          <w:szCs w:val="24"/>
        </w:rPr>
        <w:t xml:space="preserve"> </w:t>
      </w:r>
      <w:r w:rsidR="0097187F" w:rsidRPr="003C391C">
        <w:rPr>
          <w:rFonts w:ascii="Times New Roman" w:hAnsi="Times New Roman" w:cs="Times New Roman"/>
          <w:sz w:val="24"/>
          <w:szCs w:val="24"/>
        </w:rPr>
        <w:t>Direção-Geral</w:t>
      </w:r>
      <w:r w:rsidRPr="003C391C">
        <w:rPr>
          <w:rFonts w:ascii="Times New Roman" w:hAnsi="Times New Roman" w:cs="Times New Roman"/>
          <w:sz w:val="24"/>
          <w:szCs w:val="24"/>
        </w:rPr>
        <w:t xml:space="preserve"> ratificando as indicações, conforme determina o Regulamento Interno da Secretaria do TRE-BA. Evidenciou-se, ainda, a ausência de designação de gerente para o PLANOP, justificada, em manifestação da COPEG</w:t>
      </w:r>
      <w:r w:rsidR="0097187F" w:rsidRPr="003C391C">
        <w:rPr>
          <w:rFonts w:ascii="Times New Roman" w:hAnsi="Times New Roman" w:cs="Times New Roman"/>
          <w:sz w:val="24"/>
          <w:szCs w:val="24"/>
        </w:rPr>
        <w:t>,</w:t>
      </w:r>
      <w:r w:rsidRPr="003C391C">
        <w:rPr>
          <w:rFonts w:ascii="Times New Roman" w:hAnsi="Times New Roman" w:cs="Times New Roman"/>
          <w:sz w:val="24"/>
          <w:szCs w:val="24"/>
        </w:rPr>
        <w:t xml:space="preserve"> datada de 28/11/2016, pela</w:t>
      </w:r>
      <w:r w:rsidR="00214B74" w:rsidRPr="003C391C">
        <w:rPr>
          <w:rFonts w:ascii="Times New Roman" w:hAnsi="Times New Roman" w:cs="Times New Roman"/>
          <w:sz w:val="24"/>
          <w:szCs w:val="24"/>
        </w:rPr>
        <w:t xml:space="preserve"> </w:t>
      </w:r>
      <w:r w:rsidRPr="003C391C">
        <w:rPr>
          <w:rFonts w:ascii="Times New Roman" w:hAnsi="Times New Roman" w:cs="Times New Roman"/>
          <w:sz w:val="24"/>
          <w:szCs w:val="24"/>
        </w:rPr>
        <w:t xml:space="preserve">complexidade do Projeto, que requer a realização de capacitação envolvendo todas as áreas do Tribunal. </w:t>
      </w:r>
      <w:r w:rsidR="0097187F" w:rsidRPr="003C391C">
        <w:rPr>
          <w:rFonts w:ascii="Times New Roman" w:hAnsi="Times New Roman" w:cs="Times New Roman"/>
          <w:sz w:val="24"/>
          <w:szCs w:val="24"/>
        </w:rPr>
        <w:t>Diante dessas</w:t>
      </w:r>
      <w:r w:rsidRPr="003C391C">
        <w:rPr>
          <w:rFonts w:ascii="Times New Roman" w:hAnsi="Times New Roman" w:cs="Times New Roman"/>
          <w:sz w:val="24"/>
          <w:szCs w:val="24"/>
        </w:rPr>
        <w:t xml:space="preserve"> circunstância</w:t>
      </w:r>
      <w:r w:rsidR="00214B74" w:rsidRPr="003C391C">
        <w:rPr>
          <w:rFonts w:ascii="Times New Roman" w:hAnsi="Times New Roman" w:cs="Times New Roman"/>
          <w:sz w:val="24"/>
          <w:szCs w:val="24"/>
        </w:rPr>
        <w:t>s</w:t>
      </w:r>
      <w:r w:rsidRPr="003C391C">
        <w:rPr>
          <w:rFonts w:ascii="Times New Roman" w:hAnsi="Times New Roman" w:cs="Times New Roman"/>
          <w:sz w:val="24"/>
          <w:szCs w:val="24"/>
        </w:rPr>
        <w:t xml:space="preserve">, </w:t>
      </w:r>
      <w:r w:rsidR="0097187F" w:rsidRPr="003C391C">
        <w:rPr>
          <w:rFonts w:ascii="Times New Roman" w:hAnsi="Times New Roman" w:cs="Times New Roman"/>
          <w:sz w:val="24"/>
          <w:szCs w:val="24"/>
        </w:rPr>
        <w:t xml:space="preserve">constatou-se que </w:t>
      </w:r>
      <w:r w:rsidRPr="003C391C">
        <w:rPr>
          <w:rFonts w:ascii="Times New Roman" w:hAnsi="Times New Roman" w:cs="Times New Roman"/>
          <w:sz w:val="24"/>
          <w:szCs w:val="24"/>
        </w:rPr>
        <w:t>a d</w:t>
      </w:r>
      <w:r w:rsidR="0097187F" w:rsidRPr="003C391C">
        <w:rPr>
          <w:rFonts w:ascii="Times New Roman" w:hAnsi="Times New Roman" w:cs="Times New Roman"/>
          <w:sz w:val="24"/>
          <w:szCs w:val="24"/>
        </w:rPr>
        <w:t xml:space="preserve">efinição dos participantes e da previsão de </w:t>
      </w:r>
      <w:r w:rsidRPr="003C391C">
        <w:rPr>
          <w:rFonts w:ascii="Times New Roman" w:hAnsi="Times New Roman" w:cs="Times New Roman"/>
          <w:sz w:val="24"/>
          <w:szCs w:val="24"/>
        </w:rPr>
        <w:t xml:space="preserve">início do </w:t>
      </w:r>
      <w:r w:rsidR="0097187F" w:rsidRPr="003C391C">
        <w:rPr>
          <w:rFonts w:ascii="Times New Roman" w:hAnsi="Times New Roman" w:cs="Times New Roman"/>
          <w:sz w:val="24"/>
          <w:szCs w:val="24"/>
        </w:rPr>
        <w:t xml:space="preserve">referido </w:t>
      </w:r>
      <w:r w:rsidRPr="003C391C">
        <w:rPr>
          <w:rFonts w:ascii="Times New Roman" w:hAnsi="Times New Roman" w:cs="Times New Roman"/>
          <w:sz w:val="24"/>
          <w:szCs w:val="24"/>
        </w:rPr>
        <w:t xml:space="preserve">projeto restou postergada para a RAE que ocorreu em 21/8/2017. </w:t>
      </w:r>
      <w:r w:rsidR="0097187F" w:rsidRPr="003C391C">
        <w:rPr>
          <w:rFonts w:ascii="Times New Roman" w:hAnsi="Times New Roman" w:cs="Times New Roman"/>
          <w:sz w:val="24"/>
          <w:szCs w:val="24"/>
        </w:rPr>
        <w:t xml:space="preserve">Não obstante, a análise da pauta da referida reunião não evidenciou deliberação sobre a matéria, </w:t>
      </w:r>
      <w:r w:rsidRPr="003C391C">
        <w:rPr>
          <w:rFonts w:ascii="Times New Roman" w:hAnsi="Times New Roman" w:cs="Times New Roman"/>
          <w:sz w:val="24"/>
          <w:szCs w:val="24"/>
        </w:rPr>
        <w:t>permane</w:t>
      </w:r>
      <w:r w:rsidR="0097187F" w:rsidRPr="003C391C">
        <w:rPr>
          <w:rFonts w:ascii="Times New Roman" w:hAnsi="Times New Roman" w:cs="Times New Roman"/>
          <w:sz w:val="24"/>
          <w:szCs w:val="24"/>
        </w:rPr>
        <w:t>cendo a iniciativa</w:t>
      </w:r>
      <w:r w:rsidRPr="003C391C">
        <w:rPr>
          <w:rFonts w:ascii="Times New Roman" w:hAnsi="Times New Roman" w:cs="Times New Roman"/>
          <w:sz w:val="24"/>
          <w:szCs w:val="24"/>
        </w:rPr>
        <w:t xml:space="preserve"> sem gerente e, consequentemente, </w:t>
      </w:r>
      <w:r w:rsidR="0097187F" w:rsidRPr="003C391C">
        <w:rPr>
          <w:rFonts w:ascii="Times New Roman" w:hAnsi="Times New Roman" w:cs="Times New Roman"/>
          <w:sz w:val="24"/>
          <w:szCs w:val="24"/>
        </w:rPr>
        <w:t>sem</w:t>
      </w:r>
      <w:r w:rsidRPr="003C391C">
        <w:rPr>
          <w:rFonts w:ascii="Times New Roman" w:hAnsi="Times New Roman" w:cs="Times New Roman"/>
          <w:sz w:val="24"/>
          <w:szCs w:val="24"/>
        </w:rPr>
        <w:t xml:space="preserve"> execução. </w:t>
      </w:r>
      <w:r w:rsidR="0097187F" w:rsidRPr="003C391C">
        <w:rPr>
          <w:rFonts w:ascii="Times New Roman" w:hAnsi="Times New Roman" w:cs="Times New Roman"/>
          <w:sz w:val="24"/>
          <w:szCs w:val="24"/>
        </w:rPr>
        <w:t>Adicionalmente</w:t>
      </w:r>
      <w:r w:rsidRPr="003C391C">
        <w:rPr>
          <w:rFonts w:ascii="Times New Roman" w:hAnsi="Times New Roman" w:cs="Times New Roman"/>
          <w:sz w:val="24"/>
          <w:szCs w:val="24"/>
        </w:rPr>
        <w:t xml:space="preserve">, </w:t>
      </w:r>
      <w:r w:rsidR="0097187F" w:rsidRPr="003C391C">
        <w:rPr>
          <w:rFonts w:ascii="Times New Roman" w:hAnsi="Times New Roman" w:cs="Times New Roman"/>
          <w:sz w:val="24"/>
          <w:szCs w:val="24"/>
        </w:rPr>
        <w:t xml:space="preserve">identificou-se </w:t>
      </w:r>
      <w:r w:rsidRPr="003C391C">
        <w:rPr>
          <w:rFonts w:ascii="Times New Roman" w:hAnsi="Times New Roman" w:cs="Times New Roman"/>
          <w:sz w:val="24"/>
          <w:szCs w:val="24"/>
        </w:rPr>
        <w:t xml:space="preserve">designação da servidora Valdenice Teixeira Cerqueira para atuar, simultaneamente, como gerente nos projetos estratégicos </w:t>
      </w:r>
      <w:r w:rsidR="0097187F" w:rsidRPr="003C391C">
        <w:rPr>
          <w:rFonts w:ascii="Times New Roman" w:hAnsi="Times New Roman" w:cs="Times New Roman"/>
          <w:sz w:val="24"/>
          <w:szCs w:val="24"/>
        </w:rPr>
        <w:t>“</w:t>
      </w:r>
      <w:proofErr w:type="spellStart"/>
      <w:r w:rsidRPr="003C391C">
        <w:rPr>
          <w:rFonts w:ascii="Times New Roman" w:hAnsi="Times New Roman" w:cs="Times New Roman"/>
          <w:sz w:val="24"/>
          <w:szCs w:val="24"/>
        </w:rPr>
        <w:t>Melhoracessibilidade</w:t>
      </w:r>
      <w:proofErr w:type="spellEnd"/>
      <w:r w:rsidR="0097187F" w:rsidRPr="003C391C">
        <w:rPr>
          <w:rFonts w:ascii="Times New Roman" w:hAnsi="Times New Roman" w:cs="Times New Roman"/>
          <w:sz w:val="24"/>
          <w:szCs w:val="24"/>
        </w:rPr>
        <w:t>”</w:t>
      </w:r>
      <w:r w:rsidRPr="003C391C">
        <w:rPr>
          <w:rFonts w:ascii="Times New Roman" w:hAnsi="Times New Roman" w:cs="Times New Roman"/>
          <w:sz w:val="24"/>
          <w:szCs w:val="24"/>
        </w:rPr>
        <w:t xml:space="preserve"> (2017.1 a 2022.2) e Fala Cidadão (2018.1 a 2019.2).  Com relação ao </w:t>
      </w:r>
      <w:proofErr w:type="gramStart"/>
      <w:r w:rsidRPr="003C391C">
        <w:rPr>
          <w:rFonts w:ascii="Times New Roman" w:hAnsi="Times New Roman" w:cs="Times New Roman"/>
          <w:sz w:val="24"/>
          <w:szCs w:val="24"/>
        </w:rPr>
        <w:t>Projeto Ética no TRE-BA</w:t>
      </w:r>
      <w:proofErr w:type="gramEnd"/>
      <w:r w:rsidRPr="003C391C">
        <w:rPr>
          <w:rFonts w:ascii="Times New Roman" w:hAnsi="Times New Roman" w:cs="Times New Roman"/>
          <w:sz w:val="24"/>
          <w:szCs w:val="24"/>
        </w:rPr>
        <w:t>, foi identificado que a presidente da Comissão Permanente de Ética</w:t>
      </w:r>
      <w:r w:rsidR="003C391C" w:rsidRPr="003C391C">
        <w:rPr>
          <w:rFonts w:ascii="Times New Roman" w:hAnsi="Times New Roman" w:cs="Times New Roman"/>
          <w:sz w:val="24"/>
          <w:szCs w:val="24"/>
        </w:rPr>
        <w:t xml:space="preserve"> </w:t>
      </w:r>
      <w:r w:rsidRPr="003C391C">
        <w:rPr>
          <w:rFonts w:ascii="Times New Roman" w:hAnsi="Times New Roman" w:cs="Times New Roman"/>
          <w:sz w:val="24"/>
          <w:szCs w:val="24"/>
        </w:rPr>
        <w:t xml:space="preserve">teve o seu requerimento de aposentadoria deferido nos autos do PAD nº 10.367/2017, tendo como consequência, o seu afastamento da gerência do referido projeto, em face do desligamento deste Regional. </w:t>
      </w:r>
      <w:r w:rsidR="0097187F" w:rsidRPr="003C391C">
        <w:rPr>
          <w:rFonts w:ascii="Times New Roman" w:hAnsi="Times New Roman" w:cs="Times New Roman"/>
          <w:sz w:val="24"/>
          <w:szCs w:val="24"/>
        </w:rPr>
        <w:t>Verificou-se que, i</w:t>
      </w:r>
      <w:r w:rsidRPr="003C391C">
        <w:rPr>
          <w:rFonts w:ascii="Times New Roman" w:hAnsi="Times New Roman" w:cs="Times New Roman"/>
          <w:sz w:val="24"/>
          <w:szCs w:val="24"/>
        </w:rPr>
        <w:t>nvocando o art. 13, III da Resolução Administrativa TRE-BA nº 3/2017, nos autos do PAD nº 10.985 (Doc. 10.197/2017), a então presidente da Comissão de Ética convocou</w:t>
      </w:r>
      <w:r w:rsidR="00142BD3" w:rsidRPr="003C391C">
        <w:rPr>
          <w:rFonts w:ascii="Times New Roman" w:hAnsi="Times New Roman" w:cs="Times New Roman"/>
          <w:sz w:val="24"/>
          <w:szCs w:val="24"/>
        </w:rPr>
        <w:t xml:space="preserve"> a suplente</w:t>
      </w:r>
      <w:r w:rsidRPr="003C391C">
        <w:rPr>
          <w:rFonts w:ascii="Times New Roman" w:hAnsi="Times New Roman" w:cs="Times New Roman"/>
          <w:sz w:val="24"/>
          <w:szCs w:val="24"/>
        </w:rPr>
        <w:t xml:space="preserve"> para assumir a presidência dos trabalhos. </w:t>
      </w:r>
      <w:r w:rsidR="00142BD3" w:rsidRPr="003C391C">
        <w:rPr>
          <w:rFonts w:ascii="Times New Roman" w:hAnsi="Times New Roman" w:cs="Times New Roman"/>
          <w:sz w:val="24"/>
          <w:szCs w:val="24"/>
        </w:rPr>
        <w:t>Contudo, c</w:t>
      </w:r>
      <w:r w:rsidRPr="003C391C">
        <w:rPr>
          <w:rFonts w:ascii="Times New Roman" w:hAnsi="Times New Roman" w:cs="Times New Roman"/>
          <w:sz w:val="24"/>
          <w:szCs w:val="24"/>
        </w:rPr>
        <w:t xml:space="preserve">onsiderando que, segundo a Portaria nº 257/2017, que </w:t>
      </w:r>
      <w:r w:rsidR="00142BD3" w:rsidRPr="003C391C">
        <w:rPr>
          <w:rFonts w:ascii="Times New Roman" w:hAnsi="Times New Roman" w:cs="Times New Roman"/>
          <w:sz w:val="24"/>
          <w:szCs w:val="24"/>
        </w:rPr>
        <w:t>definiu</w:t>
      </w:r>
      <w:r w:rsidRPr="003C391C">
        <w:rPr>
          <w:rFonts w:ascii="Times New Roman" w:hAnsi="Times New Roman" w:cs="Times New Roman"/>
          <w:sz w:val="24"/>
          <w:szCs w:val="24"/>
        </w:rPr>
        <w:t xml:space="preserve"> a composição da Comissão Permanente de Ética, a presidente será substituída, em seus afastamentos legais, </w:t>
      </w:r>
      <w:r w:rsidR="00142BD3" w:rsidRPr="003C391C">
        <w:rPr>
          <w:rFonts w:ascii="Times New Roman" w:hAnsi="Times New Roman" w:cs="Times New Roman"/>
          <w:sz w:val="24"/>
          <w:szCs w:val="24"/>
        </w:rPr>
        <w:t>por servidora específica</w:t>
      </w:r>
      <w:r w:rsidRPr="003C391C">
        <w:rPr>
          <w:rFonts w:ascii="Times New Roman" w:hAnsi="Times New Roman" w:cs="Times New Roman"/>
          <w:sz w:val="24"/>
          <w:szCs w:val="24"/>
        </w:rPr>
        <w:t xml:space="preserve">, não prevendo hipótese de desligamento, verifica-se que a Comissão Permanente de Ética </w:t>
      </w:r>
      <w:r w:rsidR="00CB1B59" w:rsidRPr="003C391C">
        <w:rPr>
          <w:rFonts w:ascii="Times New Roman" w:hAnsi="Times New Roman" w:cs="Times New Roman"/>
          <w:sz w:val="24"/>
          <w:szCs w:val="24"/>
        </w:rPr>
        <w:t>se encontra</w:t>
      </w:r>
      <w:r w:rsidRPr="003C391C">
        <w:rPr>
          <w:rFonts w:ascii="Times New Roman" w:hAnsi="Times New Roman" w:cs="Times New Roman"/>
          <w:sz w:val="24"/>
          <w:szCs w:val="24"/>
        </w:rPr>
        <w:t xml:space="preserve"> com quantitativo de membros</w:t>
      </w:r>
      <w:r w:rsidR="00214B74" w:rsidRPr="003C391C">
        <w:rPr>
          <w:rFonts w:ascii="Times New Roman" w:hAnsi="Times New Roman" w:cs="Times New Roman"/>
          <w:sz w:val="24"/>
          <w:szCs w:val="24"/>
        </w:rPr>
        <w:t xml:space="preserve"> </w:t>
      </w:r>
      <w:proofErr w:type="gramStart"/>
      <w:r w:rsidRPr="003C391C">
        <w:rPr>
          <w:rFonts w:ascii="Times New Roman" w:hAnsi="Times New Roman" w:cs="Times New Roman"/>
          <w:sz w:val="24"/>
          <w:szCs w:val="24"/>
        </w:rPr>
        <w:t>efetivos inferior</w:t>
      </w:r>
      <w:proofErr w:type="gramEnd"/>
      <w:r w:rsidRPr="003C391C">
        <w:rPr>
          <w:rFonts w:ascii="Times New Roman" w:hAnsi="Times New Roman" w:cs="Times New Roman"/>
          <w:sz w:val="24"/>
          <w:szCs w:val="24"/>
        </w:rPr>
        <w:t xml:space="preserve"> ao quanto requerido no art. 11, da </w:t>
      </w:r>
      <w:r w:rsidRPr="003C391C">
        <w:rPr>
          <w:rFonts w:ascii="Times New Roman" w:hAnsi="Times New Roman" w:cs="Times New Roman"/>
          <w:sz w:val="24"/>
          <w:szCs w:val="24"/>
        </w:rPr>
        <w:lastRenderedPageBreak/>
        <w:t xml:space="preserve">Resolução Administrativa nº 3/2017. Consequentemente, </w:t>
      </w:r>
      <w:proofErr w:type="gramStart"/>
      <w:r w:rsidRPr="003C391C">
        <w:rPr>
          <w:rFonts w:ascii="Times New Roman" w:hAnsi="Times New Roman" w:cs="Times New Roman"/>
          <w:sz w:val="24"/>
          <w:szCs w:val="24"/>
        </w:rPr>
        <w:t>o Projeto Étic</w:t>
      </w:r>
      <w:r w:rsidRPr="00775054">
        <w:rPr>
          <w:rFonts w:ascii="Times New Roman" w:hAnsi="Times New Roman" w:cs="Times New Roman"/>
          <w:color w:val="000000" w:themeColor="text1"/>
          <w:sz w:val="24"/>
          <w:szCs w:val="24"/>
        </w:rPr>
        <w:t>a no TRE-BA</w:t>
      </w:r>
      <w:proofErr w:type="gramEnd"/>
      <w:r w:rsidRPr="00775054">
        <w:rPr>
          <w:rFonts w:ascii="Times New Roman" w:hAnsi="Times New Roman" w:cs="Times New Roman"/>
          <w:color w:val="000000" w:themeColor="text1"/>
          <w:sz w:val="24"/>
          <w:szCs w:val="24"/>
        </w:rPr>
        <w:t xml:space="preserve"> </w:t>
      </w:r>
      <w:r w:rsidR="00142BD3">
        <w:rPr>
          <w:rFonts w:ascii="Times New Roman" w:hAnsi="Times New Roman" w:cs="Times New Roman"/>
          <w:color w:val="000000" w:themeColor="text1"/>
          <w:sz w:val="24"/>
          <w:szCs w:val="24"/>
        </w:rPr>
        <w:t>encontra-se</w:t>
      </w:r>
      <w:r w:rsidRPr="00775054">
        <w:rPr>
          <w:rFonts w:ascii="Times New Roman" w:hAnsi="Times New Roman" w:cs="Times New Roman"/>
          <w:color w:val="000000" w:themeColor="text1"/>
          <w:sz w:val="24"/>
          <w:szCs w:val="24"/>
        </w:rPr>
        <w:t xml:space="preserve"> sem gerente formalmente designado. </w:t>
      </w:r>
    </w:p>
    <w:p w:rsidR="00DC0F78" w:rsidRPr="00775054" w:rsidRDefault="00214B74" w:rsidP="00BA0C4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Critério</w:t>
      </w:r>
      <w:r w:rsidR="00BA0C46" w:rsidRPr="00775054">
        <w:rPr>
          <w:rFonts w:ascii="Times New Roman" w:hAnsi="Times New Roman" w:cs="Times New Roman"/>
          <w:i/>
          <w:color w:val="000000" w:themeColor="text1"/>
          <w:sz w:val="24"/>
          <w:szCs w:val="24"/>
        </w:rPr>
        <w:t>(s):</w:t>
      </w:r>
    </w:p>
    <w:p w:rsidR="00BA0C46" w:rsidRPr="00535F81" w:rsidRDefault="00BA0C46" w:rsidP="00BA0C46">
      <w:pPr>
        <w:numPr>
          <w:ilvl w:val="4"/>
          <w:numId w:val="1"/>
        </w:numPr>
        <w:spacing w:after="0" w:line="240" w:lineRule="auto"/>
        <w:jc w:val="both"/>
        <w:rPr>
          <w:rFonts w:ascii="Times New Roman" w:hAnsi="Times New Roman" w:cs="Times New Roman"/>
          <w:color w:val="000000" w:themeColor="text1"/>
          <w:sz w:val="24"/>
          <w:szCs w:val="24"/>
        </w:rPr>
      </w:pPr>
      <w:r w:rsidRPr="00535F81">
        <w:rPr>
          <w:rFonts w:ascii="Times New Roman" w:hAnsi="Times New Roman" w:cs="Times New Roman"/>
          <w:color w:val="000000" w:themeColor="text1"/>
          <w:sz w:val="24"/>
          <w:szCs w:val="24"/>
        </w:rPr>
        <w:t xml:space="preserve">Decreto nº 9.203/2017, </w:t>
      </w:r>
      <w:proofErr w:type="spellStart"/>
      <w:r w:rsidRPr="00535F81">
        <w:rPr>
          <w:rFonts w:ascii="Times New Roman" w:hAnsi="Times New Roman" w:cs="Times New Roman"/>
          <w:color w:val="000000" w:themeColor="text1"/>
          <w:sz w:val="24"/>
          <w:szCs w:val="24"/>
        </w:rPr>
        <w:t>art</w:t>
      </w:r>
      <w:proofErr w:type="spellEnd"/>
      <w:r w:rsidRPr="00535F81">
        <w:rPr>
          <w:rFonts w:ascii="Times New Roman" w:hAnsi="Times New Roman" w:cs="Times New Roman"/>
          <w:color w:val="000000" w:themeColor="text1"/>
          <w:sz w:val="24"/>
          <w:szCs w:val="24"/>
        </w:rPr>
        <w:t xml:space="preserve"> 4º, I; Resolução Administrativa do TRE-BA nº 5/2013, </w:t>
      </w:r>
      <w:proofErr w:type="spellStart"/>
      <w:r w:rsidRPr="00535F81">
        <w:rPr>
          <w:rFonts w:ascii="Times New Roman" w:hAnsi="Times New Roman" w:cs="Times New Roman"/>
          <w:color w:val="000000" w:themeColor="text1"/>
          <w:sz w:val="24"/>
          <w:szCs w:val="24"/>
        </w:rPr>
        <w:t>arts</w:t>
      </w:r>
      <w:proofErr w:type="spellEnd"/>
      <w:r w:rsidRPr="00535F81">
        <w:rPr>
          <w:rFonts w:ascii="Times New Roman" w:hAnsi="Times New Roman" w:cs="Times New Roman"/>
          <w:color w:val="000000" w:themeColor="text1"/>
          <w:sz w:val="24"/>
          <w:szCs w:val="24"/>
        </w:rPr>
        <w:t xml:space="preserve">. 152 e 153; Resolução Administrativa do TRE-BA nº 14/2015, Anexo, P.19 - PLANOP; Resolução Administrativa TRE-BA nº 5/2013, art. 34, I; Referencial </w:t>
      </w:r>
      <w:r w:rsidR="00142BD3" w:rsidRPr="00535F81">
        <w:rPr>
          <w:rFonts w:ascii="Times New Roman" w:hAnsi="Times New Roman" w:cs="Times New Roman"/>
          <w:color w:val="000000" w:themeColor="text1"/>
          <w:sz w:val="24"/>
          <w:szCs w:val="24"/>
        </w:rPr>
        <w:t>B</w:t>
      </w:r>
      <w:r w:rsidRPr="00535F81">
        <w:rPr>
          <w:rFonts w:ascii="Times New Roman" w:hAnsi="Times New Roman" w:cs="Times New Roman"/>
          <w:color w:val="000000" w:themeColor="text1"/>
          <w:sz w:val="24"/>
          <w:szCs w:val="24"/>
        </w:rPr>
        <w:t xml:space="preserve">ásico de </w:t>
      </w:r>
      <w:r w:rsidR="00142BD3" w:rsidRPr="00535F81">
        <w:rPr>
          <w:rFonts w:ascii="Times New Roman" w:hAnsi="Times New Roman" w:cs="Times New Roman"/>
          <w:color w:val="000000" w:themeColor="text1"/>
          <w:sz w:val="24"/>
          <w:szCs w:val="24"/>
        </w:rPr>
        <w:t>G</w:t>
      </w:r>
      <w:r w:rsidRPr="00535F81">
        <w:rPr>
          <w:rFonts w:ascii="Times New Roman" w:hAnsi="Times New Roman" w:cs="Times New Roman"/>
          <w:color w:val="000000" w:themeColor="text1"/>
          <w:sz w:val="24"/>
          <w:szCs w:val="24"/>
        </w:rPr>
        <w:t xml:space="preserve">overnança, </w:t>
      </w:r>
      <w:r w:rsidR="00142BD3" w:rsidRPr="00535F81">
        <w:rPr>
          <w:rFonts w:ascii="Times New Roman" w:hAnsi="Times New Roman" w:cs="Times New Roman"/>
          <w:color w:val="000000" w:themeColor="text1"/>
          <w:sz w:val="24"/>
          <w:szCs w:val="24"/>
        </w:rPr>
        <w:t>TCU,</w:t>
      </w:r>
      <w:r w:rsidRPr="00535F81">
        <w:rPr>
          <w:rFonts w:ascii="Times New Roman" w:hAnsi="Times New Roman" w:cs="Times New Roman"/>
          <w:color w:val="000000" w:themeColor="text1"/>
          <w:sz w:val="24"/>
          <w:szCs w:val="24"/>
        </w:rPr>
        <w:t xml:space="preserve"> Versão 2 – 2014, Práticas </w:t>
      </w:r>
      <w:proofErr w:type="gramStart"/>
      <w:r w:rsidRPr="00535F81">
        <w:rPr>
          <w:rFonts w:ascii="Times New Roman" w:hAnsi="Times New Roman" w:cs="Times New Roman"/>
          <w:color w:val="000000" w:themeColor="text1"/>
          <w:sz w:val="24"/>
          <w:szCs w:val="24"/>
        </w:rPr>
        <w:t>E2.</w:t>
      </w:r>
      <w:proofErr w:type="gramEnd"/>
      <w:r w:rsidRPr="00535F81">
        <w:rPr>
          <w:rFonts w:ascii="Times New Roman" w:hAnsi="Times New Roman" w:cs="Times New Roman"/>
          <w:color w:val="000000" w:themeColor="text1"/>
          <w:sz w:val="24"/>
          <w:szCs w:val="24"/>
        </w:rPr>
        <w:t>2 e E2.3; e Portaria 335/2014 da Presidência do TRE-BA -  Metodologia de Gerenciamento de Projetos do TRE-BA.</w:t>
      </w:r>
    </w:p>
    <w:p w:rsidR="00DC0F78" w:rsidRPr="00775054" w:rsidRDefault="00BA0C46" w:rsidP="00BA0C4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BA0C46" w:rsidRPr="00775054" w:rsidRDefault="007556AF" w:rsidP="007556AF">
      <w:pPr>
        <w:numPr>
          <w:ilvl w:val="4"/>
          <w:numId w:val="1"/>
        </w:numPr>
        <w:spacing w:after="0" w:line="240" w:lineRule="auto"/>
        <w:jc w:val="both"/>
        <w:rPr>
          <w:rFonts w:ascii="Times New Roman" w:hAnsi="Times New Roman" w:cs="Times New Roman"/>
          <w:bCs/>
          <w:color w:val="000000" w:themeColor="text1"/>
          <w:sz w:val="24"/>
          <w:szCs w:val="24"/>
        </w:rPr>
      </w:pPr>
      <w:r w:rsidRPr="00775054">
        <w:rPr>
          <w:rFonts w:ascii="Times New Roman" w:hAnsi="Times New Roman" w:cs="Times New Roman"/>
          <w:bCs/>
          <w:color w:val="000000" w:themeColor="text1"/>
          <w:sz w:val="24"/>
          <w:szCs w:val="24"/>
        </w:rPr>
        <w:t>Recente aprovação formal de Política de Gestão de Pessoas; ausência de conclusão dos trabalhos afetos ao projeto gestão por competências; levantamento de necessidades de capacitação deficiente; e acúmulo de demandas pelos servidores indicados para compor as equipes dos projetos estratégicos.</w:t>
      </w:r>
    </w:p>
    <w:p w:rsidR="007556AF" w:rsidRPr="00775054" w:rsidRDefault="007556AF" w:rsidP="007556AF">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7556AF" w:rsidRPr="00775054" w:rsidRDefault="007556AF" w:rsidP="00D70014">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Não atendimento aos objetivos estratégicos do Tribunal; comprometimento da celeridade e qualidade das entregas associadas aos projetos; e execução deficiente do planejamento estratégico.</w:t>
      </w:r>
    </w:p>
    <w:p w:rsidR="00D70014" w:rsidRPr="00775054" w:rsidRDefault="003C391C" w:rsidP="00D70014">
      <w:pPr>
        <w:numPr>
          <w:ilvl w:val="3"/>
          <w:numId w:val="1"/>
        </w:numPr>
        <w:spacing w:after="0" w:line="240" w:lineRule="auto"/>
        <w:ind w:left="1077" w:hanging="1077"/>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Evidência(s):</w:t>
      </w:r>
    </w:p>
    <w:p w:rsidR="00D70014" w:rsidRPr="002805DF" w:rsidRDefault="00D70014" w:rsidP="00FD3300">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PAD nº 16.137/2016 (Docs. nº 221.266/2016, 225.101/2016, 225.860/2016, 227.374/2016 e 206.216/2017); PAD nº 12.027/2017 (Doc. nº 171.454/2017 - pág.3)</w:t>
      </w:r>
      <w:r w:rsidR="00FD3300">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PAD nº 10.985 (Doc. 10.197/2017)</w:t>
      </w:r>
      <w:r w:rsidR="00FD3300">
        <w:rPr>
          <w:rFonts w:ascii="Times New Roman" w:hAnsi="Times New Roman" w:cs="Times New Roman"/>
          <w:color w:val="000000" w:themeColor="text1"/>
          <w:sz w:val="24"/>
          <w:szCs w:val="24"/>
        </w:rPr>
        <w:t xml:space="preserve">; </w:t>
      </w:r>
      <w:r w:rsidR="00FD3300" w:rsidRPr="002805DF">
        <w:rPr>
          <w:rFonts w:ascii="Times New Roman" w:hAnsi="Times New Roman" w:cs="Times New Roman"/>
          <w:sz w:val="24"/>
          <w:szCs w:val="24"/>
        </w:rPr>
        <w:t>e PAD nº 4.727/2018 (Doc</w:t>
      </w:r>
      <w:r w:rsidR="00233372" w:rsidRPr="002805DF">
        <w:rPr>
          <w:rFonts w:ascii="Times New Roman" w:hAnsi="Times New Roman" w:cs="Times New Roman"/>
          <w:sz w:val="24"/>
          <w:szCs w:val="24"/>
        </w:rPr>
        <w:t>s</w:t>
      </w:r>
      <w:r w:rsidR="00FD3300" w:rsidRPr="002805DF">
        <w:rPr>
          <w:rFonts w:ascii="Times New Roman" w:hAnsi="Times New Roman" w:cs="Times New Roman"/>
          <w:sz w:val="24"/>
          <w:szCs w:val="24"/>
        </w:rPr>
        <w:t>. nº 65.235/2018</w:t>
      </w:r>
      <w:r w:rsidR="00233372" w:rsidRPr="002805DF">
        <w:rPr>
          <w:rFonts w:ascii="Times New Roman" w:hAnsi="Times New Roman" w:cs="Times New Roman"/>
          <w:sz w:val="24"/>
          <w:szCs w:val="24"/>
        </w:rPr>
        <w:t xml:space="preserve"> e 80.064/2018</w:t>
      </w:r>
      <w:r w:rsidR="00FD3300" w:rsidRPr="002805DF">
        <w:rPr>
          <w:rFonts w:ascii="Times New Roman" w:hAnsi="Times New Roman" w:cs="Times New Roman"/>
          <w:sz w:val="24"/>
          <w:szCs w:val="24"/>
        </w:rPr>
        <w:t>)</w:t>
      </w:r>
      <w:r w:rsidRPr="002805DF">
        <w:rPr>
          <w:rFonts w:ascii="Times New Roman" w:hAnsi="Times New Roman" w:cs="Times New Roman"/>
          <w:sz w:val="24"/>
          <w:szCs w:val="24"/>
        </w:rPr>
        <w:t>.</w:t>
      </w:r>
    </w:p>
    <w:p w:rsidR="00D70014" w:rsidRDefault="00D70014" w:rsidP="00D70014">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responsáveis:</w:t>
      </w:r>
    </w:p>
    <w:p w:rsidR="00D70014" w:rsidRPr="00775054" w:rsidRDefault="00C2442B" w:rsidP="00C2442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6/2018 (PAD nº 1.307/2018, Doc. nº 23.874/2018), a Diretora</w:t>
      </w:r>
      <w:r w:rsidR="00142BD3">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Geral informou que a designação dos membros para compor a Comissão Permanente de Ética é de competência</w:t>
      </w:r>
      <w:r w:rsidR="00F913E4" w:rsidRPr="00775054">
        <w:rPr>
          <w:rFonts w:ascii="Times New Roman" w:hAnsi="Times New Roman" w:cs="Times New Roman"/>
          <w:color w:val="000000" w:themeColor="text1"/>
          <w:sz w:val="24"/>
          <w:szCs w:val="24"/>
        </w:rPr>
        <w:t xml:space="preserve"> do</w:t>
      </w:r>
      <w:r w:rsidRPr="00775054">
        <w:rPr>
          <w:rFonts w:ascii="Times New Roman" w:hAnsi="Times New Roman" w:cs="Times New Roman"/>
          <w:color w:val="000000" w:themeColor="text1"/>
          <w:sz w:val="24"/>
          <w:szCs w:val="24"/>
        </w:rPr>
        <w:t xml:space="preserve"> Presidente do TRE-BA. Ressaltou</w:t>
      </w:r>
      <w:r w:rsidR="00142BD3">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também</w:t>
      </w:r>
      <w:r w:rsidR="00142BD3">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que o formulário padrão para elaboração do Plano Geral de Projeto contempla, no item fina</w:t>
      </w:r>
      <w:r w:rsidR="00EB2651" w:rsidRPr="00775054">
        <w:rPr>
          <w:rFonts w:ascii="Times New Roman" w:hAnsi="Times New Roman" w:cs="Times New Roman"/>
          <w:color w:val="000000" w:themeColor="text1"/>
          <w:sz w:val="24"/>
          <w:szCs w:val="24"/>
        </w:rPr>
        <w:t>l</w:t>
      </w:r>
      <w:r w:rsidRPr="00775054">
        <w:rPr>
          <w:rFonts w:ascii="Times New Roman" w:hAnsi="Times New Roman" w:cs="Times New Roman"/>
          <w:color w:val="000000" w:themeColor="text1"/>
          <w:sz w:val="24"/>
          <w:szCs w:val="24"/>
        </w:rPr>
        <w:t xml:space="preserve">, um quadro de aprovação de todo o plano pelo Diretor-Geral, o que inclui a aprovação da indicação da Equipe, já que a mesma integra o projeto, valendo como ato de ratificação. </w:t>
      </w:r>
    </w:p>
    <w:p w:rsidR="00830FE7" w:rsidRDefault="00EB2651" w:rsidP="00C2442B">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Com relação ao controle da designação dos gerentes de projetos, a Diretora</w:t>
      </w:r>
      <w:r w:rsidR="00142BD3">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Geral informou que determinará à COPEG que mantenha registro acerca dos indicados, a fim de evitar duplicidade, recomendando, sempre que identifique o descumprimento dos </w:t>
      </w:r>
      <w:proofErr w:type="spellStart"/>
      <w:r w:rsidRPr="00775054">
        <w:rPr>
          <w:rFonts w:ascii="Times New Roman" w:hAnsi="Times New Roman" w:cs="Times New Roman"/>
          <w:color w:val="000000" w:themeColor="text1"/>
          <w:sz w:val="24"/>
          <w:szCs w:val="24"/>
        </w:rPr>
        <w:t>arts</w:t>
      </w:r>
      <w:proofErr w:type="spellEnd"/>
      <w:r w:rsidRPr="00775054">
        <w:rPr>
          <w:rFonts w:ascii="Times New Roman" w:hAnsi="Times New Roman" w:cs="Times New Roman"/>
          <w:color w:val="000000" w:themeColor="text1"/>
          <w:sz w:val="24"/>
          <w:szCs w:val="24"/>
        </w:rPr>
        <w:t xml:space="preserve">. 152 e 153 da Resolução Administrativa nº 5/2013, indicação de servidor diverso. </w:t>
      </w:r>
    </w:p>
    <w:p w:rsidR="00EB2651" w:rsidRDefault="00142BD3" w:rsidP="00C2442B">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Adicionalmente, </w:t>
      </w:r>
      <w:r w:rsidR="00EB2651" w:rsidRPr="00775054">
        <w:rPr>
          <w:rFonts w:ascii="Times New Roman" w:hAnsi="Times New Roman" w:cs="Times New Roman"/>
          <w:color w:val="000000" w:themeColor="text1"/>
          <w:sz w:val="24"/>
          <w:szCs w:val="24"/>
        </w:rPr>
        <w:t>esclareceu que algumas unidades são responsáveis por mais de dois projetos em períodos simultâneos, entretanto não dispõem de quantidade suficiente de servidores para gerenciar cada um sem incorrer na duplicidade, fato que deve ser levado em conta no momento de planejamento das etapas, a fim de observar o interstício determinado na norma.</w:t>
      </w:r>
    </w:p>
    <w:p w:rsidR="00D45E96" w:rsidRPr="002805DF" w:rsidRDefault="00D45E96" w:rsidP="00D45E96">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65.235/2018), a Diretora-Geral informou que, através do PAD nº 5.067/2018, determinou à COPEG a indicação de servidor para atuar como gerente do PLANOP e a instituição dos mecanismos de controle necessários </w:t>
      </w:r>
      <w:r w:rsidR="00E96147" w:rsidRPr="002805DF">
        <w:rPr>
          <w:rFonts w:ascii="Times New Roman" w:hAnsi="Times New Roman" w:cs="Times New Roman"/>
          <w:sz w:val="24"/>
          <w:szCs w:val="24"/>
        </w:rPr>
        <w:t xml:space="preserve">à </w:t>
      </w:r>
      <w:r w:rsidRPr="002805DF">
        <w:rPr>
          <w:rFonts w:ascii="Times New Roman" w:hAnsi="Times New Roman" w:cs="Times New Roman"/>
          <w:sz w:val="24"/>
          <w:szCs w:val="24"/>
        </w:rPr>
        <w:t>fiel observância ao quanto preceituado no</w:t>
      </w:r>
      <w:r w:rsidR="000503A7" w:rsidRPr="002805DF">
        <w:rPr>
          <w:rFonts w:ascii="Times New Roman" w:hAnsi="Times New Roman" w:cs="Times New Roman"/>
          <w:sz w:val="24"/>
          <w:szCs w:val="24"/>
        </w:rPr>
        <w:t xml:space="preserve"> </w:t>
      </w:r>
      <w:r w:rsidRPr="002805DF">
        <w:rPr>
          <w:rFonts w:ascii="Times New Roman" w:hAnsi="Times New Roman" w:cs="Times New Roman"/>
          <w:sz w:val="24"/>
          <w:szCs w:val="24"/>
        </w:rPr>
        <w:t>Art. 15</w:t>
      </w:r>
      <w:r w:rsidR="00E96147" w:rsidRPr="002805DF">
        <w:rPr>
          <w:rFonts w:ascii="Times New Roman" w:hAnsi="Times New Roman" w:cs="Times New Roman"/>
          <w:sz w:val="24"/>
          <w:szCs w:val="24"/>
        </w:rPr>
        <w:t>3 da Resolução Administrativa n</w:t>
      </w:r>
      <w:r w:rsidRPr="002805DF">
        <w:rPr>
          <w:rFonts w:ascii="Times New Roman" w:hAnsi="Times New Roman" w:cs="Times New Roman"/>
          <w:sz w:val="24"/>
          <w:szCs w:val="24"/>
        </w:rPr>
        <w:t>º 5/2013, mediante o seu Núcleo de</w:t>
      </w:r>
      <w:r w:rsidR="000503A7" w:rsidRPr="002805DF">
        <w:rPr>
          <w:rFonts w:ascii="Times New Roman" w:hAnsi="Times New Roman" w:cs="Times New Roman"/>
          <w:sz w:val="24"/>
          <w:szCs w:val="24"/>
        </w:rPr>
        <w:t xml:space="preserve"> </w:t>
      </w:r>
      <w:r w:rsidRPr="002805DF">
        <w:rPr>
          <w:rFonts w:ascii="Times New Roman" w:hAnsi="Times New Roman" w:cs="Times New Roman"/>
          <w:sz w:val="24"/>
          <w:szCs w:val="24"/>
        </w:rPr>
        <w:t xml:space="preserve">Gestão de Risco, quando da avaliação dos projetos que lhe são submetidos. </w:t>
      </w:r>
      <w:r w:rsidR="000503A7" w:rsidRPr="002805DF">
        <w:rPr>
          <w:rFonts w:ascii="Times New Roman" w:hAnsi="Times New Roman" w:cs="Times New Roman"/>
          <w:sz w:val="24"/>
          <w:szCs w:val="24"/>
        </w:rPr>
        <w:t xml:space="preserve"> Informou, ainda, </w:t>
      </w:r>
      <w:r w:rsidR="000503A7" w:rsidRPr="002805DF">
        <w:rPr>
          <w:rFonts w:ascii="Times New Roman" w:hAnsi="Times New Roman" w:cs="Times New Roman"/>
          <w:sz w:val="24"/>
          <w:szCs w:val="24"/>
        </w:rPr>
        <w:lastRenderedPageBreak/>
        <w:t xml:space="preserve">que a </w:t>
      </w:r>
      <w:r w:rsidRPr="002805DF">
        <w:rPr>
          <w:rFonts w:ascii="Times New Roman" w:hAnsi="Times New Roman" w:cs="Times New Roman"/>
          <w:sz w:val="24"/>
          <w:szCs w:val="24"/>
        </w:rPr>
        <w:t>designação dos gerentes de projetos passará a ser formalizada mediante</w:t>
      </w:r>
      <w:r w:rsidR="000503A7" w:rsidRPr="002805DF">
        <w:rPr>
          <w:rFonts w:ascii="Times New Roman" w:hAnsi="Times New Roman" w:cs="Times New Roman"/>
          <w:sz w:val="24"/>
          <w:szCs w:val="24"/>
        </w:rPr>
        <w:t xml:space="preserve"> </w:t>
      </w:r>
      <w:r w:rsidRPr="002805DF">
        <w:rPr>
          <w:rFonts w:ascii="Times New Roman" w:hAnsi="Times New Roman" w:cs="Times New Roman"/>
          <w:sz w:val="24"/>
          <w:szCs w:val="24"/>
        </w:rPr>
        <w:t>Portaria</w:t>
      </w:r>
      <w:r w:rsidR="000503A7" w:rsidRPr="002805DF">
        <w:rPr>
          <w:rFonts w:ascii="Times New Roman" w:hAnsi="Times New Roman" w:cs="Times New Roman"/>
          <w:sz w:val="24"/>
          <w:szCs w:val="24"/>
        </w:rPr>
        <w:t xml:space="preserve"> da </w:t>
      </w:r>
      <w:r w:rsidR="00E96147" w:rsidRPr="002805DF">
        <w:rPr>
          <w:rFonts w:ascii="Times New Roman" w:hAnsi="Times New Roman" w:cs="Times New Roman"/>
          <w:sz w:val="24"/>
          <w:szCs w:val="24"/>
        </w:rPr>
        <w:t>D</w:t>
      </w:r>
      <w:r w:rsidR="000503A7" w:rsidRPr="002805DF">
        <w:rPr>
          <w:rFonts w:ascii="Times New Roman" w:hAnsi="Times New Roman" w:cs="Times New Roman"/>
          <w:sz w:val="24"/>
          <w:szCs w:val="24"/>
        </w:rPr>
        <w:t>ireção</w:t>
      </w:r>
      <w:r w:rsidR="00E96147" w:rsidRPr="002805DF">
        <w:rPr>
          <w:rFonts w:ascii="Times New Roman" w:hAnsi="Times New Roman" w:cs="Times New Roman"/>
          <w:sz w:val="24"/>
          <w:szCs w:val="24"/>
        </w:rPr>
        <w:t>-Ge</w:t>
      </w:r>
      <w:r w:rsidR="000503A7" w:rsidRPr="002805DF">
        <w:rPr>
          <w:rFonts w:ascii="Times New Roman" w:hAnsi="Times New Roman" w:cs="Times New Roman"/>
          <w:sz w:val="24"/>
          <w:szCs w:val="24"/>
        </w:rPr>
        <w:t>ral</w:t>
      </w:r>
      <w:r w:rsidRPr="002805DF">
        <w:rPr>
          <w:rFonts w:ascii="Times New Roman" w:hAnsi="Times New Roman" w:cs="Times New Roman"/>
          <w:sz w:val="24"/>
          <w:szCs w:val="24"/>
        </w:rPr>
        <w:t>.</w:t>
      </w:r>
    </w:p>
    <w:p w:rsidR="00F361CF" w:rsidRPr="002805DF" w:rsidRDefault="00F361CF" w:rsidP="00F361CF">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80.064/2018), a COPEG informou que, quando do início da execução da iniciativa estratégica, a equipe responsável pela execução recebe as orientações </w:t>
      </w:r>
      <w:proofErr w:type="gramStart"/>
      <w:r w:rsidRPr="002805DF">
        <w:rPr>
          <w:rFonts w:ascii="Times New Roman" w:hAnsi="Times New Roman" w:cs="Times New Roman"/>
          <w:sz w:val="24"/>
          <w:szCs w:val="24"/>
        </w:rPr>
        <w:t>técnicas quanto à metodologia de gerenciamento de projetos aprovada e adotada por este TRE-BA</w:t>
      </w:r>
      <w:proofErr w:type="gramEnd"/>
      <w:r w:rsidRPr="002805DF">
        <w:rPr>
          <w:rFonts w:ascii="Times New Roman" w:hAnsi="Times New Roman" w:cs="Times New Roman"/>
          <w:sz w:val="24"/>
          <w:szCs w:val="24"/>
        </w:rPr>
        <w:t>, conforme Portaria</w:t>
      </w:r>
      <w:r w:rsidR="00D92A0A" w:rsidRPr="002805DF">
        <w:rPr>
          <w:rFonts w:ascii="Times New Roman" w:hAnsi="Times New Roman" w:cs="Times New Roman"/>
          <w:sz w:val="24"/>
          <w:szCs w:val="24"/>
        </w:rPr>
        <w:t xml:space="preserve"> nº </w:t>
      </w:r>
      <w:r w:rsidRPr="002805DF">
        <w:rPr>
          <w:rFonts w:ascii="Times New Roman" w:hAnsi="Times New Roman" w:cs="Times New Roman"/>
          <w:sz w:val="24"/>
          <w:szCs w:val="24"/>
        </w:rPr>
        <w:t>335/2014, sendo informada da necessidade de formalização do projeto, contendo o cronograma das atividades pertinentes, a fim de conferir maior efetividade ao controle e monitoramento da iniciativa. A Seção de Gerenciamento de Projetos, além de encaminhar via PAD e/ou e-mail o material que deverá ser utilizado informa que todos os formulários necessários, bem como o manual sobre a metodologia do TRE-BA estão disponíveis no Portal da Estratégia e podem ser encontrados acessando o link: http://intranet.tre-ba.gov.br/institucional/unidades/diretoria-geral/planejamentoestrategico.</w:t>
      </w:r>
    </w:p>
    <w:p w:rsidR="00287F17" w:rsidRPr="002805DF" w:rsidRDefault="00287F17" w:rsidP="00287F17">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Com relação à indicação de servidor para atuar como gerente do Projeto Estratégico PLANOP, a COPEG informou, no PAD nº 5</w:t>
      </w:r>
      <w:r w:rsidR="00E543AB" w:rsidRPr="002805DF">
        <w:rPr>
          <w:rFonts w:ascii="Times New Roman" w:hAnsi="Times New Roman" w:cs="Times New Roman"/>
          <w:sz w:val="24"/>
          <w:szCs w:val="24"/>
        </w:rPr>
        <w:t>.</w:t>
      </w:r>
      <w:r w:rsidRPr="002805DF">
        <w:rPr>
          <w:rFonts w:ascii="Times New Roman" w:hAnsi="Times New Roman" w:cs="Times New Roman"/>
          <w:sz w:val="24"/>
          <w:szCs w:val="24"/>
        </w:rPr>
        <w:t>067/2018 (Doc. nº 79</w:t>
      </w:r>
      <w:r w:rsidR="00E543AB" w:rsidRPr="002805DF">
        <w:rPr>
          <w:rFonts w:ascii="Times New Roman" w:hAnsi="Times New Roman" w:cs="Times New Roman"/>
          <w:sz w:val="24"/>
          <w:szCs w:val="24"/>
        </w:rPr>
        <w:t>.</w:t>
      </w:r>
      <w:r w:rsidRPr="002805DF">
        <w:rPr>
          <w:rFonts w:ascii="Times New Roman" w:hAnsi="Times New Roman" w:cs="Times New Roman"/>
          <w:sz w:val="24"/>
          <w:szCs w:val="24"/>
        </w:rPr>
        <w:t xml:space="preserve">866/2018) que, em novembro/2016, expediu o memorando nº 18/2016/COPEG aos patrocinadores dos Projetos Estratégicos, solicitando indicação de gerentes e seus substitutos para os respectivos projetos. Esclareceu que o Projeto Estratégico PLANOP constava no rol dos projetos elencados no referido memorando (Doc. nº 221266/2016), tendo em vista a previsão do início de sua execução para o segundo semestre de 2017. Acrescentou que, à época, tendo em vista a complexidade para o desenvolvimento do mencionado projeto, pontuou que, preliminarmente à indicação do gerente, seria necessária uma capacitação em Planejamento Operacional, envolvendo todas as áreas do TRE-BA, conforme consta Doc. </w:t>
      </w:r>
      <w:proofErr w:type="gramStart"/>
      <w:r w:rsidRPr="002805DF">
        <w:rPr>
          <w:rFonts w:ascii="Times New Roman" w:hAnsi="Times New Roman" w:cs="Times New Roman"/>
          <w:sz w:val="24"/>
          <w:szCs w:val="24"/>
        </w:rPr>
        <w:t>nº</w:t>
      </w:r>
      <w:proofErr w:type="gramEnd"/>
      <w:r w:rsidRPr="002805DF">
        <w:rPr>
          <w:rFonts w:ascii="Times New Roman" w:hAnsi="Times New Roman" w:cs="Times New Roman"/>
          <w:sz w:val="24"/>
          <w:szCs w:val="24"/>
        </w:rPr>
        <w:t xml:space="preserve"> 227</w:t>
      </w:r>
      <w:r w:rsidR="00E93046" w:rsidRPr="002805DF">
        <w:rPr>
          <w:rFonts w:ascii="Times New Roman" w:hAnsi="Times New Roman" w:cs="Times New Roman"/>
          <w:sz w:val="24"/>
          <w:szCs w:val="24"/>
        </w:rPr>
        <w:t>.</w:t>
      </w:r>
      <w:r w:rsidRPr="002805DF">
        <w:rPr>
          <w:rFonts w:ascii="Times New Roman" w:hAnsi="Times New Roman" w:cs="Times New Roman"/>
          <w:sz w:val="24"/>
          <w:szCs w:val="24"/>
        </w:rPr>
        <w:t xml:space="preserve">374/2016. </w:t>
      </w:r>
    </w:p>
    <w:p w:rsidR="00287F17" w:rsidRPr="002805DF" w:rsidRDefault="00287F17" w:rsidP="00287F17">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Esclareceu que, em 2017, ao analisar os cursos ofertados no Plano Anual de Capacitação (PAC) e a compatibilização destes com as ações estratégicas a serem implantadas no exercício, sugeriu a inclusão de capacitação relacionada aos temas acessibilidade e planejamento operacional, tendo em vista a execução de algumas iniciativas estratégicas no referido exercício, consoante Doc. </w:t>
      </w:r>
      <w:proofErr w:type="gramStart"/>
      <w:r w:rsidRPr="002805DF">
        <w:rPr>
          <w:rFonts w:ascii="Times New Roman" w:hAnsi="Times New Roman" w:cs="Times New Roman"/>
          <w:sz w:val="24"/>
          <w:szCs w:val="24"/>
        </w:rPr>
        <w:t>nº</w:t>
      </w:r>
      <w:proofErr w:type="gramEnd"/>
      <w:r w:rsidRPr="002805DF">
        <w:rPr>
          <w:rFonts w:ascii="Times New Roman" w:hAnsi="Times New Roman" w:cs="Times New Roman"/>
          <w:sz w:val="24"/>
          <w:szCs w:val="24"/>
        </w:rPr>
        <w:t xml:space="preserve"> 25957/2017, sendo o curso solicitado incluído no PAC 2017, embora não realizado no exercício (Doc. nº 26960/2017). </w:t>
      </w:r>
    </w:p>
    <w:p w:rsidR="00287F17" w:rsidRPr="002805DF" w:rsidRDefault="00287F17" w:rsidP="00287F17">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Diante do exposto, considerando a complexidade para </w:t>
      </w:r>
      <w:proofErr w:type="gramStart"/>
      <w:r w:rsidRPr="002805DF">
        <w:rPr>
          <w:rFonts w:ascii="Times New Roman" w:hAnsi="Times New Roman" w:cs="Times New Roman"/>
          <w:sz w:val="24"/>
          <w:szCs w:val="24"/>
        </w:rPr>
        <w:t>implementar</w:t>
      </w:r>
      <w:proofErr w:type="gramEnd"/>
      <w:r w:rsidRPr="002805DF">
        <w:rPr>
          <w:rFonts w:ascii="Times New Roman" w:hAnsi="Times New Roman" w:cs="Times New Roman"/>
          <w:sz w:val="24"/>
          <w:szCs w:val="24"/>
        </w:rPr>
        <w:t xml:space="preserve"> o PLANOP nos moldes já delineados e a necessidade de capacitação dos gestores envolvidos, reportou proposta de adiamento da iniciativa para o primeiro semestre de 2019, a ser objeto de deliberação em RAE agendada para maio/2018, o que possibilitaria também alinhar o projeto ao planejamento estratégico e ao Guia Prático de Contratação, no que tange à etapa de planejamento - “Levantamento de Necessidade”. Acrescentou, por fim, que, na oportunidade, seria sugerida, ainda, a definição dos gestores a serem capacitados em Planejamento Operacional, no intuito de rediscutir o escopo do projeto de modo a adequá-lo à realidade do TRE-BA.</w:t>
      </w:r>
    </w:p>
    <w:p w:rsidR="00E543AB" w:rsidRPr="002805DF" w:rsidRDefault="00E543AB" w:rsidP="00E543AB">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No tocante à instituição de mecanismos de controle destinados a assegurar observância ao quanto disposto nos </w:t>
      </w:r>
      <w:proofErr w:type="spellStart"/>
      <w:r w:rsidRPr="002805DF">
        <w:rPr>
          <w:rFonts w:ascii="Times New Roman" w:hAnsi="Times New Roman" w:cs="Times New Roman"/>
          <w:sz w:val="24"/>
          <w:szCs w:val="24"/>
        </w:rPr>
        <w:t>arts</w:t>
      </w:r>
      <w:proofErr w:type="spellEnd"/>
      <w:r w:rsidRPr="002805DF">
        <w:rPr>
          <w:rFonts w:ascii="Times New Roman" w:hAnsi="Times New Roman" w:cs="Times New Roman"/>
          <w:sz w:val="24"/>
          <w:szCs w:val="24"/>
        </w:rPr>
        <w:t xml:space="preserve">. 152 e 153 do Regulamento Interno da Secretaria do TRE-BA, a COPEG registrou, ainda no Doc. </w:t>
      </w:r>
      <w:proofErr w:type="gramStart"/>
      <w:r w:rsidRPr="002805DF">
        <w:rPr>
          <w:rFonts w:ascii="Times New Roman" w:hAnsi="Times New Roman" w:cs="Times New Roman"/>
          <w:sz w:val="24"/>
          <w:szCs w:val="24"/>
        </w:rPr>
        <w:t>nº</w:t>
      </w:r>
      <w:proofErr w:type="gramEnd"/>
      <w:r w:rsidRPr="002805DF">
        <w:rPr>
          <w:rFonts w:ascii="Times New Roman" w:hAnsi="Times New Roman" w:cs="Times New Roman"/>
          <w:sz w:val="24"/>
          <w:szCs w:val="24"/>
        </w:rPr>
        <w:t xml:space="preserve"> 79.866/2018, que, após a formalização da indicação de servidor para exercer </w:t>
      </w:r>
      <w:r w:rsidRPr="002805DF">
        <w:rPr>
          <w:rFonts w:ascii="Times New Roman" w:hAnsi="Times New Roman" w:cs="Times New Roman"/>
          <w:sz w:val="24"/>
          <w:szCs w:val="24"/>
        </w:rPr>
        <w:lastRenderedPageBreak/>
        <w:t>a gerência de projeto estratégico, a Seção de Gerenciamento de Projetos (SEGEPRO) informaria ao patrocinador, via PAD, acerca das providências a serem adotadas para assegurar capacitação técnica do servidor designado, bem como procederia à ciência do teor do art. 153, da Resolução Administrativa nº 5/2013, no intuito de evitar que o mesmo servidor atue como gerente em projetos simultâneos. Acrescentou que os patrocinadores seriam também orientados a apresentar justificativa quando da impossibilidade de atender ao que preceitua o referido dispositivo, o que seria submetido à apreciação superior.</w:t>
      </w:r>
    </w:p>
    <w:p w:rsidR="00D70014" w:rsidRDefault="00D70014" w:rsidP="00D70014">
      <w:pPr>
        <w:numPr>
          <w:ilvl w:val="3"/>
          <w:numId w:val="1"/>
        </w:numPr>
        <w:spacing w:after="0" w:line="240" w:lineRule="auto"/>
        <w:ind w:left="1077" w:hanging="1077"/>
        <w:jc w:val="both"/>
        <w:rPr>
          <w:rFonts w:ascii="Times New Roman" w:hAnsi="Times New Roman" w:cs="Times New Roman"/>
          <w:i/>
          <w:sz w:val="24"/>
          <w:szCs w:val="24"/>
        </w:rPr>
      </w:pPr>
      <w:r w:rsidRPr="00727C73">
        <w:rPr>
          <w:rFonts w:ascii="Times New Roman" w:hAnsi="Times New Roman" w:cs="Times New Roman"/>
          <w:i/>
          <w:sz w:val="24"/>
          <w:szCs w:val="24"/>
        </w:rPr>
        <w:t>Conclusão da equipe de auditoria</w:t>
      </w:r>
      <w:r w:rsidR="00125CA1" w:rsidRPr="00727C73">
        <w:rPr>
          <w:rFonts w:ascii="Times New Roman" w:hAnsi="Times New Roman" w:cs="Times New Roman"/>
          <w:i/>
          <w:sz w:val="24"/>
          <w:szCs w:val="24"/>
        </w:rPr>
        <w:t>:</w:t>
      </w:r>
    </w:p>
    <w:p w:rsidR="00517335" w:rsidRPr="000904BE" w:rsidRDefault="00517335" w:rsidP="00517335">
      <w:pPr>
        <w:numPr>
          <w:ilvl w:val="4"/>
          <w:numId w:val="1"/>
        </w:numPr>
        <w:spacing w:after="0" w:line="240" w:lineRule="auto"/>
        <w:jc w:val="both"/>
        <w:rPr>
          <w:rFonts w:ascii="Times New Roman" w:hAnsi="Times New Roman" w:cs="Times New Roman"/>
          <w:color w:val="000000" w:themeColor="text1"/>
          <w:sz w:val="24"/>
          <w:szCs w:val="24"/>
        </w:rPr>
      </w:pPr>
      <w:r w:rsidRPr="000904BE">
        <w:rPr>
          <w:rFonts w:ascii="Times New Roman" w:hAnsi="Times New Roman" w:cs="Times New Roman"/>
          <w:color w:val="000000" w:themeColor="text1"/>
          <w:sz w:val="24"/>
          <w:szCs w:val="24"/>
        </w:rPr>
        <w:t xml:space="preserve">Preliminarmente, registre-se revisão da Comissão Permanente de Ética organizacional, por meio da Portaria da Presidência nº </w:t>
      </w:r>
      <w:r w:rsidR="000904BE" w:rsidRPr="000904BE">
        <w:rPr>
          <w:rFonts w:ascii="Times New Roman" w:hAnsi="Times New Roman" w:cs="Times New Roman"/>
          <w:color w:val="000000" w:themeColor="text1"/>
          <w:sz w:val="24"/>
          <w:szCs w:val="24"/>
        </w:rPr>
        <w:t>164</w:t>
      </w:r>
      <w:r w:rsidRPr="000904BE">
        <w:rPr>
          <w:rFonts w:ascii="Times New Roman" w:hAnsi="Times New Roman" w:cs="Times New Roman"/>
          <w:color w:val="000000" w:themeColor="text1"/>
          <w:sz w:val="24"/>
          <w:szCs w:val="24"/>
        </w:rPr>
        <w:t xml:space="preserve">, de </w:t>
      </w:r>
      <w:r w:rsidR="000904BE" w:rsidRPr="000904BE">
        <w:rPr>
          <w:rFonts w:ascii="Times New Roman" w:hAnsi="Times New Roman" w:cs="Times New Roman"/>
          <w:color w:val="000000" w:themeColor="text1"/>
          <w:sz w:val="24"/>
          <w:szCs w:val="24"/>
        </w:rPr>
        <w:t>27</w:t>
      </w:r>
      <w:r w:rsidRPr="000904BE">
        <w:rPr>
          <w:rFonts w:ascii="Times New Roman" w:hAnsi="Times New Roman" w:cs="Times New Roman"/>
          <w:color w:val="000000" w:themeColor="text1"/>
          <w:sz w:val="24"/>
          <w:szCs w:val="24"/>
        </w:rPr>
        <w:t xml:space="preserve"> de </w:t>
      </w:r>
      <w:r w:rsidR="000904BE" w:rsidRPr="000904BE">
        <w:rPr>
          <w:rFonts w:ascii="Times New Roman" w:hAnsi="Times New Roman" w:cs="Times New Roman"/>
          <w:color w:val="000000" w:themeColor="text1"/>
          <w:sz w:val="24"/>
          <w:szCs w:val="24"/>
        </w:rPr>
        <w:t>março</w:t>
      </w:r>
      <w:r w:rsidRPr="000904BE">
        <w:rPr>
          <w:rFonts w:ascii="Times New Roman" w:hAnsi="Times New Roman" w:cs="Times New Roman"/>
          <w:color w:val="000000" w:themeColor="text1"/>
          <w:sz w:val="24"/>
          <w:szCs w:val="24"/>
        </w:rPr>
        <w:t xml:space="preserve"> de 2018, que assegurou designação de novo Presidente e membro para condução dos trabalhos pertinentes ao referido grupo de trabalho e, consequentemente, do </w:t>
      </w:r>
      <w:proofErr w:type="gramStart"/>
      <w:r w:rsidRPr="000904BE">
        <w:rPr>
          <w:rFonts w:ascii="Times New Roman" w:hAnsi="Times New Roman" w:cs="Times New Roman"/>
          <w:color w:val="000000" w:themeColor="text1"/>
          <w:sz w:val="24"/>
          <w:szCs w:val="24"/>
        </w:rPr>
        <w:t>Projeto Ética no TRE-BA</w:t>
      </w:r>
      <w:proofErr w:type="gramEnd"/>
      <w:r w:rsidRPr="000904BE">
        <w:rPr>
          <w:rFonts w:ascii="Times New Roman" w:hAnsi="Times New Roman" w:cs="Times New Roman"/>
          <w:color w:val="000000" w:themeColor="text1"/>
          <w:sz w:val="24"/>
          <w:szCs w:val="24"/>
        </w:rPr>
        <w:t>.</w:t>
      </w:r>
    </w:p>
    <w:p w:rsidR="00830FE7" w:rsidRPr="008D6222" w:rsidRDefault="00142BD3" w:rsidP="0075092C">
      <w:pPr>
        <w:numPr>
          <w:ilvl w:val="4"/>
          <w:numId w:val="1"/>
        </w:numPr>
        <w:spacing w:after="0" w:line="240" w:lineRule="auto"/>
        <w:jc w:val="both"/>
        <w:rPr>
          <w:rFonts w:ascii="Times New Roman" w:hAnsi="Times New Roman" w:cs="Times New Roman"/>
          <w:strike/>
          <w:spacing w:val="-2"/>
          <w:sz w:val="24"/>
          <w:szCs w:val="24"/>
        </w:rPr>
      </w:pPr>
      <w:r w:rsidRPr="000904BE">
        <w:rPr>
          <w:rFonts w:ascii="Times New Roman" w:hAnsi="Times New Roman" w:cs="Times New Roman"/>
          <w:color w:val="000000" w:themeColor="text1"/>
          <w:spacing w:val="-2"/>
          <w:sz w:val="24"/>
          <w:szCs w:val="24"/>
        </w:rPr>
        <w:t>Não obstante esclarecimentos prestados pela Diretora</w:t>
      </w:r>
      <w:r w:rsidRPr="00517335">
        <w:rPr>
          <w:rFonts w:ascii="Times New Roman" w:hAnsi="Times New Roman" w:cs="Times New Roman"/>
          <w:spacing w:val="-2"/>
          <w:sz w:val="24"/>
          <w:szCs w:val="24"/>
        </w:rPr>
        <w:t>-Geral da Secretaria deste Regional, notadamente quanto à</w:t>
      </w:r>
      <w:r w:rsidR="006D7989" w:rsidRPr="00517335">
        <w:rPr>
          <w:rFonts w:ascii="Times New Roman" w:hAnsi="Times New Roman" w:cs="Times New Roman"/>
          <w:spacing w:val="-2"/>
          <w:sz w:val="24"/>
          <w:szCs w:val="24"/>
        </w:rPr>
        <w:t xml:space="preserve"> adoção de sistemática de ratificação posterior da gerência e equipe responsável pela condução dos projetos estratégicos, por meio de assinatura do </w:t>
      </w:r>
      <w:r w:rsidR="00622BB8" w:rsidRPr="00517335">
        <w:rPr>
          <w:rFonts w:ascii="Times New Roman" w:hAnsi="Times New Roman" w:cs="Times New Roman"/>
          <w:spacing w:val="-2"/>
          <w:sz w:val="24"/>
          <w:szCs w:val="24"/>
        </w:rPr>
        <w:t>Plano Geral do Projeto</w:t>
      </w:r>
      <w:r w:rsidR="006D7989" w:rsidRPr="00517335">
        <w:rPr>
          <w:rFonts w:ascii="Times New Roman" w:hAnsi="Times New Roman" w:cs="Times New Roman"/>
          <w:spacing w:val="-2"/>
          <w:sz w:val="24"/>
          <w:szCs w:val="24"/>
        </w:rPr>
        <w:t xml:space="preserve">, </w:t>
      </w:r>
      <w:proofErr w:type="gramStart"/>
      <w:r w:rsidR="006D7989" w:rsidRPr="00517335">
        <w:rPr>
          <w:rFonts w:ascii="Times New Roman" w:hAnsi="Times New Roman" w:cs="Times New Roman"/>
          <w:spacing w:val="-2"/>
          <w:sz w:val="24"/>
          <w:szCs w:val="24"/>
        </w:rPr>
        <w:t>entende-se</w:t>
      </w:r>
      <w:proofErr w:type="gramEnd"/>
      <w:r w:rsidR="006D7989" w:rsidRPr="00517335">
        <w:rPr>
          <w:rFonts w:ascii="Times New Roman" w:hAnsi="Times New Roman" w:cs="Times New Roman"/>
          <w:spacing w:val="-2"/>
          <w:sz w:val="24"/>
          <w:szCs w:val="24"/>
        </w:rPr>
        <w:t xml:space="preserve"> que a sinalização formal da designação do gerente do Projeto, consoante previsão inserta no art. </w:t>
      </w:r>
      <w:r w:rsidR="00727C73" w:rsidRPr="00517335">
        <w:rPr>
          <w:rFonts w:ascii="Times New Roman" w:hAnsi="Times New Roman" w:cs="Times New Roman"/>
          <w:spacing w:val="-2"/>
          <w:sz w:val="24"/>
          <w:szCs w:val="24"/>
        </w:rPr>
        <w:t>152</w:t>
      </w:r>
      <w:r w:rsidR="006D7989" w:rsidRPr="00517335">
        <w:rPr>
          <w:rFonts w:ascii="Times New Roman" w:hAnsi="Times New Roman" w:cs="Times New Roman"/>
          <w:spacing w:val="-2"/>
          <w:sz w:val="24"/>
          <w:szCs w:val="24"/>
        </w:rPr>
        <w:t xml:space="preserve"> </w:t>
      </w:r>
      <w:r w:rsidR="00E543AB" w:rsidRPr="002805DF">
        <w:rPr>
          <w:rFonts w:ascii="Times New Roman" w:hAnsi="Times New Roman" w:cs="Times New Roman"/>
          <w:spacing w:val="-2"/>
          <w:sz w:val="24"/>
          <w:szCs w:val="24"/>
        </w:rPr>
        <w:t>da Resolução Administrativa TRE-BA nº 5/2013, recepcionada pelo art. 145 do atual Regulamento Interno da Secretaria do Tribunal</w:t>
      </w:r>
      <w:r w:rsidR="006D7989" w:rsidRPr="002805DF">
        <w:rPr>
          <w:rFonts w:ascii="Times New Roman" w:hAnsi="Times New Roman" w:cs="Times New Roman"/>
          <w:spacing w:val="-2"/>
          <w:sz w:val="24"/>
          <w:szCs w:val="24"/>
        </w:rPr>
        <w:t>, c</w:t>
      </w:r>
      <w:r w:rsidR="006D7989" w:rsidRPr="00517335">
        <w:rPr>
          <w:rFonts w:ascii="Times New Roman" w:hAnsi="Times New Roman" w:cs="Times New Roman"/>
          <w:spacing w:val="-2"/>
          <w:sz w:val="24"/>
          <w:szCs w:val="24"/>
        </w:rPr>
        <w:t xml:space="preserve">onstitui etapa relevante para a </w:t>
      </w:r>
      <w:proofErr w:type="spellStart"/>
      <w:r w:rsidR="006D7989" w:rsidRPr="00517335">
        <w:rPr>
          <w:rFonts w:ascii="Times New Roman" w:hAnsi="Times New Roman" w:cs="Times New Roman"/>
          <w:spacing w:val="-2"/>
          <w:sz w:val="24"/>
          <w:szCs w:val="24"/>
        </w:rPr>
        <w:t>cientificação</w:t>
      </w:r>
      <w:proofErr w:type="spellEnd"/>
      <w:r w:rsidR="006D7989" w:rsidRPr="00517335">
        <w:rPr>
          <w:rFonts w:ascii="Times New Roman" w:hAnsi="Times New Roman" w:cs="Times New Roman"/>
          <w:spacing w:val="-2"/>
          <w:sz w:val="24"/>
          <w:szCs w:val="24"/>
        </w:rPr>
        <w:t xml:space="preserve"> do gerente designado quanto ao </w:t>
      </w:r>
      <w:r w:rsidR="006D7989" w:rsidRPr="00517335">
        <w:rPr>
          <w:rFonts w:ascii="Times New Roman" w:hAnsi="Times New Roman" w:cs="Times New Roman"/>
          <w:i/>
          <w:spacing w:val="-2"/>
          <w:sz w:val="24"/>
          <w:szCs w:val="24"/>
        </w:rPr>
        <w:t>múnus</w:t>
      </w:r>
      <w:r w:rsidR="006D7989" w:rsidRPr="00517335">
        <w:rPr>
          <w:rFonts w:ascii="Times New Roman" w:hAnsi="Times New Roman" w:cs="Times New Roman"/>
          <w:spacing w:val="-2"/>
          <w:sz w:val="24"/>
          <w:szCs w:val="24"/>
        </w:rPr>
        <w:t xml:space="preserve"> recebido e respectivas obrigações associadas, sobretudo em se tratando de iniciativas destinadas a assegurar a concretização da missão e o alcance da visão de futuro institucionais, num ciclo de tempo previamente definido. </w:t>
      </w:r>
    </w:p>
    <w:p w:rsidR="008D6222" w:rsidRPr="008D6222" w:rsidRDefault="008D6222" w:rsidP="0075092C">
      <w:pPr>
        <w:numPr>
          <w:ilvl w:val="4"/>
          <w:numId w:val="1"/>
        </w:numPr>
        <w:spacing w:after="0" w:line="240" w:lineRule="auto"/>
        <w:jc w:val="both"/>
        <w:rPr>
          <w:rFonts w:ascii="Times New Roman" w:hAnsi="Times New Roman" w:cs="Times New Roman"/>
          <w:strike/>
          <w:color w:val="000099"/>
          <w:spacing w:val="-2"/>
          <w:sz w:val="24"/>
          <w:szCs w:val="24"/>
        </w:rPr>
      </w:pPr>
      <w:r w:rsidRPr="002805DF">
        <w:rPr>
          <w:rFonts w:ascii="Times New Roman" w:hAnsi="Times New Roman" w:cs="Times New Roman"/>
          <w:spacing w:val="-2"/>
          <w:sz w:val="24"/>
          <w:szCs w:val="24"/>
        </w:rPr>
        <w:t>No tocante à vedação de designação simultânea de um mesmo gerente para mais de uma iniciativa, constante do art. 153, da Resolução Administrativa TRE-BA nº 5/2013, considerando ausência de recepção expressa do referido comando pelo atual Regulamento Interno da Secretaria (Resolução Administrativa nº 12/2018), bem como de qualquer menção, na metodologia de gerenciamento de projetos institucional, à sobredita obrigação de não fazer, entende-se insubsistente a desconformidade anteriormente evidenciada, em que pese tratar-se de relevante prática</w:t>
      </w:r>
      <w:r w:rsidR="003F04E0" w:rsidRPr="002805DF">
        <w:rPr>
          <w:rFonts w:ascii="Times New Roman" w:hAnsi="Times New Roman" w:cs="Times New Roman"/>
          <w:spacing w:val="-2"/>
          <w:sz w:val="24"/>
          <w:szCs w:val="24"/>
        </w:rPr>
        <w:t>,</w:t>
      </w:r>
      <w:r w:rsidRPr="002805DF">
        <w:rPr>
          <w:rFonts w:ascii="Times New Roman" w:hAnsi="Times New Roman" w:cs="Times New Roman"/>
          <w:spacing w:val="-2"/>
          <w:sz w:val="24"/>
          <w:szCs w:val="24"/>
        </w:rPr>
        <w:t xml:space="preserve"> tendente a assegurar o </w:t>
      </w:r>
      <w:r w:rsidR="003F04E0" w:rsidRPr="002805DF">
        <w:rPr>
          <w:rFonts w:ascii="Times New Roman" w:hAnsi="Times New Roman" w:cs="Times New Roman"/>
          <w:spacing w:val="-2"/>
          <w:sz w:val="24"/>
          <w:szCs w:val="24"/>
        </w:rPr>
        <w:t>sucesso de</w:t>
      </w:r>
      <w:r w:rsidRPr="002805DF">
        <w:rPr>
          <w:rFonts w:ascii="Times New Roman" w:hAnsi="Times New Roman" w:cs="Times New Roman"/>
          <w:spacing w:val="-2"/>
          <w:sz w:val="24"/>
          <w:szCs w:val="24"/>
        </w:rPr>
        <w:t xml:space="preserve"> iniciativa</w:t>
      </w:r>
      <w:r w:rsidR="003F04E0" w:rsidRPr="002805DF">
        <w:rPr>
          <w:rFonts w:ascii="Times New Roman" w:hAnsi="Times New Roman" w:cs="Times New Roman"/>
          <w:spacing w:val="-2"/>
          <w:sz w:val="24"/>
          <w:szCs w:val="24"/>
        </w:rPr>
        <w:t xml:space="preserve">s </w:t>
      </w:r>
      <w:r w:rsidRPr="002805DF">
        <w:rPr>
          <w:rFonts w:ascii="Times New Roman" w:hAnsi="Times New Roman" w:cs="Times New Roman"/>
          <w:spacing w:val="-2"/>
          <w:sz w:val="24"/>
          <w:szCs w:val="24"/>
        </w:rPr>
        <w:t xml:space="preserve">ao afastar a possibilidade de </w:t>
      </w:r>
      <w:r w:rsidR="003F04E0" w:rsidRPr="002805DF">
        <w:rPr>
          <w:rFonts w:ascii="Times New Roman" w:hAnsi="Times New Roman" w:cs="Times New Roman"/>
          <w:spacing w:val="-2"/>
          <w:sz w:val="24"/>
          <w:szCs w:val="24"/>
        </w:rPr>
        <w:t>concentração</w:t>
      </w:r>
      <w:r w:rsidRPr="002805DF">
        <w:rPr>
          <w:rFonts w:ascii="Times New Roman" w:hAnsi="Times New Roman" w:cs="Times New Roman"/>
          <w:spacing w:val="-2"/>
          <w:sz w:val="24"/>
          <w:szCs w:val="24"/>
        </w:rPr>
        <w:t xml:space="preserve"> de atividades</w:t>
      </w:r>
      <w:r w:rsidR="003F04E0" w:rsidRPr="002805DF">
        <w:rPr>
          <w:rFonts w:ascii="Times New Roman" w:hAnsi="Times New Roman" w:cs="Times New Roman"/>
          <w:spacing w:val="-2"/>
          <w:sz w:val="24"/>
          <w:szCs w:val="24"/>
        </w:rPr>
        <w:t xml:space="preserve"> atinentes a mais de um projeto estratégico, num mesmo gerente</w:t>
      </w:r>
      <w:r w:rsidRPr="002805DF">
        <w:rPr>
          <w:rFonts w:ascii="Times New Roman" w:hAnsi="Times New Roman" w:cs="Times New Roman"/>
          <w:spacing w:val="-2"/>
          <w:sz w:val="24"/>
          <w:szCs w:val="24"/>
        </w:rPr>
        <w:t xml:space="preserve">, notadamente </w:t>
      </w:r>
      <w:r w:rsidR="003F04E0" w:rsidRPr="002805DF">
        <w:rPr>
          <w:rFonts w:ascii="Times New Roman" w:hAnsi="Times New Roman" w:cs="Times New Roman"/>
          <w:spacing w:val="-2"/>
          <w:sz w:val="24"/>
          <w:szCs w:val="24"/>
        </w:rPr>
        <w:t>na</w:t>
      </w:r>
      <w:r w:rsidRPr="002805DF">
        <w:rPr>
          <w:rFonts w:ascii="Times New Roman" w:hAnsi="Times New Roman" w:cs="Times New Roman"/>
          <w:spacing w:val="-2"/>
          <w:sz w:val="24"/>
          <w:szCs w:val="24"/>
        </w:rPr>
        <w:t xml:space="preserve"> realidade </w:t>
      </w:r>
      <w:r w:rsidR="003F04E0" w:rsidRPr="002805DF">
        <w:rPr>
          <w:rFonts w:ascii="Times New Roman" w:hAnsi="Times New Roman" w:cs="Times New Roman"/>
          <w:spacing w:val="-2"/>
          <w:sz w:val="24"/>
          <w:szCs w:val="24"/>
        </w:rPr>
        <w:t xml:space="preserve">vivenciada pelo Tribunal, </w:t>
      </w:r>
      <w:r w:rsidRPr="002805DF">
        <w:rPr>
          <w:rFonts w:ascii="Times New Roman" w:hAnsi="Times New Roman" w:cs="Times New Roman"/>
          <w:spacing w:val="-2"/>
          <w:sz w:val="24"/>
          <w:szCs w:val="24"/>
        </w:rPr>
        <w:t xml:space="preserve">em que </w:t>
      </w:r>
      <w:r w:rsidR="003F04E0" w:rsidRPr="002805DF">
        <w:rPr>
          <w:rFonts w:ascii="Times New Roman" w:hAnsi="Times New Roman" w:cs="Times New Roman"/>
          <w:spacing w:val="-2"/>
          <w:sz w:val="24"/>
          <w:szCs w:val="24"/>
        </w:rPr>
        <w:t>gestores</w:t>
      </w:r>
      <w:r w:rsidRPr="002805DF">
        <w:rPr>
          <w:rFonts w:ascii="Times New Roman" w:hAnsi="Times New Roman" w:cs="Times New Roman"/>
          <w:spacing w:val="-2"/>
          <w:sz w:val="24"/>
          <w:szCs w:val="24"/>
        </w:rPr>
        <w:t xml:space="preserve"> de projeto</w:t>
      </w:r>
      <w:r w:rsidR="003F04E0" w:rsidRPr="002805DF">
        <w:rPr>
          <w:rFonts w:ascii="Times New Roman" w:hAnsi="Times New Roman" w:cs="Times New Roman"/>
          <w:spacing w:val="-2"/>
          <w:sz w:val="24"/>
          <w:szCs w:val="24"/>
        </w:rPr>
        <w:t>s</w:t>
      </w:r>
      <w:r w:rsidRPr="002805DF">
        <w:rPr>
          <w:rFonts w:ascii="Times New Roman" w:hAnsi="Times New Roman" w:cs="Times New Roman"/>
          <w:spacing w:val="-2"/>
          <w:sz w:val="24"/>
          <w:szCs w:val="24"/>
        </w:rPr>
        <w:t xml:space="preserve"> não </w:t>
      </w:r>
      <w:proofErr w:type="gramStart"/>
      <w:r w:rsidR="003F04E0" w:rsidRPr="002805DF">
        <w:rPr>
          <w:rFonts w:ascii="Times New Roman" w:hAnsi="Times New Roman" w:cs="Times New Roman"/>
          <w:spacing w:val="-2"/>
          <w:sz w:val="24"/>
          <w:szCs w:val="24"/>
        </w:rPr>
        <w:t>atuam,</w:t>
      </w:r>
      <w:proofErr w:type="gramEnd"/>
      <w:r w:rsidR="003F04E0" w:rsidRPr="002805DF">
        <w:rPr>
          <w:rFonts w:ascii="Times New Roman" w:hAnsi="Times New Roman" w:cs="Times New Roman"/>
          <w:spacing w:val="-2"/>
          <w:sz w:val="24"/>
          <w:szCs w:val="24"/>
        </w:rPr>
        <w:t xml:space="preserve"> de forma exclusiva, na condução das iniciativas, acumulando funções decorrentes da unidade de lotação, muitas vezes gerenciais</w:t>
      </w:r>
      <w:r w:rsidRPr="002805DF">
        <w:rPr>
          <w:rFonts w:ascii="Times New Roman" w:hAnsi="Times New Roman" w:cs="Times New Roman"/>
          <w:spacing w:val="-2"/>
          <w:sz w:val="24"/>
          <w:szCs w:val="24"/>
        </w:rPr>
        <w:t>.</w:t>
      </w:r>
    </w:p>
    <w:p w:rsidR="00830FE7" w:rsidRPr="002805DF" w:rsidRDefault="00622BB8" w:rsidP="0075092C">
      <w:pPr>
        <w:numPr>
          <w:ilvl w:val="4"/>
          <w:numId w:val="1"/>
        </w:numPr>
        <w:spacing w:after="0" w:line="240" w:lineRule="auto"/>
        <w:jc w:val="both"/>
        <w:rPr>
          <w:rFonts w:ascii="Times New Roman" w:hAnsi="Times New Roman" w:cs="Times New Roman"/>
          <w:strike/>
          <w:sz w:val="24"/>
          <w:szCs w:val="24"/>
        </w:rPr>
      </w:pPr>
      <w:r w:rsidRPr="00D92A0A">
        <w:rPr>
          <w:rFonts w:ascii="Times New Roman" w:hAnsi="Times New Roman" w:cs="Times New Roman"/>
          <w:sz w:val="24"/>
          <w:szCs w:val="24"/>
        </w:rPr>
        <w:t>Adicionalmente, a expedição de determinação</w:t>
      </w:r>
      <w:r w:rsidR="008D6222">
        <w:rPr>
          <w:rFonts w:ascii="Times New Roman" w:hAnsi="Times New Roman" w:cs="Times New Roman"/>
          <w:sz w:val="24"/>
          <w:szCs w:val="24"/>
        </w:rPr>
        <w:t>,</w:t>
      </w:r>
      <w:r w:rsidRPr="00D92A0A">
        <w:rPr>
          <w:rFonts w:ascii="Times New Roman" w:hAnsi="Times New Roman" w:cs="Times New Roman"/>
          <w:sz w:val="24"/>
          <w:szCs w:val="24"/>
        </w:rPr>
        <w:t xml:space="preserve"> </w:t>
      </w:r>
      <w:r w:rsidR="00E543AB" w:rsidRPr="002805DF">
        <w:rPr>
          <w:rFonts w:ascii="Times New Roman" w:hAnsi="Times New Roman" w:cs="Times New Roman"/>
          <w:sz w:val="24"/>
          <w:szCs w:val="24"/>
        </w:rPr>
        <w:t xml:space="preserve">pela ASSESD </w:t>
      </w:r>
      <w:r w:rsidRPr="002805DF">
        <w:rPr>
          <w:rFonts w:ascii="Times New Roman" w:hAnsi="Times New Roman" w:cs="Times New Roman"/>
          <w:sz w:val="24"/>
          <w:szCs w:val="24"/>
        </w:rPr>
        <w:t xml:space="preserve">à Unidade de gestão estratégica do Órgão, </w:t>
      </w:r>
      <w:r w:rsidR="00E543AB" w:rsidRPr="002805DF">
        <w:rPr>
          <w:rFonts w:ascii="Times New Roman" w:hAnsi="Times New Roman" w:cs="Times New Roman"/>
          <w:sz w:val="24"/>
          <w:szCs w:val="24"/>
        </w:rPr>
        <w:t xml:space="preserve">em 19/4/2017, </w:t>
      </w:r>
      <w:r w:rsidRPr="002805DF">
        <w:rPr>
          <w:rFonts w:ascii="Times New Roman" w:hAnsi="Times New Roman" w:cs="Times New Roman"/>
          <w:sz w:val="24"/>
          <w:szCs w:val="24"/>
        </w:rPr>
        <w:t>no sentido de aperfeiçoamento de controles relativos às atividades de designação de gerentes de projetos</w:t>
      </w:r>
      <w:r w:rsidR="008D6222" w:rsidRPr="002805DF">
        <w:rPr>
          <w:rFonts w:ascii="Times New Roman" w:hAnsi="Times New Roman" w:cs="Times New Roman"/>
          <w:sz w:val="24"/>
          <w:szCs w:val="24"/>
        </w:rPr>
        <w:t xml:space="preserve"> (PAD nº 5.067/2018, Doc. nº 66.003/2018)</w:t>
      </w:r>
      <w:r w:rsidRPr="002805DF">
        <w:rPr>
          <w:rFonts w:ascii="Times New Roman" w:hAnsi="Times New Roman" w:cs="Times New Roman"/>
          <w:sz w:val="24"/>
          <w:szCs w:val="24"/>
        </w:rPr>
        <w:t xml:space="preserve">, repercutirá positivamente na gestão da conformidade e eficiência associadas ao processo de trabalho auditado. </w:t>
      </w:r>
    </w:p>
    <w:p w:rsidR="0075092C" w:rsidRPr="003F04E0" w:rsidRDefault="006D7989" w:rsidP="003F04E0">
      <w:pPr>
        <w:numPr>
          <w:ilvl w:val="4"/>
          <w:numId w:val="1"/>
        </w:numPr>
        <w:spacing w:after="0" w:line="240" w:lineRule="auto"/>
        <w:jc w:val="both"/>
        <w:rPr>
          <w:rFonts w:ascii="Times New Roman" w:hAnsi="Times New Roman" w:cs="Times New Roman"/>
          <w:strike/>
          <w:sz w:val="24"/>
          <w:szCs w:val="24"/>
        </w:rPr>
      </w:pPr>
      <w:r w:rsidRPr="00727C73">
        <w:rPr>
          <w:rFonts w:ascii="Times New Roman" w:hAnsi="Times New Roman" w:cs="Times New Roman"/>
          <w:sz w:val="24"/>
          <w:szCs w:val="24"/>
        </w:rPr>
        <w:t>Nesse sentido,</w:t>
      </w:r>
      <w:r w:rsidR="00622BB8" w:rsidRPr="00727C73">
        <w:rPr>
          <w:rFonts w:ascii="Times New Roman" w:hAnsi="Times New Roman" w:cs="Times New Roman"/>
          <w:sz w:val="24"/>
          <w:szCs w:val="24"/>
        </w:rPr>
        <w:t xml:space="preserve"> </w:t>
      </w:r>
      <w:r w:rsidR="00E543AB" w:rsidRPr="002805DF">
        <w:rPr>
          <w:rFonts w:ascii="Times New Roman" w:hAnsi="Times New Roman" w:cs="Times New Roman"/>
          <w:sz w:val="24"/>
          <w:szCs w:val="24"/>
        </w:rPr>
        <w:t>embora saneadas parcialmente fragilidades anteriormente sinalizadas, considerando ausência de apresentação de</w:t>
      </w:r>
      <w:r w:rsidR="00622BB8" w:rsidRPr="002805DF">
        <w:rPr>
          <w:rFonts w:ascii="Times New Roman" w:hAnsi="Times New Roman" w:cs="Times New Roman"/>
          <w:sz w:val="24"/>
          <w:szCs w:val="24"/>
        </w:rPr>
        <w:t xml:space="preserve"> evidências concorrentes para a elisão </w:t>
      </w:r>
      <w:r w:rsidR="00D92A0A" w:rsidRPr="002805DF">
        <w:rPr>
          <w:rFonts w:ascii="Times New Roman" w:hAnsi="Times New Roman" w:cs="Times New Roman"/>
          <w:sz w:val="24"/>
          <w:szCs w:val="24"/>
        </w:rPr>
        <w:t>imediata e inequívoca</w:t>
      </w:r>
      <w:r w:rsidR="00622BB8" w:rsidRPr="002805DF">
        <w:rPr>
          <w:rFonts w:ascii="Times New Roman" w:hAnsi="Times New Roman" w:cs="Times New Roman"/>
          <w:sz w:val="24"/>
          <w:szCs w:val="24"/>
        </w:rPr>
        <w:t xml:space="preserve"> </w:t>
      </w:r>
      <w:r w:rsidR="00E543AB" w:rsidRPr="002805DF">
        <w:rPr>
          <w:rFonts w:ascii="Times New Roman" w:hAnsi="Times New Roman" w:cs="Times New Roman"/>
          <w:sz w:val="24"/>
          <w:szCs w:val="24"/>
        </w:rPr>
        <w:t>da</w:t>
      </w:r>
      <w:r w:rsidR="003F04E0" w:rsidRPr="002805DF">
        <w:rPr>
          <w:rFonts w:ascii="Times New Roman" w:hAnsi="Times New Roman" w:cs="Times New Roman"/>
          <w:sz w:val="24"/>
          <w:szCs w:val="24"/>
        </w:rPr>
        <w:t>s</w:t>
      </w:r>
      <w:r w:rsidR="00E543AB" w:rsidRPr="002805DF">
        <w:rPr>
          <w:rFonts w:ascii="Times New Roman" w:hAnsi="Times New Roman" w:cs="Times New Roman"/>
          <w:sz w:val="24"/>
          <w:szCs w:val="24"/>
        </w:rPr>
        <w:t xml:space="preserve"> fragilidade</w:t>
      </w:r>
      <w:r w:rsidR="003F04E0" w:rsidRPr="002805DF">
        <w:rPr>
          <w:rFonts w:ascii="Times New Roman" w:hAnsi="Times New Roman" w:cs="Times New Roman"/>
          <w:sz w:val="24"/>
          <w:szCs w:val="24"/>
        </w:rPr>
        <w:t>s</w:t>
      </w:r>
      <w:r w:rsidR="00E543AB" w:rsidRPr="002805DF">
        <w:rPr>
          <w:rFonts w:ascii="Times New Roman" w:hAnsi="Times New Roman" w:cs="Times New Roman"/>
          <w:sz w:val="24"/>
          <w:szCs w:val="24"/>
        </w:rPr>
        <w:t xml:space="preserve"> alusiva</w:t>
      </w:r>
      <w:r w:rsidR="003F04E0" w:rsidRPr="002805DF">
        <w:rPr>
          <w:rFonts w:ascii="Times New Roman" w:hAnsi="Times New Roman" w:cs="Times New Roman"/>
          <w:sz w:val="24"/>
          <w:szCs w:val="24"/>
        </w:rPr>
        <w:t>s</w:t>
      </w:r>
      <w:r w:rsidR="00E543AB" w:rsidRPr="002805DF">
        <w:rPr>
          <w:rFonts w:ascii="Times New Roman" w:hAnsi="Times New Roman" w:cs="Times New Roman"/>
          <w:sz w:val="24"/>
          <w:szCs w:val="24"/>
        </w:rPr>
        <w:t xml:space="preserve"> </w:t>
      </w:r>
      <w:r w:rsidR="003F04E0" w:rsidRPr="002805DF">
        <w:rPr>
          <w:rFonts w:ascii="Times New Roman" w:hAnsi="Times New Roman" w:cs="Times New Roman"/>
          <w:sz w:val="24"/>
          <w:szCs w:val="24"/>
        </w:rPr>
        <w:t xml:space="preserve">à </w:t>
      </w:r>
      <w:r w:rsidR="003F04E0" w:rsidRPr="002805DF">
        <w:rPr>
          <w:rFonts w:ascii="Times New Roman" w:hAnsi="Times New Roman" w:cs="Times New Roman"/>
          <w:sz w:val="24"/>
          <w:szCs w:val="24"/>
        </w:rPr>
        <w:lastRenderedPageBreak/>
        <w:t xml:space="preserve">ausência de formalização/documentação de rotinas e respectivos mecanismos de controle destinados a assegurar a formalização de indicação de gerente de projeto pela autoridade competente, e à </w:t>
      </w:r>
      <w:r w:rsidR="00E543AB" w:rsidRPr="002805DF">
        <w:rPr>
          <w:rFonts w:ascii="Times New Roman" w:hAnsi="Times New Roman" w:cs="Times New Roman"/>
          <w:sz w:val="24"/>
          <w:szCs w:val="24"/>
        </w:rPr>
        <w:t xml:space="preserve">ausência de </w:t>
      </w:r>
      <w:r w:rsidR="00FE2843" w:rsidRPr="002805DF">
        <w:rPr>
          <w:rFonts w:ascii="Times New Roman" w:hAnsi="Times New Roman" w:cs="Times New Roman"/>
          <w:sz w:val="24"/>
          <w:szCs w:val="24"/>
        </w:rPr>
        <w:t xml:space="preserve">designação de gerente do PLANOP, haja vista </w:t>
      </w:r>
      <w:r w:rsidR="003F04E0" w:rsidRPr="002805DF">
        <w:rPr>
          <w:rFonts w:ascii="Times New Roman" w:hAnsi="Times New Roman" w:cs="Times New Roman"/>
          <w:sz w:val="24"/>
          <w:szCs w:val="24"/>
        </w:rPr>
        <w:t>não realização</w:t>
      </w:r>
      <w:r w:rsidR="00FE2843" w:rsidRPr="002805DF">
        <w:rPr>
          <w:rFonts w:ascii="Times New Roman" w:hAnsi="Times New Roman" w:cs="Times New Roman"/>
          <w:sz w:val="24"/>
          <w:szCs w:val="24"/>
        </w:rPr>
        <w:t xml:space="preserve"> da RAE que apreciaria proposta de adiamento da referida iniciativa,</w:t>
      </w:r>
      <w:r w:rsidR="003F04E0" w:rsidRPr="002805DF">
        <w:rPr>
          <w:rFonts w:ascii="Times New Roman" w:hAnsi="Times New Roman" w:cs="Times New Roman"/>
          <w:sz w:val="24"/>
          <w:szCs w:val="24"/>
        </w:rPr>
        <w:t xml:space="preserve"> agendada para maio/2018, conclui-se pela subsistência das correspondentes fragilidades </w:t>
      </w:r>
      <w:r w:rsidR="00517335" w:rsidRPr="002805DF">
        <w:rPr>
          <w:rFonts w:ascii="Times New Roman" w:hAnsi="Times New Roman" w:cs="Times New Roman"/>
          <w:sz w:val="24"/>
          <w:szCs w:val="24"/>
        </w:rPr>
        <w:t>anteriormente</w:t>
      </w:r>
      <w:r w:rsidR="003F04E0" w:rsidRPr="002805DF">
        <w:rPr>
          <w:rFonts w:ascii="Times New Roman" w:hAnsi="Times New Roman" w:cs="Times New Roman"/>
          <w:sz w:val="24"/>
          <w:szCs w:val="24"/>
        </w:rPr>
        <w:t xml:space="preserve"> evidenciadas</w:t>
      </w:r>
      <w:r w:rsidR="00622BB8" w:rsidRPr="002805DF">
        <w:rPr>
          <w:rFonts w:ascii="Times New Roman" w:hAnsi="Times New Roman" w:cs="Times New Roman"/>
          <w:sz w:val="24"/>
          <w:szCs w:val="24"/>
        </w:rPr>
        <w:t>.</w:t>
      </w:r>
      <w:r w:rsidR="00142BD3" w:rsidRPr="003F04E0">
        <w:rPr>
          <w:rFonts w:ascii="Times New Roman" w:hAnsi="Times New Roman" w:cs="Times New Roman"/>
          <w:sz w:val="24"/>
          <w:szCs w:val="24"/>
        </w:rPr>
        <w:t xml:space="preserve">   </w:t>
      </w:r>
    </w:p>
    <w:p w:rsidR="00D70014" w:rsidRPr="00775054" w:rsidRDefault="00D70014" w:rsidP="00D70014">
      <w:pPr>
        <w:pStyle w:val="PargrafodaLista"/>
        <w:numPr>
          <w:ilvl w:val="2"/>
          <w:numId w:val="1"/>
        </w:numPr>
        <w:spacing w:before="120"/>
        <w:jc w:val="both"/>
        <w:rPr>
          <w:b w:val="0"/>
          <w:color w:val="000000" w:themeColor="text1"/>
          <w:sz w:val="24"/>
          <w:szCs w:val="24"/>
          <w:u w:val="single"/>
        </w:rPr>
      </w:pPr>
      <w:bookmarkStart w:id="15" w:name="_Toc511288062"/>
      <w:r w:rsidRPr="00775054">
        <w:rPr>
          <w:b w:val="0"/>
          <w:color w:val="000000" w:themeColor="text1"/>
          <w:sz w:val="24"/>
          <w:szCs w:val="24"/>
          <w:u w:val="single"/>
        </w:rPr>
        <w:t>Insuficiência na formalização da documentação de projetos estratégicos</w:t>
      </w:r>
      <w:r w:rsidR="00622BB8">
        <w:rPr>
          <w:b w:val="0"/>
          <w:color w:val="000000" w:themeColor="text1"/>
          <w:sz w:val="24"/>
          <w:szCs w:val="24"/>
          <w:u w:val="single"/>
        </w:rPr>
        <w:t>.</w:t>
      </w:r>
      <w:bookmarkEnd w:id="15"/>
    </w:p>
    <w:p w:rsidR="00D70014" w:rsidRPr="00775054" w:rsidRDefault="00D70014" w:rsidP="00D70014">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Situação encontrada:</w:t>
      </w:r>
    </w:p>
    <w:p w:rsidR="00D70014" w:rsidRPr="00775054" w:rsidRDefault="00D70014" w:rsidP="00D70014">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2014, o Tribunal aprovou a Metodologia de Gerenciamento de Projetos do TRE-BA. O manual que trata da referida meto</w:t>
      </w:r>
      <w:r w:rsidR="00E42A22" w:rsidRPr="00775054">
        <w:rPr>
          <w:rFonts w:ascii="Times New Roman" w:hAnsi="Times New Roman" w:cs="Times New Roman"/>
          <w:color w:val="000000" w:themeColor="text1"/>
          <w:sz w:val="24"/>
          <w:szCs w:val="24"/>
        </w:rPr>
        <w:t>do</w:t>
      </w:r>
      <w:r w:rsidRPr="00775054">
        <w:rPr>
          <w:rFonts w:ascii="Times New Roman" w:hAnsi="Times New Roman" w:cs="Times New Roman"/>
          <w:color w:val="000000" w:themeColor="text1"/>
          <w:sz w:val="24"/>
          <w:szCs w:val="24"/>
        </w:rPr>
        <w:t xml:space="preserve">logia determina que os gerentes </w:t>
      </w:r>
      <w:proofErr w:type="gramStart"/>
      <w:r w:rsidRPr="00775054">
        <w:rPr>
          <w:rFonts w:ascii="Times New Roman" w:hAnsi="Times New Roman" w:cs="Times New Roman"/>
          <w:color w:val="000000" w:themeColor="text1"/>
          <w:sz w:val="24"/>
          <w:szCs w:val="24"/>
        </w:rPr>
        <w:t>devem</w:t>
      </w:r>
      <w:proofErr w:type="gramEnd"/>
      <w:r w:rsidRPr="00775054">
        <w:rPr>
          <w:rFonts w:ascii="Times New Roman" w:hAnsi="Times New Roman" w:cs="Times New Roman"/>
          <w:color w:val="000000" w:themeColor="text1"/>
          <w:sz w:val="24"/>
          <w:szCs w:val="24"/>
        </w:rPr>
        <w:t xml:space="preserve"> elaborar o Plano Geral do Projeto (PGP) e o Relatório de Acompanhamento do Projeto (RAP) das iniciativas sob sua responsabilidade. </w:t>
      </w:r>
      <w:r w:rsidR="00622BB8">
        <w:rPr>
          <w:rFonts w:ascii="Times New Roman" w:hAnsi="Times New Roman" w:cs="Times New Roman"/>
          <w:color w:val="000000" w:themeColor="text1"/>
          <w:sz w:val="24"/>
          <w:szCs w:val="24"/>
        </w:rPr>
        <w:t>Verificou-se que, n</w:t>
      </w:r>
      <w:r w:rsidRPr="00775054">
        <w:rPr>
          <w:rFonts w:ascii="Times New Roman" w:hAnsi="Times New Roman" w:cs="Times New Roman"/>
          <w:color w:val="000000" w:themeColor="text1"/>
          <w:sz w:val="24"/>
          <w:szCs w:val="24"/>
        </w:rPr>
        <w:t xml:space="preserve">a RAE realizada em 8/9/2016, </w:t>
      </w:r>
      <w:r w:rsidR="00622BB8">
        <w:rPr>
          <w:rFonts w:ascii="Times New Roman" w:hAnsi="Times New Roman" w:cs="Times New Roman"/>
          <w:color w:val="000000" w:themeColor="text1"/>
          <w:sz w:val="24"/>
          <w:szCs w:val="24"/>
        </w:rPr>
        <w:t>restou</w:t>
      </w:r>
      <w:r w:rsidRPr="00775054">
        <w:rPr>
          <w:rFonts w:ascii="Times New Roman" w:hAnsi="Times New Roman" w:cs="Times New Roman"/>
          <w:color w:val="000000" w:themeColor="text1"/>
          <w:sz w:val="24"/>
          <w:szCs w:val="24"/>
        </w:rPr>
        <w:t xml:space="preserve"> deliberado que o acompanhamento dos projetos estratégicos seria realizado, mensalmente, pela SEGEPRO, por meio de PAD, e que todas as ferramentas para gerenciamento de projetos (PGP, RAP e TAP) estariam disponíveis em formulários específicos no Portal da Estratégia. Da análise dos 12 projetos estratégicos selecionados na amostra da presente auditoria, constatou-se que três não possuem o PGP inserido no PAD, quatro não contam com RAP e um ainda não tem gerente de projeto indicado.</w:t>
      </w:r>
    </w:p>
    <w:p w:rsidR="00125CA1" w:rsidRPr="00775054" w:rsidRDefault="00125CA1" w:rsidP="00125CA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Critério(s):</w:t>
      </w:r>
    </w:p>
    <w:p w:rsidR="00125CA1" w:rsidRPr="00775054" w:rsidRDefault="00125CA1" w:rsidP="00125CA1">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Portaria </w:t>
      </w:r>
      <w:r w:rsidR="00830FE7">
        <w:rPr>
          <w:rFonts w:ascii="Times New Roman" w:hAnsi="Times New Roman" w:cs="Times New Roman"/>
          <w:color w:val="000000" w:themeColor="text1"/>
          <w:sz w:val="24"/>
          <w:szCs w:val="24"/>
        </w:rPr>
        <w:t xml:space="preserve">nº </w:t>
      </w:r>
      <w:r w:rsidRPr="00775054">
        <w:rPr>
          <w:rFonts w:ascii="Times New Roman" w:hAnsi="Times New Roman" w:cs="Times New Roman"/>
          <w:color w:val="000000" w:themeColor="text1"/>
          <w:sz w:val="24"/>
          <w:szCs w:val="24"/>
        </w:rPr>
        <w:t xml:space="preserve">335/2014 da Presidência do TRE-BA - Metodologia de Gerenciamento de Projetos do TRE-BA, item </w:t>
      </w:r>
      <w:proofErr w:type="gramStart"/>
      <w:r w:rsidRPr="00775054">
        <w:rPr>
          <w:rFonts w:ascii="Times New Roman" w:hAnsi="Times New Roman" w:cs="Times New Roman"/>
          <w:color w:val="000000" w:themeColor="text1"/>
          <w:sz w:val="24"/>
          <w:szCs w:val="24"/>
        </w:rPr>
        <w:t>5</w:t>
      </w:r>
      <w:proofErr w:type="gramEnd"/>
      <w:r w:rsidRPr="00775054">
        <w:rPr>
          <w:rFonts w:ascii="Times New Roman" w:hAnsi="Times New Roman" w:cs="Times New Roman"/>
          <w:color w:val="000000" w:themeColor="text1"/>
          <w:sz w:val="24"/>
          <w:szCs w:val="24"/>
        </w:rPr>
        <w:t>; e Ata da Reunião de Avaliação da Estratégia - RAE, 8/9/2016, item 5.1.1.</w:t>
      </w:r>
    </w:p>
    <w:p w:rsidR="00125CA1" w:rsidRPr="00775054" w:rsidRDefault="00125CA1" w:rsidP="00125CA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125CA1" w:rsidRPr="00775054" w:rsidRDefault="00622BB8" w:rsidP="00125CA1">
      <w:pPr>
        <w:numPr>
          <w:ilvl w:val="4"/>
          <w:numId w:val="1"/>
        </w:numPr>
        <w:spacing w:after="0" w:line="240" w:lineRule="auto"/>
        <w:jc w:val="both"/>
        <w:rPr>
          <w:rFonts w:ascii="Times New Roman" w:hAnsi="Times New Roman" w:cs="Times New Roman"/>
          <w:color w:val="000000" w:themeColor="text1"/>
          <w:sz w:val="24"/>
          <w:szCs w:val="24"/>
        </w:rPr>
      </w:pPr>
      <w:r w:rsidRPr="003C391C">
        <w:rPr>
          <w:rFonts w:ascii="Times New Roman" w:hAnsi="Times New Roman" w:cs="Times New Roman"/>
          <w:sz w:val="24"/>
          <w:szCs w:val="24"/>
        </w:rPr>
        <w:t>Insuficiente</w:t>
      </w:r>
      <w:r>
        <w:rPr>
          <w:rFonts w:ascii="Times New Roman" w:hAnsi="Times New Roman" w:cs="Times New Roman"/>
          <w:color w:val="000000" w:themeColor="text1"/>
          <w:sz w:val="24"/>
          <w:szCs w:val="24"/>
        </w:rPr>
        <w:t xml:space="preserve"> </w:t>
      </w:r>
      <w:r w:rsidR="00125CA1" w:rsidRPr="00775054">
        <w:rPr>
          <w:rFonts w:ascii="Times New Roman" w:hAnsi="Times New Roman" w:cs="Times New Roman"/>
          <w:color w:val="000000" w:themeColor="text1"/>
          <w:sz w:val="24"/>
          <w:szCs w:val="24"/>
        </w:rPr>
        <w:t>divulgação do Manual de Metodologia de Gerenciamento de Projetos; ausência de divulgação</w:t>
      </w:r>
      <w:r>
        <w:rPr>
          <w:rFonts w:ascii="Times New Roman" w:hAnsi="Times New Roman" w:cs="Times New Roman"/>
          <w:color w:val="000000" w:themeColor="text1"/>
          <w:sz w:val="24"/>
          <w:szCs w:val="24"/>
        </w:rPr>
        <w:t>,</w:t>
      </w:r>
      <w:r w:rsidR="00125CA1" w:rsidRPr="00775054">
        <w:rPr>
          <w:rFonts w:ascii="Times New Roman" w:hAnsi="Times New Roman" w:cs="Times New Roman"/>
          <w:color w:val="000000" w:themeColor="text1"/>
          <w:sz w:val="24"/>
          <w:szCs w:val="24"/>
        </w:rPr>
        <w:t xml:space="preserve"> no Portal da Estratégia</w:t>
      </w:r>
      <w:r>
        <w:rPr>
          <w:rFonts w:ascii="Times New Roman" w:hAnsi="Times New Roman" w:cs="Times New Roman"/>
          <w:color w:val="000000" w:themeColor="text1"/>
          <w:sz w:val="24"/>
          <w:szCs w:val="24"/>
        </w:rPr>
        <w:t>,</w:t>
      </w:r>
      <w:r w:rsidR="00125CA1" w:rsidRPr="00775054">
        <w:rPr>
          <w:rFonts w:ascii="Times New Roman" w:hAnsi="Times New Roman" w:cs="Times New Roman"/>
          <w:color w:val="000000" w:themeColor="text1"/>
          <w:sz w:val="24"/>
          <w:szCs w:val="24"/>
        </w:rPr>
        <w:t xml:space="preserve"> dos documentos necessários à formalização e execução dos projetos; e deficiência na capacitação dos servidores em gestão de projetos.</w:t>
      </w:r>
    </w:p>
    <w:p w:rsidR="00125CA1" w:rsidRPr="00775054" w:rsidRDefault="00125CA1" w:rsidP="00125CA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125CA1" w:rsidRPr="00775054" w:rsidRDefault="00125CA1" w:rsidP="00125CA1">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Comprometimento do monitoramento dos projetos; não identificação da necessidade de adoção de medidas corretivas </w:t>
      </w:r>
      <w:r w:rsidR="00830FE7">
        <w:rPr>
          <w:rFonts w:ascii="Times New Roman" w:hAnsi="Times New Roman" w:cs="Times New Roman"/>
          <w:color w:val="000000" w:themeColor="text1"/>
          <w:sz w:val="24"/>
          <w:szCs w:val="24"/>
        </w:rPr>
        <w:t xml:space="preserve">quanto aos </w:t>
      </w:r>
      <w:r w:rsidRPr="00775054">
        <w:rPr>
          <w:rFonts w:ascii="Times New Roman" w:hAnsi="Times New Roman" w:cs="Times New Roman"/>
          <w:color w:val="000000" w:themeColor="text1"/>
          <w:sz w:val="24"/>
          <w:szCs w:val="24"/>
        </w:rPr>
        <w:t xml:space="preserve">projetos estratégicos; não alcance dos objetivos estratégicos por falha no monitoramento dos projetos; </w:t>
      </w:r>
      <w:r w:rsidR="00622BB8" w:rsidRPr="003C391C">
        <w:rPr>
          <w:rFonts w:ascii="Times New Roman" w:hAnsi="Times New Roman" w:cs="Times New Roman"/>
          <w:sz w:val="24"/>
          <w:szCs w:val="24"/>
        </w:rPr>
        <w:t xml:space="preserve">descontinuidade da execução de projetos em decorrência de alteração de sua gerência; </w:t>
      </w:r>
      <w:r w:rsidRPr="00775054">
        <w:rPr>
          <w:rFonts w:ascii="Times New Roman" w:hAnsi="Times New Roman" w:cs="Times New Roman"/>
          <w:color w:val="000000" w:themeColor="text1"/>
          <w:sz w:val="24"/>
          <w:szCs w:val="24"/>
        </w:rPr>
        <w:t>e dispersão de esforços e recursos na execução dos projetos.</w:t>
      </w:r>
    </w:p>
    <w:p w:rsidR="00125CA1" w:rsidRPr="00775054" w:rsidRDefault="00125CA1" w:rsidP="00125CA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125CA1" w:rsidRPr="002805DF" w:rsidRDefault="00125CA1" w:rsidP="00FD3300">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PAD nº 15.094/2016 (Boas Vindas aos Magistrados); PAD nº 15.213/2017 (PQVT); PAD nº 10.701/2017 (Gestão por Competência); PAD nº 15.090/2016 (Acerte na Demanda);</w:t>
      </w:r>
      <w:r w:rsidR="00FD3300">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PAD nº 16.137/2016 (Docs. nº 221.266/2016, 225.101/2016, 225.860/2016, 227.374/2016 e 206.216/2017)</w:t>
      </w:r>
      <w:r w:rsidR="00FD3300">
        <w:rPr>
          <w:rFonts w:ascii="Times New Roman" w:hAnsi="Times New Roman" w:cs="Times New Roman"/>
          <w:color w:val="000000" w:themeColor="text1"/>
          <w:sz w:val="24"/>
          <w:szCs w:val="24"/>
        </w:rPr>
        <w:t xml:space="preserve">; </w:t>
      </w:r>
      <w:r w:rsidR="00FD3300" w:rsidRPr="002805DF">
        <w:rPr>
          <w:rFonts w:ascii="Times New Roman" w:hAnsi="Times New Roman" w:cs="Times New Roman"/>
          <w:sz w:val="24"/>
          <w:szCs w:val="24"/>
        </w:rPr>
        <w:t>e PAD nº 4.727/2018 (Doc. nº 71.852/2018)</w:t>
      </w:r>
      <w:r w:rsidRPr="002805DF">
        <w:rPr>
          <w:rFonts w:ascii="Times New Roman" w:hAnsi="Times New Roman" w:cs="Times New Roman"/>
          <w:sz w:val="24"/>
          <w:szCs w:val="24"/>
        </w:rPr>
        <w:t>.</w:t>
      </w:r>
    </w:p>
    <w:p w:rsidR="00125CA1" w:rsidRPr="00775054" w:rsidRDefault="00125CA1" w:rsidP="00125CA1">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responsáveis:</w:t>
      </w:r>
    </w:p>
    <w:p w:rsidR="00555039" w:rsidRPr="00775054" w:rsidRDefault="00555039" w:rsidP="00555039">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4/2018 (PAD nº 1.304/2018, Doc.</w:t>
      </w:r>
      <w:r w:rsidR="00630036" w:rsidRPr="00775054">
        <w:rPr>
          <w:rFonts w:ascii="Times New Roman" w:hAnsi="Times New Roman" w:cs="Times New Roman"/>
          <w:color w:val="000000" w:themeColor="text1"/>
          <w:sz w:val="24"/>
          <w:szCs w:val="24"/>
        </w:rPr>
        <w:t xml:space="preserve"> nº 31.832/2018</w:t>
      </w:r>
      <w:r w:rsidRPr="00775054">
        <w:rPr>
          <w:rFonts w:ascii="Times New Roman" w:hAnsi="Times New Roman" w:cs="Times New Roman"/>
          <w:color w:val="000000" w:themeColor="text1"/>
          <w:sz w:val="24"/>
          <w:szCs w:val="24"/>
        </w:rPr>
        <w:t xml:space="preserve">), a COPEG informou que a SEGEPRO já iniciou alguns trabalhos no intuito de assegurar a adequada orientação aos gerentes quanto à metodologia de gestão de projetos, bem como realizou a atualização do Portal da Estratégica, </w:t>
      </w:r>
      <w:r w:rsidRPr="00775054">
        <w:rPr>
          <w:rFonts w:ascii="Times New Roman" w:hAnsi="Times New Roman" w:cs="Times New Roman"/>
          <w:color w:val="000000" w:themeColor="text1"/>
          <w:sz w:val="24"/>
          <w:szCs w:val="24"/>
        </w:rPr>
        <w:lastRenderedPageBreak/>
        <w:t>disponibilizando o Manual de Metodologia de Gerenciamento de Projetos do TRE-BA e os modelos de documentos a serem utilizados para a formalização e execução dos projetos.</w:t>
      </w:r>
    </w:p>
    <w:p w:rsidR="00EF5D02" w:rsidRPr="00622BB8" w:rsidRDefault="00E42A22" w:rsidP="00EF5D02">
      <w:pPr>
        <w:numPr>
          <w:ilvl w:val="4"/>
          <w:numId w:val="1"/>
        </w:numPr>
        <w:spacing w:after="0" w:line="240" w:lineRule="auto"/>
        <w:jc w:val="both"/>
        <w:rPr>
          <w:rFonts w:ascii="Times New Roman" w:hAnsi="Times New Roman" w:cs="Times New Roman"/>
          <w:color w:val="000000" w:themeColor="text1"/>
          <w:sz w:val="24"/>
          <w:szCs w:val="24"/>
        </w:rPr>
      </w:pPr>
      <w:r w:rsidRPr="00622BB8">
        <w:rPr>
          <w:rFonts w:ascii="Times New Roman" w:hAnsi="Times New Roman" w:cs="Times New Roman"/>
          <w:color w:val="000000" w:themeColor="text1"/>
          <w:sz w:val="24"/>
          <w:szCs w:val="24"/>
        </w:rPr>
        <w:t>Em resposta à RDI</w:t>
      </w:r>
      <w:r w:rsidR="00812BF8" w:rsidRPr="00622BB8">
        <w:rPr>
          <w:rFonts w:ascii="Times New Roman" w:hAnsi="Times New Roman" w:cs="Times New Roman"/>
          <w:color w:val="000000" w:themeColor="text1"/>
          <w:sz w:val="24"/>
          <w:szCs w:val="24"/>
        </w:rPr>
        <w:t xml:space="preserve"> Circular</w:t>
      </w:r>
      <w:r w:rsidRPr="00622BB8">
        <w:rPr>
          <w:rFonts w:ascii="Times New Roman" w:hAnsi="Times New Roman" w:cs="Times New Roman"/>
          <w:color w:val="000000" w:themeColor="text1"/>
          <w:sz w:val="24"/>
          <w:szCs w:val="24"/>
        </w:rPr>
        <w:t xml:space="preserve"> nº 1/2018 (PAD nº 1.322/2018, Docs</w:t>
      </w:r>
      <w:r w:rsidR="00822082" w:rsidRPr="00622BB8">
        <w:rPr>
          <w:rFonts w:ascii="Times New Roman" w:hAnsi="Times New Roman" w:cs="Times New Roman"/>
          <w:color w:val="000000" w:themeColor="text1"/>
          <w:sz w:val="24"/>
          <w:szCs w:val="24"/>
        </w:rPr>
        <w:t>. nº</w:t>
      </w:r>
      <w:r w:rsidRPr="00622BB8">
        <w:rPr>
          <w:rFonts w:ascii="Times New Roman" w:hAnsi="Times New Roman" w:cs="Times New Roman"/>
          <w:color w:val="000000" w:themeColor="text1"/>
          <w:sz w:val="24"/>
          <w:szCs w:val="24"/>
        </w:rPr>
        <w:t xml:space="preserve"> 18.603, 20.377, 21.894, 22.280, 22.303, 22.342, 22.565, 22.906 e 24.806</w:t>
      </w:r>
      <w:r w:rsidR="00812BF8" w:rsidRPr="00622BB8">
        <w:rPr>
          <w:rFonts w:ascii="Times New Roman" w:hAnsi="Times New Roman" w:cs="Times New Roman"/>
          <w:color w:val="000000" w:themeColor="text1"/>
          <w:sz w:val="24"/>
          <w:szCs w:val="24"/>
        </w:rPr>
        <w:t>/2018</w:t>
      </w:r>
      <w:r w:rsidRPr="00622BB8">
        <w:rPr>
          <w:rFonts w:ascii="Times New Roman" w:hAnsi="Times New Roman" w:cs="Times New Roman"/>
          <w:color w:val="000000" w:themeColor="text1"/>
          <w:sz w:val="24"/>
          <w:szCs w:val="24"/>
        </w:rPr>
        <w:t>) os Gerentes de Projetos manifestaram ciência acerca dos achados preliminares de auditoria.</w:t>
      </w:r>
    </w:p>
    <w:p w:rsidR="00125CA1" w:rsidRPr="00775054" w:rsidRDefault="00EF5D02" w:rsidP="00EF5D02">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A ge</w:t>
      </w:r>
      <w:r w:rsidR="00DA6E19" w:rsidRPr="00775054">
        <w:rPr>
          <w:rFonts w:ascii="Times New Roman" w:hAnsi="Times New Roman" w:cs="Times New Roman"/>
          <w:color w:val="000000" w:themeColor="text1"/>
          <w:sz w:val="24"/>
          <w:szCs w:val="24"/>
        </w:rPr>
        <w:t>rente</w:t>
      </w:r>
      <w:r w:rsidRPr="00775054">
        <w:rPr>
          <w:rFonts w:ascii="Times New Roman" w:hAnsi="Times New Roman" w:cs="Times New Roman"/>
          <w:color w:val="000000" w:themeColor="text1"/>
          <w:sz w:val="24"/>
          <w:szCs w:val="24"/>
        </w:rPr>
        <w:t xml:space="preserve"> do projeto</w:t>
      </w:r>
      <w:r w:rsidR="00E42A22" w:rsidRPr="00775054">
        <w:rPr>
          <w:rFonts w:ascii="Times New Roman" w:hAnsi="Times New Roman" w:cs="Times New Roman"/>
          <w:color w:val="000000" w:themeColor="text1"/>
          <w:sz w:val="24"/>
          <w:szCs w:val="24"/>
        </w:rPr>
        <w:t xml:space="preserve"> Programa de Qualidade de Vida no Trabalho inform</w:t>
      </w:r>
      <w:r w:rsidRPr="00775054">
        <w:rPr>
          <w:rFonts w:ascii="Times New Roman" w:hAnsi="Times New Roman" w:cs="Times New Roman"/>
          <w:color w:val="000000" w:themeColor="text1"/>
          <w:sz w:val="24"/>
          <w:szCs w:val="24"/>
        </w:rPr>
        <w:t xml:space="preserve">ou que </w:t>
      </w:r>
      <w:r w:rsidR="00E42A22" w:rsidRPr="00775054">
        <w:rPr>
          <w:rFonts w:ascii="Times New Roman" w:hAnsi="Times New Roman" w:cs="Times New Roman"/>
          <w:color w:val="000000" w:themeColor="text1"/>
          <w:sz w:val="24"/>
          <w:szCs w:val="24"/>
        </w:rPr>
        <w:t xml:space="preserve">os documentos exigidos no item </w:t>
      </w:r>
      <w:proofErr w:type="gramStart"/>
      <w:r w:rsidR="00E42A22" w:rsidRPr="00775054">
        <w:rPr>
          <w:rFonts w:ascii="Times New Roman" w:hAnsi="Times New Roman" w:cs="Times New Roman"/>
          <w:color w:val="000000" w:themeColor="text1"/>
          <w:sz w:val="24"/>
          <w:szCs w:val="24"/>
        </w:rPr>
        <w:t>5</w:t>
      </w:r>
      <w:proofErr w:type="gramEnd"/>
      <w:r w:rsidR="00E42A22" w:rsidRPr="00775054">
        <w:rPr>
          <w:rFonts w:ascii="Times New Roman" w:hAnsi="Times New Roman" w:cs="Times New Roman"/>
          <w:color w:val="000000" w:themeColor="text1"/>
          <w:sz w:val="24"/>
          <w:szCs w:val="24"/>
        </w:rPr>
        <w:t xml:space="preserve"> do Manual Metodológico de Gerenciamento de Projetos do TRE-BA , tais como PGP, TAP e RAP não se encontram disponibilizados no PAD nº 15.213/2017 (PQVT) em virtude do programa estar ainda em fase de planejamento e que por envolver vários eixos temáticos, não apenas</w:t>
      </w:r>
      <w:r w:rsidRPr="00775054">
        <w:rPr>
          <w:rFonts w:ascii="Times New Roman" w:hAnsi="Times New Roman" w:cs="Times New Roman"/>
          <w:color w:val="000000" w:themeColor="text1"/>
          <w:sz w:val="24"/>
          <w:szCs w:val="24"/>
        </w:rPr>
        <w:t xml:space="preserve"> Promoção de    Saúde,    ta</w:t>
      </w:r>
      <w:r w:rsidR="00622BB8">
        <w:rPr>
          <w:rFonts w:ascii="Times New Roman" w:hAnsi="Times New Roman" w:cs="Times New Roman"/>
          <w:color w:val="000000" w:themeColor="text1"/>
          <w:sz w:val="24"/>
          <w:szCs w:val="24"/>
        </w:rPr>
        <w:t xml:space="preserve">is    como    Desenvolvimento e </w:t>
      </w:r>
      <w:r w:rsidRPr="00775054">
        <w:rPr>
          <w:rFonts w:ascii="Times New Roman" w:hAnsi="Times New Roman" w:cs="Times New Roman"/>
          <w:color w:val="000000" w:themeColor="text1"/>
          <w:sz w:val="24"/>
          <w:szCs w:val="24"/>
        </w:rPr>
        <w:t xml:space="preserve">Capacitação, Valorização, Reconhecimento  e  Humanização  das  Relações  </w:t>
      </w:r>
      <w:proofErr w:type="spellStart"/>
      <w:r w:rsidRPr="00775054">
        <w:rPr>
          <w:rFonts w:ascii="Times New Roman" w:hAnsi="Times New Roman" w:cs="Times New Roman"/>
          <w:color w:val="000000" w:themeColor="text1"/>
          <w:sz w:val="24"/>
          <w:szCs w:val="24"/>
        </w:rPr>
        <w:t>Sócioprofissionais</w:t>
      </w:r>
      <w:proofErr w:type="spellEnd"/>
      <w:r w:rsidRPr="00775054">
        <w:rPr>
          <w:rFonts w:ascii="Times New Roman" w:hAnsi="Times New Roman" w:cs="Times New Roman"/>
          <w:color w:val="000000" w:themeColor="text1"/>
          <w:sz w:val="24"/>
          <w:szCs w:val="24"/>
        </w:rPr>
        <w:t xml:space="preserve">,  Organização Humanizada do Trabalho e </w:t>
      </w:r>
      <w:r w:rsidR="00622BB8">
        <w:rPr>
          <w:rFonts w:ascii="Times New Roman" w:hAnsi="Times New Roman" w:cs="Times New Roman"/>
          <w:color w:val="000000" w:themeColor="text1"/>
          <w:sz w:val="24"/>
          <w:szCs w:val="24"/>
        </w:rPr>
        <w:t>C</w:t>
      </w:r>
      <w:r w:rsidRPr="00775054">
        <w:rPr>
          <w:rFonts w:ascii="Times New Roman" w:hAnsi="Times New Roman" w:cs="Times New Roman"/>
          <w:color w:val="000000" w:themeColor="text1"/>
          <w:sz w:val="24"/>
          <w:szCs w:val="24"/>
        </w:rPr>
        <w:t xml:space="preserve">ondições </w:t>
      </w:r>
      <w:r w:rsidR="003C391C">
        <w:rPr>
          <w:rFonts w:ascii="Times New Roman" w:hAnsi="Times New Roman" w:cs="Times New Roman"/>
          <w:color w:val="000000" w:themeColor="text1"/>
          <w:sz w:val="24"/>
          <w:szCs w:val="24"/>
        </w:rPr>
        <w:t>E</w:t>
      </w:r>
      <w:r w:rsidRPr="00775054">
        <w:rPr>
          <w:rFonts w:ascii="Times New Roman" w:hAnsi="Times New Roman" w:cs="Times New Roman"/>
          <w:color w:val="000000" w:themeColor="text1"/>
          <w:sz w:val="24"/>
          <w:szCs w:val="24"/>
        </w:rPr>
        <w:t>rgonômicas de Trabalho, é necessária a participação de outras unidades, dentre as quais COEDE, SGS e COPEG. Informou também que</w:t>
      </w:r>
      <w:r w:rsidR="00622BB8">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em tratativas realizadas nas reuniões da SGP com as unidades envolvidas, ficou estabelecido que  cada  unidade  responsável  pelo  eixo  temático  </w:t>
      </w:r>
      <w:proofErr w:type="gramStart"/>
      <w:r w:rsidR="00A31F42">
        <w:rPr>
          <w:rFonts w:ascii="Times New Roman" w:hAnsi="Times New Roman" w:cs="Times New Roman"/>
          <w:color w:val="000000" w:themeColor="text1"/>
          <w:sz w:val="24"/>
          <w:szCs w:val="24"/>
        </w:rPr>
        <w:t>elaboraria</w:t>
      </w:r>
      <w:proofErr w:type="gramEnd"/>
      <w:r w:rsidRPr="00775054">
        <w:rPr>
          <w:rFonts w:ascii="Times New Roman" w:hAnsi="Times New Roman" w:cs="Times New Roman"/>
          <w:color w:val="000000" w:themeColor="text1"/>
          <w:sz w:val="24"/>
          <w:szCs w:val="24"/>
        </w:rPr>
        <w:t xml:space="preserve">  o respectivo  PGP. Por fim, salientou que, em virtude do caráter multidisciplinar do Programa de Qualidade de Vida, com responsabilidade e envolvimento de vários setores d</w:t>
      </w:r>
      <w:r w:rsidR="00F913E4" w:rsidRPr="00775054">
        <w:rPr>
          <w:rFonts w:ascii="Times New Roman" w:hAnsi="Times New Roman" w:cs="Times New Roman"/>
          <w:color w:val="000000" w:themeColor="text1"/>
          <w:sz w:val="24"/>
          <w:szCs w:val="24"/>
        </w:rPr>
        <w:t>o Tribunal, sugeriu</w:t>
      </w:r>
      <w:r w:rsidRPr="00775054">
        <w:rPr>
          <w:rFonts w:ascii="Times New Roman" w:hAnsi="Times New Roman" w:cs="Times New Roman"/>
          <w:color w:val="000000" w:themeColor="text1"/>
          <w:sz w:val="24"/>
          <w:szCs w:val="24"/>
        </w:rPr>
        <w:t xml:space="preserve"> que a gerência </w:t>
      </w:r>
      <w:r w:rsidR="00622BB8">
        <w:rPr>
          <w:rFonts w:ascii="Times New Roman" w:hAnsi="Times New Roman" w:cs="Times New Roman"/>
          <w:color w:val="000000" w:themeColor="text1"/>
          <w:sz w:val="24"/>
          <w:szCs w:val="24"/>
        </w:rPr>
        <w:t>fosse</w:t>
      </w:r>
      <w:r w:rsidRPr="00775054">
        <w:rPr>
          <w:rFonts w:ascii="Times New Roman" w:hAnsi="Times New Roman" w:cs="Times New Roman"/>
          <w:color w:val="000000" w:themeColor="text1"/>
          <w:sz w:val="24"/>
          <w:szCs w:val="24"/>
        </w:rPr>
        <w:t xml:space="preserve"> transferida para instância superior, a fim de se promover uma melhor interlocução entre as áreas envolvidas, bem como um melhor acompanhamento e controle</w:t>
      </w:r>
      <w:r w:rsidR="00DA6E19" w:rsidRPr="00775054">
        <w:rPr>
          <w:rFonts w:ascii="Times New Roman" w:hAnsi="Times New Roman" w:cs="Times New Roman"/>
          <w:color w:val="000000" w:themeColor="text1"/>
          <w:sz w:val="24"/>
          <w:szCs w:val="24"/>
        </w:rPr>
        <w:t>.</w:t>
      </w:r>
    </w:p>
    <w:p w:rsidR="00DA6E19" w:rsidRPr="00775054" w:rsidRDefault="00DA6E19" w:rsidP="00EF5D02">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Com relação ao projeto Avaliação das Contratações, a gerente esclareceu que vem enviando mensalmente os relatórios de acompanhamento por mensagem eletrônica</w:t>
      </w:r>
      <w:r w:rsidR="00622BB8">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uma vez que o PAD tem permanecido na Seção.</w:t>
      </w:r>
    </w:p>
    <w:p w:rsidR="00EF5D02" w:rsidRDefault="00DA6E19" w:rsidP="00DA6E19">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Com relação ao projeto Acerte na Demanda, a gerente informou que o PGP, EAP e cronograma inicial foram enviados à SEGEPRO por e-mail, atendendo à orientação da referida unidade. Esclareceu que apenas os relatórios de acompanhamento do projeto foram anexados ao PAD.</w:t>
      </w:r>
    </w:p>
    <w:p w:rsidR="001E128B" w:rsidRPr="002805DF" w:rsidRDefault="001E128B" w:rsidP="001E128B">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71.852/2018), a SCR informou que a Unidade </w:t>
      </w:r>
      <w:r w:rsidR="006E0180" w:rsidRPr="002805DF">
        <w:rPr>
          <w:rFonts w:ascii="Times New Roman" w:hAnsi="Times New Roman" w:cs="Times New Roman"/>
          <w:sz w:val="24"/>
          <w:szCs w:val="24"/>
        </w:rPr>
        <w:t xml:space="preserve">elaborou, </w:t>
      </w:r>
      <w:r w:rsidRPr="002805DF">
        <w:rPr>
          <w:rFonts w:ascii="Times New Roman" w:hAnsi="Times New Roman" w:cs="Times New Roman"/>
          <w:sz w:val="24"/>
          <w:szCs w:val="24"/>
        </w:rPr>
        <w:t>juntamente</w:t>
      </w:r>
      <w:r w:rsidR="006E0180" w:rsidRPr="002805DF">
        <w:rPr>
          <w:rFonts w:ascii="Times New Roman" w:hAnsi="Times New Roman" w:cs="Times New Roman"/>
          <w:sz w:val="24"/>
          <w:szCs w:val="24"/>
        </w:rPr>
        <w:t xml:space="preserve"> com</w:t>
      </w:r>
      <w:r w:rsidRPr="002805DF">
        <w:rPr>
          <w:rFonts w:ascii="Times New Roman" w:hAnsi="Times New Roman" w:cs="Times New Roman"/>
          <w:sz w:val="24"/>
          <w:szCs w:val="24"/>
        </w:rPr>
        <w:t xml:space="preserve"> o Comitê Gestor, o Projeto de Priorização de 1º grau, visando ao alinhamento do planejamento estratégico deste TRE para 2016/2021 com o Plano de ação para a valorização do 1º grau, sem que, contudo, tenha assegurado o</w:t>
      </w:r>
      <w:r w:rsidR="003404EF" w:rsidRPr="002805DF">
        <w:rPr>
          <w:rFonts w:ascii="Times New Roman" w:hAnsi="Times New Roman" w:cs="Times New Roman"/>
          <w:sz w:val="24"/>
          <w:szCs w:val="24"/>
        </w:rPr>
        <w:t xml:space="preserve"> cumprimento do</w:t>
      </w:r>
      <w:r w:rsidRPr="002805DF">
        <w:rPr>
          <w:rFonts w:ascii="Times New Roman" w:hAnsi="Times New Roman" w:cs="Times New Roman"/>
          <w:sz w:val="24"/>
          <w:szCs w:val="24"/>
        </w:rPr>
        <w:t xml:space="preserve"> Manual Metodológico de Gerenciamento, exigência que, doravante, compromete-se a atender.</w:t>
      </w:r>
    </w:p>
    <w:p w:rsidR="00125CA1" w:rsidRPr="00125CA1" w:rsidRDefault="00125CA1" w:rsidP="00125CA1">
      <w:pPr>
        <w:numPr>
          <w:ilvl w:val="3"/>
          <w:numId w:val="1"/>
        </w:numPr>
        <w:spacing w:after="0" w:line="240" w:lineRule="auto"/>
        <w:ind w:left="1077" w:hanging="1077"/>
        <w:jc w:val="both"/>
        <w:rPr>
          <w:rFonts w:ascii="Times New Roman" w:hAnsi="Times New Roman" w:cs="Times New Roman"/>
          <w:i/>
          <w:sz w:val="24"/>
          <w:szCs w:val="24"/>
        </w:rPr>
      </w:pPr>
      <w:r w:rsidRPr="00125CA1">
        <w:rPr>
          <w:rFonts w:ascii="Times New Roman" w:hAnsi="Times New Roman" w:cs="Times New Roman"/>
          <w:i/>
          <w:sz w:val="24"/>
          <w:szCs w:val="24"/>
        </w:rPr>
        <w:t>Conclusão da equipe de auditoria:</w:t>
      </w:r>
    </w:p>
    <w:p w:rsidR="00830FE7" w:rsidRDefault="00555039" w:rsidP="00630036">
      <w:pPr>
        <w:numPr>
          <w:ilvl w:val="4"/>
          <w:numId w:val="1"/>
        </w:numPr>
        <w:spacing w:after="0" w:line="240" w:lineRule="auto"/>
        <w:jc w:val="both"/>
        <w:rPr>
          <w:rFonts w:ascii="Times New Roman" w:hAnsi="Times New Roman" w:cs="Times New Roman"/>
          <w:sz w:val="24"/>
          <w:szCs w:val="24"/>
        </w:rPr>
      </w:pPr>
      <w:r w:rsidRPr="001A6A5A">
        <w:rPr>
          <w:rFonts w:ascii="Times New Roman" w:hAnsi="Times New Roman" w:cs="Times New Roman"/>
          <w:sz w:val="24"/>
          <w:szCs w:val="24"/>
        </w:rPr>
        <w:t>Tendo em vista que</w:t>
      </w:r>
      <w:r w:rsidR="00630036" w:rsidRPr="001A6A5A">
        <w:rPr>
          <w:rFonts w:ascii="Times New Roman" w:hAnsi="Times New Roman" w:cs="Times New Roman"/>
          <w:sz w:val="24"/>
          <w:szCs w:val="24"/>
        </w:rPr>
        <w:t xml:space="preserve"> a SEGEPRO </w:t>
      </w:r>
      <w:r w:rsidR="00622BB8" w:rsidRPr="001A6A5A">
        <w:rPr>
          <w:rFonts w:ascii="Times New Roman" w:hAnsi="Times New Roman" w:cs="Times New Roman"/>
          <w:sz w:val="24"/>
          <w:szCs w:val="24"/>
        </w:rPr>
        <w:t>procedeu à disponibilização d</w:t>
      </w:r>
      <w:r w:rsidR="00630036" w:rsidRPr="001A6A5A">
        <w:rPr>
          <w:rFonts w:ascii="Times New Roman" w:hAnsi="Times New Roman" w:cs="Times New Roman"/>
          <w:sz w:val="24"/>
          <w:szCs w:val="24"/>
        </w:rPr>
        <w:t>o Manual de Metodologia de Gerenciamento de Projetos</w:t>
      </w:r>
      <w:r w:rsidR="00622BB8" w:rsidRPr="001A6A5A">
        <w:rPr>
          <w:rFonts w:ascii="Times New Roman" w:hAnsi="Times New Roman" w:cs="Times New Roman"/>
          <w:sz w:val="24"/>
          <w:szCs w:val="24"/>
        </w:rPr>
        <w:t>, bem como d</w:t>
      </w:r>
      <w:r w:rsidR="00630036" w:rsidRPr="001A6A5A">
        <w:rPr>
          <w:rFonts w:ascii="Times New Roman" w:hAnsi="Times New Roman" w:cs="Times New Roman"/>
          <w:sz w:val="24"/>
          <w:szCs w:val="24"/>
        </w:rPr>
        <w:t>os modelos de documentos</w:t>
      </w:r>
      <w:r w:rsidR="00622BB8" w:rsidRPr="001A6A5A">
        <w:rPr>
          <w:rFonts w:ascii="Times New Roman" w:hAnsi="Times New Roman" w:cs="Times New Roman"/>
          <w:sz w:val="24"/>
          <w:szCs w:val="24"/>
        </w:rPr>
        <w:t xml:space="preserve"> pertinentes</w:t>
      </w:r>
      <w:r w:rsidR="00630036" w:rsidRPr="001A6A5A">
        <w:rPr>
          <w:rFonts w:ascii="Times New Roman" w:hAnsi="Times New Roman" w:cs="Times New Roman"/>
          <w:sz w:val="24"/>
          <w:szCs w:val="24"/>
        </w:rPr>
        <w:t xml:space="preserve"> (PGP, RAP,</w:t>
      </w:r>
      <w:r w:rsidR="00A31F42">
        <w:rPr>
          <w:rFonts w:ascii="Times New Roman" w:hAnsi="Times New Roman" w:cs="Times New Roman"/>
          <w:sz w:val="24"/>
          <w:szCs w:val="24"/>
        </w:rPr>
        <w:t xml:space="preserve"> </w:t>
      </w:r>
      <w:r w:rsidR="00630036" w:rsidRPr="001A6A5A">
        <w:rPr>
          <w:rFonts w:ascii="Times New Roman" w:hAnsi="Times New Roman" w:cs="Times New Roman"/>
          <w:sz w:val="24"/>
          <w:szCs w:val="24"/>
        </w:rPr>
        <w:t>TAP e TEP) no Portal da Estratégia</w:t>
      </w:r>
      <w:r w:rsidR="00F23016" w:rsidRPr="001A6A5A">
        <w:rPr>
          <w:rFonts w:ascii="Times New Roman" w:hAnsi="Times New Roman" w:cs="Times New Roman"/>
          <w:sz w:val="24"/>
          <w:szCs w:val="24"/>
        </w:rPr>
        <w:t xml:space="preserve">, conclui-se pelo saneamento das fragilidades </w:t>
      </w:r>
      <w:r w:rsidR="003C391C" w:rsidRPr="001A6A5A">
        <w:rPr>
          <w:rFonts w:ascii="Times New Roman" w:hAnsi="Times New Roman" w:cs="Times New Roman"/>
          <w:sz w:val="24"/>
          <w:szCs w:val="24"/>
        </w:rPr>
        <w:t>a</w:t>
      </w:r>
      <w:r w:rsidR="001A6A5A" w:rsidRPr="001A6A5A">
        <w:rPr>
          <w:rFonts w:ascii="Times New Roman" w:hAnsi="Times New Roman" w:cs="Times New Roman"/>
          <w:sz w:val="24"/>
          <w:szCs w:val="24"/>
        </w:rPr>
        <w:t xml:space="preserve"> que se refere </w:t>
      </w:r>
      <w:proofErr w:type="gramStart"/>
      <w:r w:rsidR="001A6A5A" w:rsidRPr="001A6A5A">
        <w:rPr>
          <w:rFonts w:ascii="Times New Roman" w:hAnsi="Times New Roman" w:cs="Times New Roman"/>
          <w:sz w:val="24"/>
          <w:szCs w:val="24"/>
        </w:rPr>
        <w:t>a</w:t>
      </w:r>
      <w:proofErr w:type="gramEnd"/>
      <w:r w:rsidR="001A6A5A" w:rsidRPr="001A6A5A">
        <w:rPr>
          <w:rFonts w:ascii="Times New Roman" w:hAnsi="Times New Roman" w:cs="Times New Roman"/>
          <w:sz w:val="24"/>
          <w:szCs w:val="24"/>
        </w:rPr>
        <w:t xml:space="preserve"> recomendação de</w:t>
      </w:r>
      <w:r w:rsidR="00F23016" w:rsidRPr="001A6A5A">
        <w:rPr>
          <w:rFonts w:ascii="Times New Roman" w:hAnsi="Times New Roman" w:cs="Times New Roman"/>
          <w:sz w:val="24"/>
          <w:szCs w:val="24"/>
        </w:rPr>
        <w:t xml:space="preserve"> atualização do Portal da Estratégia.</w:t>
      </w:r>
      <w:r w:rsidR="00630036" w:rsidRPr="001A6A5A">
        <w:rPr>
          <w:rFonts w:ascii="Times New Roman" w:hAnsi="Times New Roman" w:cs="Times New Roman"/>
          <w:sz w:val="24"/>
          <w:szCs w:val="24"/>
        </w:rPr>
        <w:t xml:space="preserve"> </w:t>
      </w:r>
    </w:p>
    <w:p w:rsidR="00125CA1" w:rsidRPr="001A6A5A" w:rsidRDefault="001A6A5A" w:rsidP="00630036">
      <w:pPr>
        <w:numPr>
          <w:ilvl w:val="4"/>
          <w:numId w:val="1"/>
        </w:numPr>
        <w:spacing w:after="0" w:line="240" w:lineRule="auto"/>
        <w:jc w:val="both"/>
        <w:rPr>
          <w:rFonts w:ascii="Times New Roman" w:hAnsi="Times New Roman" w:cs="Times New Roman"/>
          <w:sz w:val="24"/>
          <w:szCs w:val="24"/>
        </w:rPr>
      </w:pPr>
      <w:r w:rsidRPr="001A6A5A">
        <w:rPr>
          <w:rFonts w:ascii="Times New Roman" w:hAnsi="Times New Roman" w:cs="Times New Roman"/>
          <w:sz w:val="24"/>
          <w:szCs w:val="24"/>
        </w:rPr>
        <w:t>Não obstante, e</w:t>
      </w:r>
      <w:r w:rsidR="00F23016" w:rsidRPr="001A6A5A">
        <w:rPr>
          <w:rFonts w:ascii="Times New Roman" w:hAnsi="Times New Roman" w:cs="Times New Roman"/>
          <w:sz w:val="24"/>
          <w:szCs w:val="24"/>
        </w:rPr>
        <w:t>m que pese informação d</w:t>
      </w:r>
      <w:r w:rsidR="003C391C" w:rsidRPr="001A6A5A">
        <w:rPr>
          <w:rFonts w:ascii="Times New Roman" w:hAnsi="Times New Roman" w:cs="Times New Roman"/>
          <w:sz w:val="24"/>
          <w:szCs w:val="24"/>
        </w:rPr>
        <w:t>e alguns gerentes de projeto</w:t>
      </w:r>
      <w:r w:rsidR="00F23016" w:rsidRPr="001A6A5A">
        <w:rPr>
          <w:rFonts w:ascii="Times New Roman" w:hAnsi="Times New Roman" w:cs="Times New Roman"/>
          <w:sz w:val="24"/>
          <w:szCs w:val="24"/>
        </w:rPr>
        <w:t xml:space="preserve"> acerca do encaminhamento</w:t>
      </w:r>
      <w:r w:rsidR="003C391C" w:rsidRPr="001A6A5A">
        <w:rPr>
          <w:rFonts w:ascii="Times New Roman" w:hAnsi="Times New Roman" w:cs="Times New Roman"/>
          <w:sz w:val="24"/>
          <w:szCs w:val="24"/>
        </w:rPr>
        <w:t>,</w:t>
      </w:r>
      <w:r w:rsidR="00F23016" w:rsidRPr="001A6A5A">
        <w:rPr>
          <w:rFonts w:ascii="Times New Roman" w:hAnsi="Times New Roman" w:cs="Times New Roman"/>
          <w:sz w:val="24"/>
          <w:szCs w:val="24"/>
        </w:rPr>
        <w:t xml:space="preserve"> por e-mail</w:t>
      </w:r>
      <w:r w:rsidR="003C391C" w:rsidRPr="001A6A5A">
        <w:rPr>
          <w:rFonts w:ascii="Times New Roman" w:hAnsi="Times New Roman" w:cs="Times New Roman"/>
          <w:sz w:val="24"/>
          <w:szCs w:val="24"/>
        </w:rPr>
        <w:t>,</w:t>
      </w:r>
      <w:r w:rsidR="00F23016" w:rsidRPr="001A6A5A">
        <w:rPr>
          <w:rFonts w:ascii="Times New Roman" w:hAnsi="Times New Roman" w:cs="Times New Roman"/>
          <w:sz w:val="24"/>
          <w:szCs w:val="24"/>
        </w:rPr>
        <w:t xml:space="preserve"> d</w:t>
      </w:r>
      <w:r w:rsidRPr="001A6A5A">
        <w:rPr>
          <w:rFonts w:ascii="Times New Roman" w:hAnsi="Times New Roman" w:cs="Times New Roman"/>
          <w:sz w:val="24"/>
          <w:szCs w:val="24"/>
        </w:rPr>
        <w:t>e</w:t>
      </w:r>
      <w:r w:rsidR="00F23016" w:rsidRPr="001A6A5A">
        <w:rPr>
          <w:rFonts w:ascii="Times New Roman" w:hAnsi="Times New Roman" w:cs="Times New Roman"/>
          <w:sz w:val="24"/>
          <w:szCs w:val="24"/>
        </w:rPr>
        <w:t xml:space="preserve"> documentos </w:t>
      </w:r>
      <w:r w:rsidRPr="001A6A5A">
        <w:rPr>
          <w:rFonts w:ascii="Times New Roman" w:hAnsi="Times New Roman" w:cs="Times New Roman"/>
          <w:sz w:val="24"/>
          <w:szCs w:val="24"/>
        </w:rPr>
        <w:t xml:space="preserve">requeridos pela metodologia adotada pelo Tribunal, bem como </w:t>
      </w:r>
      <w:r w:rsidR="00F23016" w:rsidRPr="001A6A5A">
        <w:rPr>
          <w:rFonts w:ascii="Times New Roman" w:hAnsi="Times New Roman" w:cs="Times New Roman"/>
          <w:sz w:val="24"/>
          <w:szCs w:val="24"/>
        </w:rPr>
        <w:t xml:space="preserve">relacionados ao monitoramento mensal </w:t>
      </w:r>
      <w:r w:rsidRPr="001A6A5A">
        <w:rPr>
          <w:rFonts w:ascii="Times New Roman" w:hAnsi="Times New Roman" w:cs="Times New Roman"/>
          <w:sz w:val="24"/>
          <w:szCs w:val="24"/>
        </w:rPr>
        <w:t>processado</w:t>
      </w:r>
      <w:r w:rsidR="00F23016" w:rsidRPr="001A6A5A">
        <w:rPr>
          <w:rFonts w:ascii="Times New Roman" w:hAnsi="Times New Roman" w:cs="Times New Roman"/>
          <w:sz w:val="24"/>
          <w:szCs w:val="24"/>
        </w:rPr>
        <w:t xml:space="preserve"> pela SEGEPRO, enquanto não </w:t>
      </w:r>
      <w:r w:rsidR="00830FE7">
        <w:rPr>
          <w:rFonts w:ascii="Times New Roman" w:hAnsi="Times New Roman" w:cs="Times New Roman"/>
          <w:sz w:val="24"/>
          <w:szCs w:val="24"/>
        </w:rPr>
        <w:t>verificado</w:t>
      </w:r>
      <w:r w:rsidR="00F23016" w:rsidRPr="001A6A5A">
        <w:rPr>
          <w:rFonts w:ascii="Times New Roman" w:hAnsi="Times New Roman" w:cs="Times New Roman"/>
          <w:sz w:val="24"/>
          <w:szCs w:val="24"/>
        </w:rPr>
        <w:t xml:space="preserve"> o cumprimento da </w:t>
      </w:r>
      <w:r w:rsidR="00F23016" w:rsidRPr="001A6A5A">
        <w:rPr>
          <w:rFonts w:ascii="Times New Roman" w:hAnsi="Times New Roman" w:cs="Times New Roman"/>
          <w:sz w:val="24"/>
          <w:szCs w:val="24"/>
        </w:rPr>
        <w:lastRenderedPageBreak/>
        <w:t xml:space="preserve">sistemática estabelecida na I RAE de 2016, </w:t>
      </w:r>
      <w:r w:rsidR="00555039" w:rsidRPr="001A6A5A">
        <w:rPr>
          <w:rFonts w:ascii="Times New Roman" w:hAnsi="Times New Roman" w:cs="Times New Roman"/>
          <w:sz w:val="24"/>
          <w:szCs w:val="24"/>
        </w:rPr>
        <w:t xml:space="preserve">conclui-se pelo </w:t>
      </w:r>
      <w:r w:rsidRPr="001A6A5A">
        <w:rPr>
          <w:rFonts w:ascii="Times New Roman" w:hAnsi="Times New Roman" w:cs="Times New Roman"/>
          <w:sz w:val="24"/>
          <w:szCs w:val="24"/>
        </w:rPr>
        <w:t xml:space="preserve">não </w:t>
      </w:r>
      <w:r w:rsidR="00555039" w:rsidRPr="001A6A5A">
        <w:rPr>
          <w:rFonts w:ascii="Times New Roman" w:hAnsi="Times New Roman" w:cs="Times New Roman"/>
          <w:sz w:val="24"/>
          <w:szCs w:val="24"/>
        </w:rPr>
        <w:t>saneamento das fragilidades ora evidenciadas.</w:t>
      </w:r>
      <w:r w:rsidR="00997BEA" w:rsidRPr="001A6A5A">
        <w:rPr>
          <w:rFonts w:ascii="Times New Roman" w:hAnsi="Times New Roman" w:cs="Times New Roman"/>
          <w:sz w:val="24"/>
          <w:szCs w:val="24"/>
        </w:rPr>
        <w:t xml:space="preserve"> </w:t>
      </w:r>
    </w:p>
    <w:p w:rsidR="00125CA1" w:rsidRPr="00997BEA" w:rsidRDefault="00125CA1" w:rsidP="00125CA1">
      <w:pPr>
        <w:pStyle w:val="PargrafodaLista"/>
        <w:numPr>
          <w:ilvl w:val="2"/>
          <w:numId w:val="1"/>
        </w:numPr>
        <w:spacing w:before="120"/>
        <w:jc w:val="both"/>
        <w:rPr>
          <w:b w:val="0"/>
          <w:color w:val="000000" w:themeColor="text1"/>
          <w:spacing w:val="-2"/>
          <w:sz w:val="24"/>
          <w:szCs w:val="24"/>
          <w:u w:val="single"/>
        </w:rPr>
      </w:pPr>
      <w:bookmarkStart w:id="16" w:name="_Toc511288063"/>
      <w:r w:rsidRPr="00997BEA">
        <w:rPr>
          <w:b w:val="0"/>
          <w:color w:val="000000" w:themeColor="text1"/>
          <w:spacing w:val="-2"/>
          <w:sz w:val="24"/>
          <w:szCs w:val="24"/>
          <w:u w:val="single"/>
        </w:rPr>
        <w:t xml:space="preserve">Deficiência na formulação de planos de gestão para o cumprimento da </w:t>
      </w:r>
      <w:r w:rsidR="00997BEA" w:rsidRPr="00997BEA">
        <w:rPr>
          <w:b w:val="0"/>
          <w:color w:val="000000" w:themeColor="text1"/>
          <w:spacing w:val="-2"/>
          <w:sz w:val="24"/>
          <w:szCs w:val="24"/>
          <w:u w:val="single"/>
        </w:rPr>
        <w:t>e</w:t>
      </w:r>
      <w:r w:rsidRPr="00997BEA">
        <w:rPr>
          <w:b w:val="0"/>
          <w:color w:val="000000" w:themeColor="text1"/>
          <w:spacing w:val="-2"/>
          <w:sz w:val="24"/>
          <w:szCs w:val="24"/>
          <w:u w:val="single"/>
        </w:rPr>
        <w:t>stratégia</w:t>
      </w:r>
      <w:r w:rsidR="00997BEA" w:rsidRPr="00997BEA">
        <w:rPr>
          <w:b w:val="0"/>
          <w:color w:val="000000" w:themeColor="text1"/>
          <w:spacing w:val="-2"/>
          <w:sz w:val="24"/>
          <w:szCs w:val="24"/>
          <w:u w:val="single"/>
        </w:rPr>
        <w:t>.</w:t>
      </w:r>
      <w:bookmarkEnd w:id="16"/>
    </w:p>
    <w:p w:rsidR="00125CA1" w:rsidRPr="00125CA1" w:rsidRDefault="00125CA1" w:rsidP="00125CA1">
      <w:pPr>
        <w:numPr>
          <w:ilvl w:val="3"/>
          <w:numId w:val="1"/>
        </w:numPr>
        <w:spacing w:after="0" w:line="240" w:lineRule="auto"/>
        <w:ind w:left="1077" w:hanging="1077"/>
        <w:jc w:val="both"/>
        <w:rPr>
          <w:rFonts w:ascii="Times New Roman" w:hAnsi="Times New Roman" w:cs="Times New Roman"/>
          <w:i/>
          <w:sz w:val="24"/>
          <w:szCs w:val="24"/>
        </w:rPr>
      </w:pPr>
      <w:r w:rsidRPr="00125CA1">
        <w:rPr>
          <w:rFonts w:ascii="Times New Roman" w:hAnsi="Times New Roman" w:cs="Times New Roman"/>
          <w:i/>
          <w:sz w:val="24"/>
          <w:szCs w:val="24"/>
        </w:rPr>
        <w:t>Situação encontrada:</w:t>
      </w:r>
    </w:p>
    <w:p w:rsidR="00125CA1" w:rsidRPr="00775054" w:rsidRDefault="00F01F95" w:rsidP="00F01F9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Em entrevistas realizadas com os gestores da SGA, STI, SGP, ASCOM, COELE, SJU e SCR observou-se que o processo de gerenciamento de metas de curto, médio e </w:t>
      </w:r>
      <w:proofErr w:type="gramStart"/>
      <w:r w:rsidRPr="00775054">
        <w:rPr>
          <w:rFonts w:ascii="Times New Roman" w:hAnsi="Times New Roman" w:cs="Times New Roman"/>
          <w:color w:val="000000" w:themeColor="text1"/>
          <w:sz w:val="24"/>
          <w:szCs w:val="24"/>
        </w:rPr>
        <w:t>longo prazo</w:t>
      </w:r>
      <w:r w:rsidR="00997BEA">
        <w:rPr>
          <w:rFonts w:ascii="Times New Roman" w:hAnsi="Times New Roman" w:cs="Times New Roman"/>
          <w:color w:val="000000" w:themeColor="text1"/>
          <w:sz w:val="24"/>
          <w:szCs w:val="24"/>
        </w:rPr>
        <w:t>s</w:t>
      </w:r>
      <w:proofErr w:type="gramEnd"/>
      <w:r w:rsidRPr="00775054">
        <w:rPr>
          <w:rFonts w:ascii="Times New Roman" w:hAnsi="Times New Roman" w:cs="Times New Roman"/>
          <w:color w:val="000000" w:themeColor="text1"/>
          <w:sz w:val="24"/>
          <w:szCs w:val="24"/>
        </w:rPr>
        <w:t xml:space="preserve"> ainda é incipiente no Tribunal e não há um planejamento formalizado para tanto, </w:t>
      </w:r>
      <w:r w:rsidR="00997BEA">
        <w:rPr>
          <w:rFonts w:ascii="Times New Roman" w:hAnsi="Times New Roman" w:cs="Times New Roman"/>
          <w:color w:val="000000" w:themeColor="text1"/>
          <w:sz w:val="24"/>
          <w:szCs w:val="24"/>
        </w:rPr>
        <w:t xml:space="preserve">embora </w:t>
      </w:r>
      <w:r w:rsidRPr="00775054">
        <w:rPr>
          <w:rFonts w:ascii="Times New Roman" w:hAnsi="Times New Roman" w:cs="Times New Roman"/>
          <w:color w:val="000000" w:themeColor="text1"/>
          <w:sz w:val="24"/>
          <w:szCs w:val="24"/>
        </w:rPr>
        <w:t>os gestores compreend</w:t>
      </w:r>
      <w:r w:rsidR="00997BEA">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m a importância de ter plano de gestão para a unidade. Além disso, até novembro de 2017, não se verificou indicação de gerente para o projeto PLANOP, o que, de acordo com a COPEG, decorre da necessidade de capacitação em planejamento operacional para todas as áreas do Tribunal.</w:t>
      </w:r>
    </w:p>
    <w:p w:rsidR="00F01F95" w:rsidRPr="00775054" w:rsidRDefault="00F01F95" w:rsidP="00F01F9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Critério(s):</w:t>
      </w:r>
    </w:p>
    <w:p w:rsidR="00F01F95" w:rsidRPr="007C3F0D" w:rsidRDefault="00F01F95" w:rsidP="00F01F95">
      <w:pPr>
        <w:numPr>
          <w:ilvl w:val="4"/>
          <w:numId w:val="1"/>
        </w:numPr>
        <w:spacing w:after="0" w:line="240" w:lineRule="auto"/>
        <w:jc w:val="both"/>
        <w:rPr>
          <w:rFonts w:ascii="Times New Roman" w:hAnsi="Times New Roman" w:cs="Times New Roman"/>
          <w:color w:val="000000" w:themeColor="text1"/>
          <w:spacing w:val="-2"/>
          <w:sz w:val="24"/>
          <w:szCs w:val="24"/>
        </w:rPr>
      </w:pPr>
      <w:r w:rsidRPr="007C3F0D">
        <w:rPr>
          <w:rFonts w:ascii="Times New Roman" w:hAnsi="Times New Roman" w:cs="Times New Roman"/>
          <w:color w:val="000000" w:themeColor="text1"/>
          <w:spacing w:val="-2"/>
          <w:sz w:val="24"/>
          <w:szCs w:val="24"/>
        </w:rPr>
        <w:t xml:space="preserve">Resolução Administrativa TRE-BA nº 14/2015, art. 2º; Referencial </w:t>
      </w:r>
      <w:r w:rsidR="00997BEA" w:rsidRPr="007C3F0D">
        <w:rPr>
          <w:rFonts w:ascii="Times New Roman" w:hAnsi="Times New Roman" w:cs="Times New Roman"/>
          <w:color w:val="000000" w:themeColor="text1"/>
          <w:spacing w:val="-2"/>
          <w:sz w:val="24"/>
          <w:szCs w:val="24"/>
        </w:rPr>
        <w:t>B</w:t>
      </w:r>
      <w:r w:rsidRPr="007C3F0D">
        <w:rPr>
          <w:rFonts w:ascii="Times New Roman" w:hAnsi="Times New Roman" w:cs="Times New Roman"/>
          <w:color w:val="000000" w:themeColor="text1"/>
          <w:spacing w:val="-2"/>
          <w:sz w:val="24"/>
          <w:szCs w:val="24"/>
        </w:rPr>
        <w:t xml:space="preserve">ásico de </w:t>
      </w:r>
      <w:r w:rsidR="00997BEA" w:rsidRPr="007C3F0D">
        <w:rPr>
          <w:rFonts w:ascii="Times New Roman" w:hAnsi="Times New Roman" w:cs="Times New Roman"/>
          <w:color w:val="000000" w:themeColor="text1"/>
          <w:spacing w:val="-2"/>
          <w:sz w:val="24"/>
          <w:szCs w:val="24"/>
        </w:rPr>
        <w:t>G</w:t>
      </w:r>
      <w:r w:rsidRPr="007C3F0D">
        <w:rPr>
          <w:rFonts w:ascii="Times New Roman" w:hAnsi="Times New Roman" w:cs="Times New Roman"/>
          <w:color w:val="000000" w:themeColor="text1"/>
          <w:spacing w:val="-2"/>
          <w:sz w:val="24"/>
          <w:szCs w:val="24"/>
        </w:rPr>
        <w:t xml:space="preserve">overnança, </w:t>
      </w:r>
      <w:r w:rsidR="00997BEA" w:rsidRPr="007C3F0D">
        <w:rPr>
          <w:rFonts w:ascii="Times New Roman" w:hAnsi="Times New Roman" w:cs="Times New Roman"/>
          <w:color w:val="000000" w:themeColor="text1"/>
          <w:spacing w:val="-2"/>
          <w:sz w:val="24"/>
          <w:szCs w:val="24"/>
        </w:rPr>
        <w:t xml:space="preserve">TCU, </w:t>
      </w:r>
      <w:r w:rsidRPr="007C3F0D">
        <w:rPr>
          <w:rFonts w:ascii="Times New Roman" w:hAnsi="Times New Roman" w:cs="Times New Roman"/>
          <w:color w:val="000000" w:themeColor="text1"/>
          <w:spacing w:val="-2"/>
          <w:sz w:val="24"/>
          <w:szCs w:val="24"/>
        </w:rPr>
        <w:t xml:space="preserve">Versão 2 – 2014, Práticas </w:t>
      </w:r>
      <w:proofErr w:type="gramStart"/>
      <w:r w:rsidRPr="007C3F0D">
        <w:rPr>
          <w:rFonts w:ascii="Times New Roman" w:hAnsi="Times New Roman" w:cs="Times New Roman"/>
          <w:color w:val="000000" w:themeColor="text1"/>
          <w:spacing w:val="-2"/>
          <w:sz w:val="24"/>
          <w:szCs w:val="24"/>
        </w:rPr>
        <w:t>E2.</w:t>
      </w:r>
      <w:proofErr w:type="gramEnd"/>
      <w:r w:rsidRPr="007C3F0D">
        <w:rPr>
          <w:rFonts w:ascii="Times New Roman" w:hAnsi="Times New Roman" w:cs="Times New Roman"/>
          <w:color w:val="000000" w:themeColor="text1"/>
          <w:spacing w:val="-2"/>
          <w:sz w:val="24"/>
          <w:szCs w:val="24"/>
        </w:rPr>
        <w:t xml:space="preserve">1 e E2.3; e Gerenciamento de Riscos Corporativos Integrado com a Estratégia e Performance do COSO, traduzido por </w:t>
      </w:r>
      <w:proofErr w:type="spellStart"/>
      <w:r w:rsidRPr="007C3F0D">
        <w:rPr>
          <w:rFonts w:ascii="Times New Roman" w:hAnsi="Times New Roman" w:cs="Times New Roman"/>
          <w:color w:val="000000" w:themeColor="text1"/>
          <w:spacing w:val="-2"/>
          <w:sz w:val="24"/>
          <w:szCs w:val="24"/>
        </w:rPr>
        <w:t>PwC</w:t>
      </w:r>
      <w:proofErr w:type="spellEnd"/>
      <w:r w:rsidRPr="007C3F0D">
        <w:rPr>
          <w:rFonts w:ascii="Times New Roman" w:hAnsi="Times New Roman" w:cs="Times New Roman"/>
          <w:color w:val="000000" w:themeColor="text1"/>
          <w:spacing w:val="-2"/>
          <w:sz w:val="24"/>
          <w:szCs w:val="24"/>
        </w:rPr>
        <w:t>, junho de 2017, Componentes e Princípios 2 e 9.</w:t>
      </w:r>
    </w:p>
    <w:p w:rsidR="00F01F95" w:rsidRPr="00775054" w:rsidRDefault="00F01F95" w:rsidP="00F01F9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F01F95" w:rsidRPr="001A6A5A" w:rsidRDefault="00F01F95" w:rsidP="00F01F95">
      <w:pPr>
        <w:numPr>
          <w:ilvl w:val="4"/>
          <w:numId w:val="1"/>
        </w:numPr>
        <w:spacing w:after="0" w:line="240" w:lineRule="auto"/>
        <w:jc w:val="both"/>
        <w:rPr>
          <w:rFonts w:ascii="Times New Roman" w:hAnsi="Times New Roman" w:cs="Times New Roman"/>
          <w:sz w:val="24"/>
          <w:szCs w:val="24"/>
        </w:rPr>
      </w:pPr>
      <w:r w:rsidRPr="001A6A5A">
        <w:rPr>
          <w:rFonts w:ascii="Times New Roman" w:hAnsi="Times New Roman" w:cs="Times New Roman"/>
          <w:sz w:val="24"/>
          <w:szCs w:val="24"/>
        </w:rPr>
        <w:t>Incipiente cultura organizacional em orientação para resultados; excesso de demandas das unidades</w:t>
      </w:r>
      <w:r w:rsidR="00997BEA" w:rsidRPr="001A6A5A">
        <w:rPr>
          <w:rFonts w:ascii="Times New Roman" w:hAnsi="Times New Roman" w:cs="Times New Roman"/>
          <w:sz w:val="24"/>
          <w:szCs w:val="24"/>
        </w:rPr>
        <w:t xml:space="preserve"> determinando operacionalização de atividades por gestores</w:t>
      </w:r>
      <w:r w:rsidRPr="001A6A5A">
        <w:rPr>
          <w:rFonts w:ascii="Times New Roman" w:hAnsi="Times New Roman" w:cs="Times New Roman"/>
          <w:sz w:val="24"/>
          <w:szCs w:val="24"/>
        </w:rPr>
        <w:t xml:space="preserve">; e </w:t>
      </w:r>
      <w:r w:rsidR="001A6A5A" w:rsidRPr="001A6A5A">
        <w:rPr>
          <w:rFonts w:ascii="Times New Roman" w:hAnsi="Times New Roman" w:cs="Times New Roman"/>
          <w:sz w:val="24"/>
          <w:szCs w:val="24"/>
        </w:rPr>
        <w:t>deficiência</w:t>
      </w:r>
      <w:r w:rsidRPr="001A6A5A">
        <w:rPr>
          <w:rFonts w:ascii="Times New Roman" w:hAnsi="Times New Roman" w:cs="Times New Roman"/>
          <w:sz w:val="24"/>
          <w:szCs w:val="24"/>
        </w:rPr>
        <w:t xml:space="preserve"> de capacitação em planejamento operacional.</w:t>
      </w:r>
    </w:p>
    <w:p w:rsidR="00F01F95" w:rsidRPr="00775054" w:rsidRDefault="00F01F95" w:rsidP="00F01F9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F01F95" w:rsidRPr="00775054" w:rsidRDefault="00F01F95" w:rsidP="00F01F9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Comprometimento da concretização da missão e do alcance da visão de futuro institucionais; dispersão de esforços e recursos na busca da concretização da missão institucional; não cumprimento ou cumprimento deficiente dos objetivos estratégicos, iniciativas e metas associadas; comprometimento da celeridade e qualidade das entregas associadas à execução da estratégia; e execução deficiente do planejamento.</w:t>
      </w:r>
    </w:p>
    <w:p w:rsidR="00F01F95" w:rsidRPr="00775054" w:rsidRDefault="00F01F95" w:rsidP="00F01F9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F01F95" w:rsidRPr="002805DF" w:rsidRDefault="00F01F95" w:rsidP="00FD3300">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PAD 16.137/2016 (Doc</w:t>
      </w:r>
      <w:r w:rsidR="00822082"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n</w:t>
      </w:r>
      <w:r w:rsidR="00822082" w:rsidRPr="00775054">
        <w:rPr>
          <w:rFonts w:ascii="Times New Roman" w:hAnsi="Times New Roman" w:cs="Times New Roman"/>
          <w:color w:val="000000" w:themeColor="text1"/>
          <w:sz w:val="24"/>
          <w:szCs w:val="24"/>
        </w:rPr>
        <w:t>º</w:t>
      </w:r>
      <w:r w:rsidRPr="00775054">
        <w:rPr>
          <w:rFonts w:ascii="Times New Roman" w:hAnsi="Times New Roman" w:cs="Times New Roman"/>
          <w:color w:val="000000" w:themeColor="text1"/>
          <w:sz w:val="24"/>
          <w:szCs w:val="24"/>
        </w:rPr>
        <w:t xml:space="preserve"> 227.374/2016); PAD nº 14.851/2017 (Doc. nº 207.246/2017); PAD 14.853/2017 (Doc. nº 214.809/2017); PAD nº 14.855/2017 (Doc. nº 207.284/2017); PAD nº 14.857/2017 (Doc</w:t>
      </w:r>
      <w:r w:rsidR="00822082"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nº 207.293/2017); PAD nº 14.859/2017 (Doc.</w:t>
      </w:r>
      <w:r w:rsidR="00822082" w:rsidRPr="00775054">
        <w:rPr>
          <w:rFonts w:ascii="Times New Roman" w:hAnsi="Times New Roman" w:cs="Times New Roman"/>
          <w:color w:val="000000" w:themeColor="text1"/>
          <w:sz w:val="24"/>
          <w:szCs w:val="24"/>
        </w:rPr>
        <w:t xml:space="preserve"> nº</w:t>
      </w:r>
      <w:r w:rsidRPr="00775054">
        <w:rPr>
          <w:rFonts w:ascii="Times New Roman" w:hAnsi="Times New Roman" w:cs="Times New Roman"/>
          <w:color w:val="000000" w:themeColor="text1"/>
          <w:sz w:val="24"/>
          <w:szCs w:val="24"/>
        </w:rPr>
        <w:t xml:space="preserve"> 207.303/2017);</w:t>
      </w:r>
      <w:r w:rsidR="00FD3300">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PAD nº 14.866/2017 (Doc.</w:t>
      </w:r>
      <w:r w:rsidR="00822082"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nº 214.272/2017)</w:t>
      </w:r>
      <w:r w:rsidR="00FD3300">
        <w:rPr>
          <w:rFonts w:ascii="Times New Roman" w:hAnsi="Times New Roman" w:cs="Times New Roman"/>
          <w:color w:val="000000" w:themeColor="text1"/>
          <w:sz w:val="24"/>
          <w:szCs w:val="24"/>
        </w:rPr>
        <w:t xml:space="preserve">; </w:t>
      </w:r>
      <w:r w:rsidR="00FD3300" w:rsidRPr="002805DF">
        <w:rPr>
          <w:rFonts w:ascii="Times New Roman" w:hAnsi="Times New Roman" w:cs="Times New Roman"/>
          <w:sz w:val="24"/>
          <w:szCs w:val="24"/>
        </w:rPr>
        <w:t>e PAD nº 4.727/2018 (Doc. nº 66.079/2018</w:t>
      </w:r>
      <w:r w:rsidR="00DF0E11" w:rsidRPr="002805DF">
        <w:rPr>
          <w:rFonts w:ascii="Times New Roman" w:hAnsi="Times New Roman" w:cs="Times New Roman"/>
          <w:sz w:val="24"/>
          <w:szCs w:val="24"/>
        </w:rPr>
        <w:t>,</w:t>
      </w:r>
      <w:r w:rsidR="00FD3300" w:rsidRPr="002805DF">
        <w:rPr>
          <w:rFonts w:ascii="Times New Roman" w:hAnsi="Times New Roman" w:cs="Times New Roman"/>
          <w:sz w:val="24"/>
          <w:szCs w:val="24"/>
        </w:rPr>
        <w:t xml:space="preserve"> 66.866/2018</w:t>
      </w:r>
      <w:r w:rsidR="00DF0E11" w:rsidRPr="002805DF">
        <w:rPr>
          <w:rFonts w:ascii="Times New Roman" w:hAnsi="Times New Roman" w:cs="Times New Roman"/>
          <w:sz w:val="24"/>
          <w:szCs w:val="24"/>
        </w:rPr>
        <w:t xml:space="preserve"> e 80.064/2018</w:t>
      </w:r>
      <w:r w:rsidR="00FD3300" w:rsidRPr="002805DF">
        <w:rPr>
          <w:rFonts w:ascii="Times New Roman" w:hAnsi="Times New Roman" w:cs="Times New Roman"/>
          <w:sz w:val="24"/>
          <w:szCs w:val="24"/>
        </w:rPr>
        <w:t>)</w:t>
      </w:r>
      <w:r w:rsidRPr="002805DF">
        <w:rPr>
          <w:rFonts w:ascii="Times New Roman" w:hAnsi="Times New Roman" w:cs="Times New Roman"/>
          <w:sz w:val="24"/>
          <w:szCs w:val="24"/>
        </w:rPr>
        <w:t>.</w:t>
      </w:r>
    </w:p>
    <w:p w:rsidR="00F01F95" w:rsidRPr="00775054" w:rsidRDefault="00F01F95" w:rsidP="00F01F9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w:t>
      </w:r>
      <w:r w:rsidR="00C0236B" w:rsidRPr="00775054">
        <w:rPr>
          <w:rFonts w:ascii="Times New Roman" w:hAnsi="Times New Roman" w:cs="Times New Roman"/>
          <w:i/>
          <w:color w:val="000000" w:themeColor="text1"/>
          <w:sz w:val="24"/>
          <w:szCs w:val="24"/>
        </w:rPr>
        <w:t xml:space="preserve">os </w:t>
      </w:r>
      <w:r w:rsidRPr="00775054">
        <w:rPr>
          <w:rFonts w:ascii="Times New Roman" w:hAnsi="Times New Roman" w:cs="Times New Roman"/>
          <w:i/>
          <w:color w:val="000000" w:themeColor="text1"/>
          <w:sz w:val="24"/>
          <w:szCs w:val="24"/>
        </w:rPr>
        <w:t>dos responsáveis:</w:t>
      </w:r>
    </w:p>
    <w:p w:rsidR="000478D5" w:rsidRPr="00775054" w:rsidRDefault="000478D5" w:rsidP="000478D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8/2018 (PAD nº 1.310/2018, Doc</w:t>
      </w:r>
      <w:r w:rsidR="00822082" w:rsidRPr="00775054">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nº 30.991/2018), a SGP esclareceu que, em 2018, não terá condições de ofertar </w:t>
      </w:r>
      <w:r w:rsidR="008B4425" w:rsidRPr="00775054">
        <w:rPr>
          <w:rFonts w:ascii="Times New Roman" w:hAnsi="Times New Roman" w:cs="Times New Roman"/>
          <w:color w:val="000000" w:themeColor="text1"/>
          <w:sz w:val="24"/>
          <w:szCs w:val="24"/>
        </w:rPr>
        <w:t>capacitação em planejamento operacional</w:t>
      </w:r>
      <w:r w:rsidRPr="00775054">
        <w:rPr>
          <w:rFonts w:ascii="Times New Roman" w:hAnsi="Times New Roman" w:cs="Times New Roman"/>
          <w:color w:val="000000" w:themeColor="text1"/>
          <w:sz w:val="24"/>
          <w:szCs w:val="24"/>
        </w:rPr>
        <w:t xml:space="preserve"> para todos os gestores, a menos que ocorra de forma interna, com oficinas conduzidas pelos servidores da COPEG, ou no formato EAD, que necessita de </w:t>
      </w:r>
      <w:proofErr w:type="spellStart"/>
      <w:r w:rsidRPr="00775054">
        <w:rPr>
          <w:rFonts w:ascii="Times New Roman" w:hAnsi="Times New Roman" w:cs="Times New Roman"/>
          <w:color w:val="000000" w:themeColor="text1"/>
          <w:sz w:val="24"/>
          <w:szCs w:val="24"/>
        </w:rPr>
        <w:t>conteudistas</w:t>
      </w:r>
      <w:proofErr w:type="spellEnd"/>
      <w:r w:rsidRPr="00775054">
        <w:rPr>
          <w:rFonts w:ascii="Times New Roman" w:hAnsi="Times New Roman" w:cs="Times New Roman"/>
          <w:color w:val="000000" w:themeColor="text1"/>
          <w:sz w:val="24"/>
          <w:szCs w:val="24"/>
        </w:rPr>
        <w:t xml:space="preserve"> e tutores </w:t>
      </w:r>
      <w:r w:rsidR="00625848" w:rsidRPr="00775054">
        <w:rPr>
          <w:rFonts w:ascii="Times New Roman" w:hAnsi="Times New Roman" w:cs="Times New Roman"/>
          <w:color w:val="000000" w:themeColor="text1"/>
          <w:sz w:val="24"/>
          <w:szCs w:val="24"/>
        </w:rPr>
        <w:t xml:space="preserve">internos. </w:t>
      </w:r>
      <w:r w:rsidR="008B4425" w:rsidRPr="00775054">
        <w:rPr>
          <w:rFonts w:ascii="Times New Roman" w:hAnsi="Times New Roman" w:cs="Times New Roman"/>
          <w:color w:val="000000" w:themeColor="text1"/>
          <w:sz w:val="24"/>
          <w:szCs w:val="24"/>
        </w:rPr>
        <w:t xml:space="preserve">Ressaltou que </w:t>
      </w:r>
      <w:r w:rsidR="00625848" w:rsidRPr="00775054">
        <w:rPr>
          <w:rFonts w:ascii="Times New Roman" w:hAnsi="Times New Roman" w:cs="Times New Roman"/>
          <w:color w:val="000000" w:themeColor="text1"/>
          <w:sz w:val="24"/>
          <w:szCs w:val="24"/>
        </w:rPr>
        <w:t>se coloc</w:t>
      </w:r>
      <w:r w:rsidR="008B4425" w:rsidRPr="00775054">
        <w:rPr>
          <w:rFonts w:ascii="Times New Roman" w:hAnsi="Times New Roman" w:cs="Times New Roman"/>
          <w:color w:val="000000" w:themeColor="text1"/>
          <w:sz w:val="24"/>
          <w:szCs w:val="24"/>
        </w:rPr>
        <w:t>a</w:t>
      </w:r>
      <w:r w:rsidR="00166A01">
        <w:rPr>
          <w:rFonts w:ascii="Times New Roman" w:hAnsi="Times New Roman" w:cs="Times New Roman"/>
          <w:color w:val="000000" w:themeColor="text1"/>
          <w:sz w:val="24"/>
          <w:szCs w:val="24"/>
        </w:rPr>
        <w:t>ria</w:t>
      </w:r>
      <w:r w:rsidR="00625848" w:rsidRPr="00775054">
        <w:rPr>
          <w:rFonts w:ascii="Times New Roman" w:hAnsi="Times New Roman" w:cs="Times New Roman"/>
          <w:color w:val="000000" w:themeColor="text1"/>
          <w:sz w:val="24"/>
          <w:szCs w:val="24"/>
        </w:rPr>
        <w:t xml:space="preserve"> à disposição para auxiliar a COPEG na construção da solução.</w:t>
      </w:r>
      <w:r w:rsidR="00660491" w:rsidRPr="00775054">
        <w:rPr>
          <w:rFonts w:ascii="Times New Roman" w:hAnsi="Times New Roman" w:cs="Times New Roman"/>
          <w:color w:val="000000" w:themeColor="text1"/>
          <w:sz w:val="24"/>
          <w:szCs w:val="24"/>
        </w:rPr>
        <w:t xml:space="preserve"> Salientou, ainda, a existência de curso </w:t>
      </w:r>
      <w:r w:rsidR="00660491" w:rsidRPr="00997BEA">
        <w:rPr>
          <w:rFonts w:ascii="Times New Roman" w:hAnsi="Times New Roman" w:cs="Times New Roman"/>
          <w:i/>
          <w:color w:val="000000" w:themeColor="text1"/>
          <w:sz w:val="24"/>
          <w:szCs w:val="24"/>
        </w:rPr>
        <w:t>online</w:t>
      </w:r>
      <w:r w:rsidR="00660491" w:rsidRPr="00775054">
        <w:rPr>
          <w:rFonts w:ascii="Times New Roman" w:hAnsi="Times New Roman" w:cs="Times New Roman"/>
          <w:color w:val="000000" w:themeColor="text1"/>
          <w:sz w:val="24"/>
          <w:szCs w:val="24"/>
        </w:rPr>
        <w:t xml:space="preserve"> Gestão Estratégica com uso do BSC, relacionado à </w:t>
      </w:r>
      <w:proofErr w:type="gramStart"/>
      <w:r w:rsidR="00660491" w:rsidRPr="00775054">
        <w:rPr>
          <w:rFonts w:ascii="Times New Roman" w:hAnsi="Times New Roman" w:cs="Times New Roman"/>
          <w:color w:val="000000" w:themeColor="text1"/>
          <w:sz w:val="24"/>
          <w:szCs w:val="24"/>
        </w:rPr>
        <w:t>temática planejamento</w:t>
      </w:r>
      <w:proofErr w:type="gramEnd"/>
      <w:r w:rsidR="00660491" w:rsidRPr="00775054">
        <w:rPr>
          <w:rFonts w:ascii="Times New Roman" w:hAnsi="Times New Roman" w:cs="Times New Roman"/>
          <w:color w:val="000000" w:themeColor="text1"/>
          <w:sz w:val="24"/>
          <w:szCs w:val="24"/>
        </w:rPr>
        <w:t xml:space="preserve"> operacional, oferecido no último ciclo de capacitação EAD 2017</w:t>
      </w:r>
      <w:r w:rsidR="000A7463">
        <w:rPr>
          <w:rFonts w:ascii="Times New Roman" w:hAnsi="Times New Roman" w:cs="Times New Roman"/>
          <w:color w:val="000000" w:themeColor="text1"/>
          <w:sz w:val="24"/>
          <w:szCs w:val="24"/>
        </w:rPr>
        <w:t>,</w:t>
      </w:r>
      <w:r w:rsidR="00660491" w:rsidRPr="00775054">
        <w:rPr>
          <w:rFonts w:ascii="Times New Roman" w:hAnsi="Times New Roman" w:cs="Times New Roman"/>
          <w:color w:val="000000" w:themeColor="text1"/>
          <w:sz w:val="24"/>
          <w:szCs w:val="24"/>
        </w:rPr>
        <w:t xml:space="preserve"> a ser disponibilizado </w:t>
      </w:r>
      <w:r w:rsidR="00997BEA">
        <w:rPr>
          <w:rFonts w:ascii="Times New Roman" w:hAnsi="Times New Roman" w:cs="Times New Roman"/>
          <w:color w:val="000000" w:themeColor="text1"/>
          <w:sz w:val="24"/>
          <w:szCs w:val="24"/>
        </w:rPr>
        <w:t xml:space="preserve">em </w:t>
      </w:r>
      <w:r w:rsidR="00660491" w:rsidRPr="00775054">
        <w:rPr>
          <w:rFonts w:ascii="Times New Roman" w:hAnsi="Times New Roman" w:cs="Times New Roman"/>
          <w:color w:val="000000" w:themeColor="text1"/>
          <w:sz w:val="24"/>
          <w:szCs w:val="24"/>
        </w:rPr>
        <w:t>nova turma, a todos os servidores, em 2018.</w:t>
      </w:r>
      <w:r w:rsidRPr="00775054">
        <w:rPr>
          <w:rFonts w:ascii="Times New Roman" w:hAnsi="Times New Roman" w:cs="Times New Roman"/>
          <w:color w:val="000000" w:themeColor="text1"/>
          <w:sz w:val="24"/>
          <w:szCs w:val="24"/>
        </w:rPr>
        <w:t xml:space="preserve"> </w:t>
      </w:r>
    </w:p>
    <w:p w:rsidR="00F01F95" w:rsidRPr="00344515" w:rsidRDefault="00812BF8" w:rsidP="00812BF8">
      <w:pPr>
        <w:numPr>
          <w:ilvl w:val="4"/>
          <w:numId w:val="1"/>
        </w:numPr>
        <w:spacing w:after="0" w:line="240" w:lineRule="auto"/>
        <w:jc w:val="both"/>
        <w:rPr>
          <w:rFonts w:ascii="Times New Roman" w:hAnsi="Times New Roman" w:cs="Times New Roman"/>
          <w:color w:val="000000" w:themeColor="text1"/>
          <w:spacing w:val="-8"/>
          <w:sz w:val="24"/>
          <w:szCs w:val="24"/>
        </w:rPr>
      </w:pPr>
      <w:r w:rsidRPr="00344515">
        <w:rPr>
          <w:rFonts w:ascii="Times New Roman" w:hAnsi="Times New Roman" w:cs="Times New Roman"/>
          <w:color w:val="000000" w:themeColor="text1"/>
          <w:spacing w:val="-8"/>
          <w:sz w:val="24"/>
          <w:szCs w:val="24"/>
        </w:rPr>
        <w:t>Em resposta à RDI Circular nº 2/2018 (PAD nº 1.324/2018, Docs</w:t>
      </w:r>
      <w:r w:rsidR="00822082" w:rsidRPr="00344515">
        <w:rPr>
          <w:rFonts w:ascii="Times New Roman" w:hAnsi="Times New Roman" w:cs="Times New Roman"/>
          <w:color w:val="000000" w:themeColor="text1"/>
          <w:spacing w:val="-8"/>
          <w:sz w:val="24"/>
          <w:szCs w:val="24"/>
        </w:rPr>
        <w:t>. nº</w:t>
      </w:r>
      <w:r w:rsidR="00B24BAB" w:rsidRPr="00344515">
        <w:rPr>
          <w:rFonts w:ascii="Times New Roman" w:hAnsi="Times New Roman" w:cs="Times New Roman"/>
          <w:color w:val="000000" w:themeColor="text1"/>
          <w:spacing w:val="-8"/>
          <w:sz w:val="24"/>
          <w:szCs w:val="24"/>
        </w:rPr>
        <w:t xml:space="preserve"> 20.</w:t>
      </w:r>
      <w:r w:rsidR="00C0236B" w:rsidRPr="00344515">
        <w:rPr>
          <w:rFonts w:ascii="Times New Roman" w:hAnsi="Times New Roman" w:cs="Times New Roman"/>
          <w:color w:val="000000" w:themeColor="text1"/>
          <w:spacing w:val="-8"/>
          <w:sz w:val="24"/>
          <w:szCs w:val="24"/>
        </w:rPr>
        <w:t>172, 20.371, 20.662, 20.566, 20.787, 20.676, 21.484, 22.842 e 24.829/2018</w:t>
      </w:r>
      <w:r w:rsidRPr="00344515">
        <w:rPr>
          <w:rFonts w:ascii="Times New Roman" w:hAnsi="Times New Roman" w:cs="Times New Roman"/>
          <w:color w:val="000000" w:themeColor="text1"/>
          <w:spacing w:val="-8"/>
          <w:sz w:val="24"/>
          <w:szCs w:val="24"/>
        </w:rPr>
        <w:t xml:space="preserve">) os Gestores </w:t>
      </w:r>
      <w:r w:rsidRPr="00344515">
        <w:rPr>
          <w:rFonts w:ascii="Times New Roman" w:hAnsi="Times New Roman" w:cs="Times New Roman"/>
          <w:color w:val="000000" w:themeColor="text1"/>
          <w:spacing w:val="-8"/>
          <w:sz w:val="24"/>
          <w:szCs w:val="24"/>
        </w:rPr>
        <w:lastRenderedPageBreak/>
        <w:t xml:space="preserve">manifestaram ciência acerca dos achados preliminares de auditoria e </w:t>
      </w:r>
      <w:r w:rsidR="00166A01" w:rsidRPr="00344515">
        <w:rPr>
          <w:rFonts w:ascii="Times New Roman" w:hAnsi="Times New Roman" w:cs="Times New Roman"/>
          <w:color w:val="000000" w:themeColor="text1"/>
          <w:spacing w:val="-8"/>
          <w:sz w:val="24"/>
          <w:szCs w:val="24"/>
        </w:rPr>
        <w:t xml:space="preserve">sinalizaram </w:t>
      </w:r>
      <w:r w:rsidRPr="00344515">
        <w:rPr>
          <w:rFonts w:ascii="Times New Roman" w:hAnsi="Times New Roman" w:cs="Times New Roman"/>
          <w:color w:val="000000" w:themeColor="text1"/>
          <w:spacing w:val="-8"/>
          <w:sz w:val="24"/>
          <w:szCs w:val="24"/>
        </w:rPr>
        <w:t>aguarda</w:t>
      </w:r>
      <w:r w:rsidR="00166A01" w:rsidRPr="00344515">
        <w:rPr>
          <w:rFonts w:ascii="Times New Roman" w:hAnsi="Times New Roman" w:cs="Times New Roman"/>
          <w:color w:val="000000" w:themeColor="text1"/>
          <w:spacing w:val="-8"/>
          <w:sz w:val="24"/>
          <w:szCs w:val="24"/>
        </w:rPr>
        <w:t>r</w:t>
      </w:r>
      <w:r w:rsidRPr="00344515">
        <w:rPr>
          <w:rFonts w:ascii="Times New Roman" w:hAnsi="Times New Roman" w:cs="Times New Roman"/>
          <w:color w:val="000000" w:themeColor="text1"/>
          <w:spacing w:val="-8"/>
          <w:sz w:val="24"/>
          <w:szCs w:val="24"/>
        </w:rPr>
        <w:t xml:space="preserve"> orientações da COPEG para formalização dos planos de gestão anual.</w:t>
      </w:r>
    </w:p>
    <w:p w:rsidR="0092140E" w:rsidRPr="00775054" w:rsidRDefault="0092140E" w:rsidP="0092140E">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Al</w:t>
      </w:r>
      <w:r w:rsidRPr="00344515">
        <w:rPr>
          <w:rFonts w:ascii="Times New Roman" w:hAnsi="Times New Roman" w:cs="Times New Roman"/>
          <w:color w:val="000000" w:themeColor="text1"/>
          <w:spacing w:val="-2"/>
          <w:sz w:val="24"/>
          <w:szCs w:val="24"/>
        </w:rPr>
        <w:t>ém disso, a STI esclareceu que o Planejamento Estratégico Institucional (PEI) para o ciclo 2016-2021 apresenta, na perspectiva aprendizado e crescimento, dois objetivos estratégicos voltados à área de TIC: “Aperfeiçoar a Govern</w:t>
      </w:r>
      <w:r w:rsidR="00997BEA" w:rsidRPr="00344515">
        <w:rPr>
          <w:rFonts w:ascii="Times New Roman" w:hAnsi="Times New Roman" w:cs="Times New Roman"/>
          <w:color w:val="000000" w:themeColor="text1"/>
          <w:spacing w:val="-2"/>
          <w:sz w:val="24"/>
          <w:szCs w:val="24"/>
        </w:rPr>
        <w:t>ança de TIC” e</w:t>
      </w:r>
      <w:r w:rsidRPr="00344515">
        <w:rPr>
          <w:rFonts w:ascii="Times New Roman" w:hAnsi="Times New Roman" w:cs="Times New Roman"/>
          <w:color w:val="000000" w:themeColor="text1"/>
          <w:spacing w:val="-2"/>
          <w:sz w:val="24"/>
          <w:szCs w:val="24"/>
        </w:rPr>
        <w:t xml:space="preserve"> “Promover a melhoria dos serviços de TIC. Inform</w:t>
      </w:r>
      <w:r w:rsidR="00997BEA" w:rsidRPr="00344515">
        <w:rPr>
          <w:rFonts w:ascii="Times New Roman" w:hAnsi="Times New Roman" w:cs="Times New Roman"/>
          <w:color w:val="000000" w:themeColor="text1"/>
          <w:spacing w:val="-2"/>
          <w:sz w:val="24"/>
          <w:szCs w:val="24"/>
        </w:rPr>
        <w:t>ou</w:t>
      </w:r>
      <w:r w:rsidRPr="00344515">
        <w:rPr>
          <w:rFonts w:ascii="Times New Roman" w:hAnsi="Times New Roman" w:cs="Times New Roman"/>
          <w:color w:val="000000" w:themeColor="text1"/>
          <w:spacing w:val="-2"/>
          <w:sz w:val="24"/>
          <w:szCs w:val="24"/>
        </w:rPr>
        <w:t xml:space="preserve"> que o objetivo </w:t>
      </w:r>
      <w:proofErr w:type="gramStart"/>
      <w:r w:rsidRPr="00344515">
        <w:rPr>
          <w:rFonts w:ascii="Times New Roman" w:hAnsi="Times New Roman" w:cs="Times New Roman"/>
          <w:color w:val="000000" w:themeColor="text1"/>
          <w:spacing w:val="-2"/>
          <w:sz w:val="24"/>
          <w:szCs w:val="24"/>
        </w:rPr>
        <w:t>“Aperfeiçoar a Governança de TIC possui o indicador: “Evolução do índice de Governança de TIC do TRE-BA</w:t>
      </w:r>
      <w:r w:rsidR="00997BEA" w:rsidRPr="00344515">
        <w:rPr>
          <w:rFonts w:ascii="Times New Roman" w:hAnsi="Times New Roman" w:cs="Times New Roman"/>
          <w:color w:val="000000" w:themeColor="text1"/>
          <w:spacing w:val="-2"/>
          <w:sz w:val="24"/>
          <w:szCs w:val="24"/>
        </w:rPr>
        <w:t>”</w:t>
      </w:r>
      <w:r w:rsidRPr="00344515">
        <w:rPr>
          <w:rFonts w:ascii="Times New Roman" w:hAnsi="Times New Roman" w:cs="Times New Roman"/>
          <w:color w:val="000000" w:themeColor="text1"/>
          <w:spacing w:val="-2"/>
          <w:sz w:val="24"/>
          <w:szCs w:val="24"/>
        </w:rPr>
        <w:t>.</w:t>
      </w:r>
      <w:proofErr w:type="gramEnd"/>
      <w:r w:rsidRPr="00344515">
        <w:rPr>
          <w:color w:val="000000" w:themeColor="text1"/>
          <w:spacing w:val="-2"/>
        </w:rPr>
        <w:t xml:space="preserve"> </w:t>
      </w:r>
      <w:r w:rsidR="00997BEA" w:rsidRPr="00344515">
        <w:rPr>
          <w:rFonts w:ascii="Times New Roman" w:hAnsi="Times New Roman" w:cs="Times New Roman"/>
          <w:color w:val="000000" w:themeColor="text1"/>
          <w:spacing w:val="-2"/>
          <w:sz w:val="24"/>
          <w:szCs w:val="24"/>
        </w:rPr>
        <w:t>Esclareceu que o referido</w:t>
      </w:r>
      <w:r w:rsidRPr="00344515">
        <w:rPr>
          <w:rFonts w:ascii="Times New Roman" w:hAnsi="Times New Roman" w:cs="Times New Roman"/>
          <w:color w:val="000000" w:themeColor="text1"/>
          <w:spacing w:val="-2"/>
          <w:sz w:val="24"/>
          <w:szCs w:val="24"/>
        </w:rPr>
        <w:t xml:space="preserve"> indicador, que media a evolução do Tribunal por meio do índice de governança de TIC, alcançado no Levantamento de Governança de TIC do </w:t>
      </w:r>
      <w:r w:rsidR="00997BEA" w:rsidRPr="00344515">
        <w:rPr>
          <w:rFonts w:ascii="Times New Roman" w:hAnsi="Times New Roman" w:cs="Times New Roman"/>
          <w:color w:val="000000" w:themeColor="text1"/>
          <w:spacing w:val="-2"/>
          <w:sz w:val="24"/>
          <w:szCs w:val="24"/>
        </w:rPr>
        <w:t>TCU</w:t>
      </w:r>
      <w:r w:rsidRPr="00344515">
        <w:rPr>
          <w:rFonts w:ascii="Times New Roman" w:hAnsi="Times New Roman" w:cs="Times New Roman"/>
          <w:color w:val="000000" w:themeColor="text1"/>
          <w:spacing w:val="-2"/>
          <w:sz w:val="24"/>
          <w:szCs w:val="24"/>
        </w:rPr>
        <w:t xml:space="preserve">, passou por alteração aprovada pelo Comitê Gestor de TI (CGTI) e pelo Comitê Gestor da Estratégia. Tal mudança se fez necessária, uma vez que o levantamento de governança realizado pelo TCU deixou de ser exclusivo de TIC, passando para um escopo mais amplo, de Governança Institucional. </w:t>
      </w:r>
      <w:r w:rsidR="00997BEA" w:rsidRPr="00344515">
        <w:rPr>
          <w:rFonts w:ascii="Times New Roman" w:hAnsi="Times New Roman" w:cs="Times New Roman"/>
          <w:color w:val="000000" w:themeColor="text1"/>
          <w:spacing w:val="-2"/>
          <w:sz w:val="24"/>
          <w:szCs w:val="24"/>
        </w:rPr>
        <w:t>Asseverou, a</w:t>
      </w:r>
      <w:r w:rsidRPr="00344515">
        <w:rPr>
          <w:rFonts w:ascii="Times New Roman" w:hAnsi="Times New Roman" w:cs="Times New Roman"/>
          <w:color w:val="000000" w:themeColor="text1"/>
          <w:spacing w:val="-2"/>
          <w:sz w:val="24"/>
          <w:szCs w:val="24"/>
        </w:rPr>
        <w:t xml:space="preserve">ssim, </w:t>
      </w:r>
      <w:r w:rsidR="00997BEA" w:rsidRPr="00344515">
        <w:rPr>
          <w:rFonts w:ascii="Times New Roman" w:hAnsi="Times New Roman" w:cs="Times New Roman"/>
          <w:color w:val="000000" w:themeColor="text1"/>
          <w:spacing w:val="-2"/>
          <w:sz w:val="24"/>
          <w:szCs w:val="24"/>
        </w:rPr>
        <w:t xml:space="preserve">que </w:t>
      </w:r>
      <w:r w:rsidRPr="00344515">
        <w:rPr>
          <w:rFonts w:ascii="Times New Roman" w:hAnsi="Times New Roman" w:cs="Times New Roman"/>
          <w:color w:val="000000" w:themeColor="text1"/>
          <w:spacing w:val="-2"/>
          <w:sz w:val="24"/>
          <w:szCs w:val="24"/>
        </w:rPr>
        <w:t>a partir de 2018, o indicador passará a medir a evolução do índice de Governança de TIC do Tribunal (</w:t>
      </w:r>
      <w:proofErr w:type="spellStart"/>
      <w:proofErr w:type="gramStart"/>
      <w:r w:rsidRPr="00344515">
        <w:rPr>
          <w:rFonts w:ascii="Times New Roman" w:hAnsi="Times New Roman" w:cs="Times New Roman"/>
          <w:color w:val="000000" w:themeColor="text1"/>
          <w:spacing w:val="-2"/>
          <w:sz w:val="24"/>
          <w:szCs w:val="24"/>
        </w:rPr>
        <w:t>iGovTIC</w:t>
      </w:r>
      <w:proofErr w:type="spellEnd"/>
      <w:proofErr w:type="gramEnd"/>
      <w:r w:rsidRPr="00344515">
        <w:rPr>
          <w:rFonts w:ascii="Times New Roman" w:hAnsi="Times New Roman" w:cs="Times New Roman"/>
          <w:color w:val="000000" w:themeColor="text1"/>
          <w:spacing w:val="-2"/>
          <w:sz w:val="24"/>
          <w:szCs w:val="24"/>
        </w:rPr>
        <w:t xml:space="preserve">-JUD), com  base  no levantamento realizado anualmente pelo </w:t>
      </w:r>
      <w:r w:rsidR="00997BEA" w:rsidRPr="00344515">
        <w:rPr>
          <w:rFonts w:ascii="Times New Roman" w:hAnsi="Times New Roman" w:cs="Times New Roman"/>
          <w:color w:val="000000" w:themeColor="text1"/>
          <w:spacing w:val="-2"/>
          <w:sz w:val="24"/>
          <w:szCs w:val="24"/>
        </w:rPr>
        <w:t>CNJ</w:t>
      </w:r>
      <w:r w:rsidRPr="00344515">
        <w:rPr>
          <w:rFonts w:ascii="Times New Roman" w:hAnsi="Times New Roman" w:cs="Times New Roman"/>
          <w:color w:val="000000" w:themeColor="text1"/>
          <w:spacing w:val="-2"/>
          <w:sz w:val="24"/>
          <w:szCs w:val="24"/>
        </w:rPr>
        <w:t>.</w:t>
      </w:r>
    </w:p>
    <w:p w:rsidR="0092140E" w:rsidRPr="00775054" w:rsidRDefault="0092140E" w:rsidP="00CB640A">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A STI ressaltou que, por outro lado, o objetivo estratégico “Promover a melhoria dos serviços de TIC”, que possui o indicador associado: “índice de cumprimento das metas do Planejamento Estratégico de Tecnologia da Informação (PETI)”, tem como propósito avaliar a efetividade do cumprimento das metas estabelecidas no PETI. Lembrou que</w:t>
      </w:r>
      <w:r w:rsidR="00997BEA">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dando continuidade à adoção das melhores práticas de governança e gerenciamento de tecnologia da informação e comunicação, o Tribunal aprovou e publicou novo Planejamento Estratégico de Tecnologia da Informação (PETI), para o ciclo 2016-2021 (Portaria nº 634/2016/Presidência), alinhado à Estratégia Nacional de TIC do Poder Judiciário e à Estratégia do TRE-BA</w:t>
      </w:r>
      <w:r w:rsidR="00CB640A" w:rsidRPr="00775054">
        <w:rPr>
          <w:rFonts w:ascii="Times New Roman" w:hAnsi="Times New Roman" w:cs="Times New Roman"/>
          <w:color w:val="000000" w:themeColor="text1"/>
          <w:sz w:val="24"/>
          <w:szCs w:val="24"/>
        </w:rPr>
        <w:t xml:space="preserve">. Informou que o Planejamento foi elaborado com base no BSC de TI e no documento “Mapeamento dos Objetivos Corporativos do COBIT </w:t>
      </w:r>
      <w:proofErr w:type="gramStart"/>
      <w:r w:rsidR="00CB640A" w:rsidRPr="00775054">
        <w:rPr>
          <w:rFonts w:ascii="Times New Roman" w:hAnsi="Times New Roman" w:cs="Times New Roman"/>
          <w:color w:val="000000" w:themeColor="text1"/>
          <w:sz w:val="24"/>
          <w:szCs w:val="24"/>
        </w:rPr>
        <w:t>5</w:t>
      </w:r>
      <w:proofErr w:type="gramEnd"/>
      <w:r w:rsidR="00CB640A" w:rsidRPr="00775054">
        <w:rPr>
          <w:rFonts w:ascii="Times New Roman" w:hAnsi="Times New Roman" w:cs="Times New Roman"/>
          <w:color w:val="000000" w:themeColor="text1"/>
          <w:sz w:val="24"/>
          <w:szCs w:val="24"/>
        </w:rPr>
        <w:t xml:space="preserve"> em Objetivos de TI”. Esclareceu que o PETI está dividido em dois documentos</w:t>
      </w:r>
      <w:r w:rsidR="00997BEA">
        <w:rPr>
          <w:rFonts w:ascii="Times New Roman" w:hAnsi="Times New Roman" w:cs="Times New Roman"/>
          <w:color w:val="000000" w:themeColor="text1"/>
          <w:sz w:val="24"/>
          <w:szCs w:val="24"/>
        </w:rPr>
        <w:t>:</w:t>
      </w:r>
      <w:r w:rsidR="00CB640A" w:rsidRPr="00775054">
        <w:rPr>
          <w:rFonts w:ascii="Times New Roman" w:hAnsi="Times New Roman" w:cs="Times New Roman"/>
          <w:color w:val="000000" w:themeColor="text1"/>
          <w:sz w:val="24"/>
          <w:szCs w:val="24"/>
        </w:rPr>
        <w:t xml:space="preserve"> o PETI propriamente dito, contendo os fundamentos estratégicos e objetivos relacionados; e</w:t>
      </w:r>
      <w:r w:rsidR="00CD03C0">
        <w:rPr>
          <w:rFonts w:ascii="Times New Roman" w:hAnsi="Times New Roman" w:cs="Times New Roman"/>
          <w:color w:val="000000" w:themeColor="text1"/>
          <w:sz w:val="24"/>
          <w:szCs w:val="24"/>
        </w:rPr>
        <w:t xml:space="preserve"> o Caderno de Indicadores e de Metas de Medição, </w:t>
      </w:r>
      <w:r w:rsidR="00CB640A" w:rsidRPr="00775054">
        <w:rPr>
          <w:rFonts w:ascii="Times New Roman" w:hAnsi="Times New Roman" w:cs="Times New Roman"/>
          <w:color w:val="000000" w:themeColor="text1"/>
          <w:sz w:val="24"/>
          <w:szCs w:val="24"/>
        </w:rPr>
        <w:t>em</w:t>
      </w:r>
      <w:proofErr w:type="gramStart"/>
      <w:r w:rsidR="00CB640A" w:rsidRPr="00775054">
        <w:rPr>
          <w:rFonts w:ascii="Times New Roman" w:hAnsi="Times New Roman" w:cs="Times New Roman"/>
          <w:color w:val="000000" w:themeColor="text1"/>
          <w:sz w:val="24"/>
          <w:szCs w:val="24"/>
        </w:rPr>
        <w:t xml:space="preserve">  </w:t>
      </w:r>
      <w:proofErr w:type="gramEnd"/>
      <w:r w:rsidR="00CB640A" w:rsidRPr="00775054">
        <w:rPr>
          <w:rFonts w:ascii="Times New Roman" w:hAnsi="Times New Roman" w:cs="Times New Roman"/>
          <w:color w:val="000000" w:themeColor="text1"/>
          <w:sz w:val="24"/>
          <w:szCs w:val="24"/>
        </w:rPr>
        <w:t>fase  de  conclusão,  para acompanhamento do cumprimento dos objetivos estratégicos definidos.</w:t>
      </w:r>
    </w:p>
    <w:p w:rsidR="00CB640A" w:rsidRPr="004E3B02" w:rsidRDefault="00CB640A" w:rsidP="00CB640A">
      <w:pPr>
        <w:numPr>
          <w:ilvl w:val="4"/>
          <w:numId w:val="1"/>
        </w:numPr>
        <w:spacing w:after="0" w:line="240" w:lineRule="auto"/>
        <w:jc w:val="both"/>
        <w:rPr>
          <w:rFonts w:ascii="Times New Roman" w:hAnsi="Times New Roman" w:cs="Times New Roman"/>
          <w:color w:val="000000" w:themeColor="text1"/>
          <w:spacing w:val="-4"/>
          <w:sz w:val="24"/>
          <w:szCs w:val="24"/>
        </w:rPr>
      </w:pPr>
      <w:r w:rsidRPr="004E3B02">
        <w:rPr>
          <w:rFonts w:ascii="Times New Roman" w:hAnsi="Times New Roman" w:cs="Times New Roman"/>
          <w:color w:val="000000" w:themeColor="text1"/>
          <w:spacing w:val="-4"/>
          <w:sz w:val="24"/>
          <w:szCs w:val="24"/>
        </w:rPr>
        <w:t>Registrou que os objetivos estratégicos de tecnologia da informação foram definidos e distribuídos em quatro perspectivas: Prover infraestrutura e portfólio de serviços de TI adequados às atividades do Tribunal, Aprimorar gestão orçamentária e</w:t>
      </w:r>
      <w:proofErr w:type="gramStart"/>
      <w:r w:rsidRPr="004E3B02">
        <w:rPr>
          <w:rFonts w:ascii="Times New Roman" w:hAnsi="Times New Roman" w:cs="Times New Roman"/>
          <w:color w:val="000000" w:themeColor="text1"/>
          <w:spacing w:val="-4"/>
          <w:sz w:val="24"/>
          <w:szCs w:val="24"/>
        </w:rPr>
        <w:t xml:space="preserve">  </w:t>
      </w:r>
      <w:proofErr w:type="gramEnd"/>
      <w:r w:rsidRPr="004E3B02">
        <w:rPr>
          <w:rFonts w:ascii="Times New Roman" w:hAnsi="Times New Roman" w:cs="Times New Roman"/>
          <w:color w:val="000000" w:themeColor="text1"/>
          <w:spacing w:val="-4"/>
          <w:sz w:val="24"/>
          <w:szCs w:val="24"/>
        </w:rPr>
        <w:t xml:space="preserve">financeira  de  TI  e Implementar  Gestão  de  riscos  de  TI    </w:t>
      </w:r>
      <w:r w:rsidR="004E3B02" w:rsidRPr="004E3B02">
        <w:rPr>
          <w:rFonts w:ascii="Times New Roman" w:hAnsi="Times New Roman" w:cs="Times New Roman"/>
          <w:color w:val="000000" w:themeColor="text1"/>
          <w:spacing w:val="-4"/>
          <w:sz w:val="24"/>
          <w:szCs w:val="24"/>
        </w:rPr>
        <w:t xml:space="preserve">(perspectiva  </w:t>
      </w:r>
      <w:r w:rsidRPr="004E3B02">
        <w:rPr>
          <w:rFonts w:ascii="Times New Roman" w:hAnsi="Times New Roman" w:cs="Times New Roman"/>
          <w:color w:val="000000" w:themeColor="text1"/>
          <w:spacing w:val="-4"/>
          <w:sz w:val="24"/>
          <w:szCs w:val="24"/>
        </w:rPr>
        <w:t xml:space="preserve">Contribuição  ao  Negócio);  Primar  pela satisfação  dos  usuários  </w:t>
      </w:r>
      <w:r w:rsidRPr="00F07EF4">
        <w:rPr>
          <w:rFonts w:ascii="Times New Roman" w:hAnsi="Times New Roman" w:cs="Times New Roman"/>
          <w:color w:val="000000" w:themeColor="text1"/>
          <w:spacing w:val="-4"/>
          <w:sz w:val="24"/>
          <w:szCs w:val="24"/>
        </w:rPr>
        <w:t>(</w:t>
      </w:r>
      <w:r w:rsidR="004E3B02" w:rsidRPr="00F07EF4">
        <w:rPr>
          <w:rFonts w:ascii="Times New Roman" w:hAnsi="Times New Roman" w:cs="Times New Roman"/>
          <w:color w:val="000000" w:themeColor="text1"/>
          <w:spacing w:val="-4"/>
          <w:sz w:val="24"/>
          <w:szCs w:val="24"/>
        </w:rPr>
        <w:t xml:space="preserve">perspectiva </w:t>
      </w:r>
      <w:r w:rsidRPr="004E3B02">
        <w:rPr>
          <w:rFonts w:ascii="Times New Roman" w:hAnsi="Times New Roman" w:cs="Times New Roman"/>
          <w:color w:val="000000" w:themeColor="text1"/>
          <w:spacing w:val="-4"/>
          <w:sz w:val="24"/>
          <w:szCs w:val="24"/>
        </w:rPr>
        <w:t>Orientação  aos  Usuários);</w:t>
      </w:r>
      <w:r w:rsidR="004E3B02" w:rsidRPr="004E3B02">
        <w:rPr>
          <w:rFonts w:ascii="Times New Roman" w:hAnsi="Times New Roman" w:cs="Times New Roman"/>
          <w:color w:val="000000" w:themeColor="text1"/>
          <w:spacing w:val="-4"/>
          <w:sz w:val="24"/>
          <w:szCs w:val="24"/>
        </w:rPr>
        <w:t xml:space="preserve"> </w:t>
      </w:r>
      <w:r w:rsidRPr="004E3B02">
        <w:rPr>
          <w:rFonts w:ascii="Times New Roman" w:hAnsi="Times New Roman" w:cs="Times New Roman"/>
          <w:color w:val="000000" w:themeColor="text1"/>
          <w:spacing w:val="-4"/>
          <w:sz w:val="24"/>
          <w:szCs w:val="24"/>
        </w:rPr>
        <w:t xml:space="preserve">Adotar  padrões  tecnológicos,  </w:t>
      </w:r>
      <w:r w:rsidR="004E3B02" w:rsidRPr="00F07EF4">
        <w:rPr>
          <w:rFonts w:ascii="Times New Roman" w:hAnsi="Times New Roman" w:cs="Times New Roman"/>
          <w:color w:val="000000" w:themeColor="text1"/>
          <w:spacing w:val="-4"/>
          <w:sz w:val="24"/>
          <w:szCs w:val="24"/>
        </w:rPr>
        <w:t>A</w:t>
      </w:r>
      <w:r w:rsidRPr="00F07EF4">
        <w:rPr>
          <w:rFonts w:ascii="Times New Roman" w:hAnsi="Times New Roman" w:cs="Times New Roman"/>
          <w:color w:val="000000" w:themeColor="text1"/>
          <w:spacing w:val="-4"/>
          <w:sz w:val="24"/>
          <w:szCs w:val="24"/>
        </w:rPr>
        <w:t>perfeiçoar governança  e  gestão  de  TI  (objetivo  e  indicador    replicados  do  Planejamento  Estratégico Institucional)</w:t>
      </w:r>
      <w:r w:rsidR="004E3B02" w:rsidRPr="00F07EF4">
        <w:rPr>
          <w:rFonts w:ascii="Times New Roman" w:hAnsi="Times New Roman" w:cs="Times New Roman"/>
          <w:color w:val="000000" w:themeColor="text1"/>
          <w:spacing w:val="-4"/>
          <w:sz w:val="24"/>
          <w:szCs w:val="24"/>
        </w:rPr>
        <w:t>,</w:t>
      </w:r>
      <w:r w:rsidRPr="00F07EF4">
        <w:rPr>
          <w:rFonts w:ascii="Times New Roman" w:hAnsi="Times New Roman" w:cs="Times New Roman"/>
          <w:color w:val="000000" w:themeColor="text1"/>
          <w:spacing w:val="-4"/>
          <w:sz w:val="24"/>
          <w:szCs w:val="24"/>
        </w:rPr>
        <w:t xml:space="preserve"> </w:t>
      </w:r>
      <w:r w:rsidR="004E3B02" w:rsidRPr="00F07EF4">
        <w:rPr>
          <w:rFonts w:ascii="Times New Roman" w:hAnsi="Times New Roman" w:cs="Times New Roman"/>
          <w:color w:val="000000" w:themeColor="text1"/>
          <w:spacing w:val="-4"/>
          <w:sz w:val="24"/>
          <w:szCs w:val="24"/>
        </w:rPr>
        <w:t>A</w:t>
      </w:r>
      <w:r w:rsidRPr="00F07EF4">
        <w:rPr>
          <w:rFonts w:ascii="Times New Roman" w:hAnsi="Times New Roman" w:cs="Times New Roman"/>
          <w:color w:val="000000" w:themeColor="text1"/>
          <w:spacing w:val="-4"/>
          <w:sz w:val="24"/>
          <w:szCs w:val="24"/>
        </w:rPr>
        <w:t>primorar e fortalecer integração e interoperabilidade de sistemas da informação</w:t>
      </w:r>
      <w:r w:rsidR="004E3B02" w:rsidRPr="00F07EF4">
        <w:rPr>
          <w:rFonts w:ascii="Times New Roman" w:hAnsi="Times New Roman" w:cs="Times New Roman"/>
          <w:color w:val="000000" w:themeColor="text1"/>
          <w:spacing w:val="-4"/>
          <w:sz w:val="24"/>
          <w:szCs w:val="24"/>
        </w:rPr>
        <w:t>,</w:t>
      </w:r>
      <w:r w:rsidRPr="00F07EF4">
        <w:rPr>
          <w:rFonts w:ascii="Times New Roman" w:hAnsi="Times New Roman" w:cs="Times New Roman"/>
          <w:color w:val="000000" w:themeColor="text1"/>
          <w:spacing w:val="-4"/>
          <w:sz w:val="24"/>
          <w:szCs w:val="24"/>
        </w:rPr>
        <w:t xml:space="preserve"> Aprimorar  contratações  de  TI  e  Aprimorar  segurança  da  informação  (</w:t>
      </w:r>
      <w:r w:rsidR="004E3B02" w:rsidRPr="00F07EF4">
        <w:rPr>
          <w:rFonts w:ascii="Times New Roman" w:hAnsi="Times New Roman" w:cs="Times New Roman"/>
          <w:color w:val="000000" w:themeColor="text1"/>
          <w:spacing w:val="-4"/>
          <w:sz w:val="24"/>
          <w:szCs w:val="24"/>
        </w:rPr>
        <w:t xml:space="preserve">perspectiva </w:t>
      </w:r>
      <w:r w:rsidRPr="00F07EF4">
        <w:rPr>
          <w:rFonts w:ascii="Times New Roman" w:hAnsi="Times New Roman" w:cs="Times New Roman"/>
          <w:color w:val="000000" w:themeColor="text1"/>
          <w:spacing w:val="-4"/>
          <w:sz w:val="24"/>
          <w:szCs w:val="24"/>
        </w:rPr>
        <w:t xml:space="preserve">Excelência  Operacional); </w:t>
      </w:r>
      <w:r w:rsidR="000A7463" w:rsidRPr="00F07EF4">
        <w:rPr>
          <w:rFonts w:ascii="Times New Roman" w:hAnsi="Times New Roman" w:cs="Times New Roman"/>
          <w:color w:val="000000" w:themeColor="text1"/>
          <w:spacing w:val="-4"/>
          <w:sz w:val="24"/>
          <w:szCs w:val="24"/>
        </w:rPr>
        <w:t xml:space="preserve">e </w:t>
      </w:r>
      <w:r w:rsidRPr="00F07EF4">
        <w:rPr>
          <w:rFonts w:ascii="Times New Roman" w:hAnsi="Times New Roman" w:cs="Times New Roman"/>
          <w:color w:val="000000" w:themeColor="text1"/>
          <w:spacing w:val="-4"/>
          <w:sz w:val="24"/>
          <w:szCs w:val="24"/>
        </w:rPr>
        <w:t>Aperfeiçoar competências gerenciais e técnicas de pessoal da TI (</w:t>
      </w:r>
      <w:r w:rsidR="004E3B02" w:rsidRPr="00F07EF4">
        <w:rPr>
          <w:rFonts w:ascii="Times New Roman" w:hAnsi="Times New Roman" w:cs="Times New Roman"/>
          <w:color w:val="000000" w:themeColor="text1"/>
          <w:spacing w:val="-4"/>
          <w:sz w:val="24"/>
          <w:szCs w:val="24"/>
        </w:rPr>
        <w:t xml:space="preserve">perspectiva </w:t>
      </w:r>
      <w:r w:rsidRPr="004E3B02">
        <w:rPr>
          <w:rFonts w:ascii="Times New Roman" w:hAnsi="Times New Roman" w:cs="Times New Roman"/>
          <w:color w:val="000000" w:themeColor="text1"/>
          <w:spacing w:val="-4"/>
          <w:sz w:val="24"/>
          <w:szCs w:val="24"/>
        </w:rPr>
        <w:t>Orientação ao Futuro).</w:t>
      </w:r>
    </w:p>
    <w:p w:rsidR="00121876" w:rsidRPr="00775054" w:rsidRDefault="00121876" w:rsidP="00CB640A">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A STI informou, também, que o Plano Diretor de TI (PDTI), que está em fase de conclusão, detalhará as ações referentes à infraestrutura, sistemas e recursos de TI, assim como a previsão orçamentária para execução das </w:t>
      </w:r>
      <w:r w:rsidRPr="00775054">
        <w:rPr>
          <w:rFonts w:ascii="Times New Roman" w:hAnsi="Times New Roman" w:cs="Times New Roman"/>
          <w:color w:val="000000" w:themeColor="text1"/>
          <w:sz w:val="24"/>
          <w:szCs w:val="24"/>
        </w:rPr>
        <w:lastRenderedPageBreak/>
        <w:t xml:space="preserve">iniciativas, projetos e capacitações necessárias ao cumprimento dos objetivos estratégicos de TI elencados no PETI e, consequentemente, </w:t>
      </w:r>
      <w:r w:rsidR="00997BEA">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o alcance das metas do Planejamento Estratégico Institucional (PEI).</w:t>
      </w:r>
    </w:p>
    <w:p w:rsidR="00121876" w:rsidRPr="00775054" w:rsidRDefault="00121876" w:rsidP="00CB640A">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Por fim, registrou que, no último trimestre de 2017, foi concluído o projeto de implantação do Sistema de Governança de TIC, iniciativa do PEI, que teve gerência do Coordenador da COINFRA e patrocínio da Secretaria. Ressaltou que o </w:t>
      </w:r>
      <w:r w:rsidR="00CD03C0">
        <w:rPr>
          <w:rFonts w:ascii="Times New Roman" w:hAnsi="Times New Roman" w:cs="Times New Roman"/>
          <w:color w:val="000000" w:themeColor="text1"/>
          <w:sz w:val="24"/>
          <w:szCs w:val="24"/>
        </w:rPr>
        <w:t xml:space="preserve">resultado do projeto, </w:t>
      </w:r>
      <w:proofErr w:type="gramStart"/>
      <w:r w:rsidR="001A6A5A">
        <w:rPr>
          <w:rFonts w:ascii="Times New Roman" w:hAnsi="Times New Roman" w:cs="Times New Roman"/>
          <w:color w:val="000000" w:themeColor="text1"/>
          <w:sz w:val="24"/>
          <w:szCs w:val="24"/>
        </w:rPr>
        <w:t>consubsta</w:t>
      </w:r>
      <w:r w:rsidR="001A6A5A" w:rsidRPr="00775054">
        <w:rPr>
          <w:rFonts w:ascii="Times New Roman" w:hAnsi="Times New Roman" w:cs="Times New Roman"/>
          <w:color w:val="000000" w:themeColor="text1"/>
          <w:sz w:val="24"/>
          <w:szCs w:val="24"/>
        </w:rPr>
        <w:t>nciado</w:t>
      </w:r>
      <w:proofErr w:type="gramEnd"/>
      <w:r w:rsidRPr="00775054">
        <w:rPr>
          <w:rFonts w:ascii="Times New Roman" w:hAnsi="Times New Roman" w:cs="Times New Roman"/>
          <w:color w:val="000000" w:themeColor="text1"/>
          <w:sz w:val="24"/>
          <w:szCs w:val="24"/>
        </w:rPr>
        <w:t xml:space="preserve"> em minuta de normativo, foi submetido ao CGTI e aguarda apreciação do referido Comitê, sendo a implementação do Sistema de Governança uma importante alavancagem para consecução dos objetivos estratégicos do Tribunal.</w:t>
      </w:r>
    </w:p>
    <w:p w:rsidR="00BA67F0" w:rsidRDefault="00BA67F0" w:rsidP="00CB640A">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A COPEG informou que disponibilizará o modelo de plano de gestão anual para cumprimento da estratégia do TRE-BA.</w:t>
      </w:r>
    </w:p>
    <w:p w:rsidR="000503A7" w:rsidRPr="002805DF" w:rsidRDefault="000503A7" w:rsidP="000503A7">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66.079/2018), a STI informou que o PAD nº 14.283/2017 referente à entrega do Projeto de Governança de TIC do Planejamento Estratégico do Tribunal, consubstanciada na proposta de implantação do Sistema de Governança de TIC e Segurança da Informação, </w:t>
      </w:r>
      <w:r w:rsidR="003404EF" w:rsidRPr="002805DF">
        <w:rPr>
          <w:rFonts w:ascii="Times New Roman" w:hAnsi="Times New Roman" w:cs="Times New Roman"/>
          <w:sz w:val="24"/>
          <w:szCs w:val="24"/>
        </w:rPr>
        <w:t xml:space="preserve">constante de </w:t>
      </w:r>
      <w:r w:rsidRPr="002805DF">
        <w:rPr>
          <w:rFonts w:ascii="Times New Roman" w:hAnsi="Times New Roman" w:cs="Times New Roman"/>
          <w:sz w:val="24"/>
          <w:szCs w:val="24"/>
        </w:rPr>
        <w:t>minuta de Resolução, após aprovação pelo CGTI, foi encaminhad</w:t>
      </w:r>
      <w:r w:rsidR="003404EF" w:rsidRPr="002805DF">
        <w:rPr>
          <w:rFonts w:ascii="Times New Roman" w:hAnsi="Times New Roman" w:cs="Times New Roman"/>
          <w:sz w:val="24"/>
          <w:szCs w:val="24"/>
        </w:rPr>
        <w:t>o</w:t>
      </w:r>
      <w:r w:rsidRPr="002805DF">
        <w:rPr>
          <w:rFonts w:ascii="Times New Roman" w:hAnsi="Times New Roman" w:cs="Times New Roman"/>
          <w:sz w:val="24"/>
          <w:szCs w:val="24"/>
        </w:rPr>
        <w:t xml:space="preserve"> à Presidência em </w:t>
      </w:r>
      <w:r w:rsidR="003404EF" w:rsidRPr="002805DF">
        <w:rPr>
          <w:rFonts w:ascii="Times New Roman" w:hAnsi="Times New Roman" w:cs="Times New Roman"/>
          <w:sz w:val="24"/>
          <w:szCs w:val="24"/>
        </w:rPr>
        <w:t>6/3/2018</w:t>
      </w:r>
      <w:r w:rsidRPr="002805DF">
        <w:rPr>
          <w:rFonts w:ascii="Times New Roman" w:hAnsi="Times New Roman" w:cs="Times New Roman"/>
          <w:sz w:val="24"/>
          <w:szCs w:val="24"/>
        </w:rPr>
        <w:t>, conforme orientação da SEGEPRO/COPEG.</w:t>
      </w:r>
    </w:p>
    <w:p w:rsidR="0025072D" w:rsidRPr="002805DF" w:rsidRDefault="0025072D" w:rsidP="0025072D">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66.886/2018) a SGP ratificou que não há condição de oferecer capacitação em planejamento operacional para todos os gestores mediante contratação. Informou que seria possível planejar uma turma </w:t>
      </w:r>
      <w:r w:rsidRPr="002805DF">
        <w:rPr>
          <w:rFonts w:ascii="Times New Roman" w:hAnsi="Times New Roman" w:cs="Times New Roman"/>
          <w:i/>
          <w:sz w:val="24"/>
          <w:szCs w:val="24"/>
        </w:rPr>
        <w:t>in</w:t>
      </w:r>
      <w:r w:rsidR="003404EF" w:rsidRPr="002805DF">
        <w:rPr>
          <w:rFonts w:ascii="Times New Roman" w:hAnsi="Times New Roman" w:cs="Times New Roman"/>
          <w:i/>
          <w:sz w:val="24"/>
          <w:szCs w:val="24"/>
        </w:rPr>
        <w:t xml:space="preserve"> </w:t>
      </w:r>
      <w:proofErr w:type="spellStart"/>
      <w:r w:rsidRPr="002805DF">
        <w:rPr>
          <w:rFonts w:ascii="Times New Roman" w:hAnsi="Times New Roman" w:cs="Times New Roman"/>
          <w:i/>
          <w:sz w:val="24"/>
          <w:szCs w:val="24"/>
        </w:rPr>
        <w:t>company</w:t>
      </w:r>
      <w:proofErr w:type="spellEnd"/>
      <w:r w:rsidRPr="002805DF">
        <w:rPr>
          <w:rFonts w:ascii="Times New Roman" w:hAnsi="Times New Roman" w:cs="Times New Roman"/>
          <w:i/>
          <w:sz w:val="24"/>
          <w:szCs w:val="24"/>
        </w:rPr>
        <w:t xml:space="preserve"> </w:t>
      </w:r>
      <w:r w:rsidRPr="002805DF">
        <w:rPr>
          <w:rFonts w:ascii="Times New Roman" w:hAnsi="Times New Roman" w:cs="Times New Roman"/>
          <w:sz w:val="24"/>
          <w:szCs w:val="24"/>
        </w:rPr>
        <w:t xml:space="preserve">para parte dos gestores e repetir essa turma em outros anos, atendendo </w:t>
      </w:r>
      <w:r w:rsidR="003404EF" w:rsidRPr="002805DF">
        <w:rPr>
          <w:rFonts w:ascii="Times New Roman" w:hAnsi="Times New Roman" w:cs="Times New Roman"/>
          <w:sz w:val="24"/>
          <w:szCs w:val="24"/>
        </w:rPr>
        <w:t xml:space="preserve">à </w:t>
      </w:r>
      <w:r w:rsidRPr="002805DF">
        <w:rPr>
          <w:rFonts w:ascii="Times New Roman" w:hAnsi="Times New Roman" w:cs="Times New Roman"/>
          <w:sz w:val="24"/>
          <w:szCs w:val="24"/>
        </w:rPr>
        <w:t xml:space="preserve">demanda de forma escalonada. Sugeriu, ainda, atender </w:t>
      </w:r>
      <w:r w:rsidR="003404EF" w:rsidRPr="002805DF">
        <w:rPr>
          <w:rFonts w:ascii="Times New Roman" w:hAnsi="Times New Roman" w:cs="Times New Roman"/>
          <w:sz w:val="24"/>
          <w:szCs w:val="24"/>
        </w:rPr>
        <w:t>à</w:t>
      </w:r>
      <w:r w:rsidRPr="002805DF">
        <w:rPr>
          <w:rFonts w:ascii="Times New Roman" w:hAnsi="Times New Roman" w:cs="Times New Roman"/>
          <w:sz w:val="24"/>
          <w:szCs w:val="24"/>
        </w:rPr>
        <w:t xml:space="preserve"> demanda</w:t>
      </w:r>
      <w:r w:rsidR="00153C4C" w:rsidRPr="002805DF">
        <w:rPr>
          <w:rFonts w:ascii="Times New Roman" w:hAnsi="Times New Roman" w:cs="Times New Roman"/>
          <w:sz w:val="24"/>
          <w:szCs w:val="24"/>
        </w:rPr>
        <w:t xml:space="preserve"> </w:t>
      </w:r>
      <w:r w:rsidRPr="002805DF">
        <w:rPr>
          <w:rFonts w:ascii="Times New Roman" w:hAnsi="Times New Roman" w:cs="Times New Roman"/>
          <w:sz w:val="24"/>
          <w:szCs w:val="24"/>
        </w:rPr>
        <w:t>através de oficinas internas oferecidas pela COPEG</w:t>
      </w:r>
      <w:r w:rsidR="00153C4C" w:rsidRPr="002805DF">
        <w:rPr>
          <w:rFonts w:ascii="Times New Roman" w:hAnsi="Times New Roman" w:cs="Times New Roman"/>
          <w:sz w:val="24"/>
          <w:szCs w:val="24"/>
        </w:rPr>
        <w:t xml:space="preserve"> </w:t>
      </w:r>
      <w:r w:rsidRPr="002805DF">
        <w:rPr>
          <w:rFonts w:ascii="Times New Roman" w:hAnsi="Times New Roman" w:cs="Times New Roman"/>
          <w:sz w:val="24"/>
          <w:szCs w:val="24"/>
        </w:rPr>
        <w:t>ou na modalidade EAD, com atuação da</w:t>
      </w:r>
      <w:r w:rsidR="00153C4C" w:rsidRPr="002805DF">
        <w:rPr>
          <w:rFonts w:ascii="Times New Roman" w:hAnsi="Times New Roman" w:cs="Times New Roman"/>
          <w:sz w:val="24"/>
          <w:szCs w:val="24"/>
        </w:rPr>
        <w:t xml:space="preserve"> </w:t>
      </w:r>
      <w:r w:rsidRPr="002805DF">
        <w:rPr>
          <w:rFonts w:ascii="Times New Roman" w:hAnsi="Times New Roman" w:cs="Times New Roman"/>
          <w:sz w:val="24"/>
          <w:szCs w:val="24"/>
        </w:rPr>
        <w:t xml:space="preserve">COPEG na condição de </w:t>
      </w:r>
      <w:proofErr w:type="spellStart"/>
      <w:r w:rsidRPr="002805DF">
        <w:rPr>
          <w:rFonts w:ascii="Times New Roman" w:hAnsi="Times New Roman" w:cs="Times New Roman"/>
          <w:sz w:val="24"/>
          <w:szCs w:val="24"/>
        </w:rPr>
        <w:t>conteudistas</w:t>
      </w:r>
      <w:proofErr w:type="spellEnd"/>
      <w:r w:rsidRPr="002805DF">
        <w:rPr>
          <w:rFonts w:ascii="Times New Roman" w:hAnsi="Times New Roman" w:cs="Times New Roman"/>
          <w:sz w:val="24"/>
          <w:szCs w:val="24"/>
        </w:rPr>
        <w:t xml:space="preserve"> e tutores de conteúdo, ambos os casos com apoio da</w:t>
      </w:r>
      <w:r w:rsidR="00153C4C" w:rsidRPr="002805DF">
        <w:rPr>
          <w:rFonts w:ascii="Times New Roman" w:hAnsi="Times New Roman" w:cs="Times New Roman"/>
          <w:sz w:val="24"/>
          <w:szCs w:val="24"/>
        </w:rPr>
        <w:t xml:space="preserve"> </w:t>
      </w:r>
      <w:r w:rsidRPr="002805DF">
        <w:rPr>
          <w:rFonts w:ascii="Times New Roman" w:hAnsi="Times New Roman" w:cs="Times New Roman"/>
          <w:sz w:val="24"/>
          <w:szCs w:val="24"/>
        </w:rPr>
        <w:t>EFAS.</w:t>
      </w:r>
    </w:p>
    <w:p w:rsidR="00CB7813" w:rsidRPr="002805DF" w:rsidRDefault="00CB7813" w:rsidP="00CB7813">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80.064/2018), a COPEG informou que serão </w:t>
      </w:r>
      <w:proofErr w:type="gramStart"/>
      <w:r w:rsidRPr="002805DF">
        <w:rPr>
          <w:rFonts w:ascii="Times New Roman" w:hAnsi="Times New Roman" w:cs="Times New Roman"/>
          <w:sz w:val="24"/>
          <w:szCs w:val="24"/>
        </w:rPr>
        <w:t>definidos diretrizes</w:t>
      </w:r>
      <w:proofErr w:type="gramEnd"/>
      <w:r w:rsidRPr="002805DF">
        <w:rPr>
          <w:rFonts w:ascii="Times New Roman" w:hAnsi="Times New Roman" w:cs="Times New Roman"/>
          <w:sz w:val="24"/>
          <w:szCs w:val="24"/>
        </w:rPr>
        <w:t xml:space="preserve"> e modelos para subsidiar a formalização de plano de gestão pelos responsáveis pela execução de objetivos e metas estratégicas, promovendo</w:t>
      </w:r>
      <w:r w:rsidR="003404EF" w:rsidRPr="002805DF">
        <w:rPr>
          <w:rFonts w:ascii="Times New Roman" w:hAnsi="Times New Roman" w:cs="Times New Roman"/>
          <w:sz w:val="24"/>
          <w:szCs w:val="24"/>
        </w:rPr>
        <w:t>-se</w:t>
      </w:r>
      <w:r w:rsidRPr="002805DF">
        <w:rPr>
          <w:rFonts w:ascii="Times New Roman" w:hAnsi="Times New Roman" w:cs="Times New Roman"/>
          <w:sz w:val="24"/>
          <w:szCs w:val="24"/>
        </w:rPr>
        <w:t xml:space="preserve"> sua ampla divulgação, no âmbito organizacional.</w:t>
      </w:r>
    </w:p>
    <w:p w:rsidR="00F01F95" w:rsidRPr="00775054" w:rsidRDefault="00F01F95" w:rsidP="00F01F9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660491" w:rsidRPr="00462A4E" w:rsidRDefault="00660491" w:rsidP="001A6A5A">
      <w:pPr>
        <w:numPr>
          <w:ilvl w:val="4"/>
          <w:numId w:val="1"/>
        </w:numPr>
        <w:spacing w:after="0" w:line="240" w:lineRule="auto"/>
        <w:jc w:val="both"/>
        <w:rPr>
          <w:rFonts w:ascii="Times New Roman" w:hAnsi="Times New Roman" w:cs="Times New Roman"/>
          <w:strike/>
          <w:sz w:val="24"/>
          <w:szCs w:val="24"/>
        </w:rPr>
      </w:pPr>
      <w:r w:rsidRPr="00462A4E">
        <w:rPr>
          <w:rFonts w:ascii="Times New Roman" w:hAnsi="Times New Roman" w:cs="Times New Roman"/>
          <w:sz w:val="24"/>
          <w:szCs w:val="24"/>
        </w:rPr>
        <w:t>Embora a SGP</w:t>
      </w:r>
      <w:r w:rsidR="00CD03C0" w:rsidRPr="00462A4E">
        <w:rPr>
          <w:rFonts w:ascii="Times New Roman" w:hAnsi="Times New Roman" w:cs="Times New Roman"/>
          <w:sz w:val="24"/>
          <w:szCs w:val="24"/>
        </w:rPr>
        <w:t xml:space="preserve"> aponte alternativas à impossibilidade de realização de treinamento em planejamento operacional para todos os gestores do Órgão, em 2018, a STI esclareça sobre a previsão de conclusão do PDTI, plano de gestão associado às atividades de TIC organizacionais</w:t>
      </w:r>
      <w:r w:rsidR="00166A01">
        <w:rPr>
          <w:rFonts w:ascii="Times New Roman" w:hAnsi="Times New Roman" w:cs="Times New Roman"/>
          <w:sz w:val="24"/>
          <w:szCs w:val="24"/>
        </w:rPr>
        <w:t>,</w:t>
      </w:r>
      <w:r w:rsidR="00CD03C0" w:rsidRPr="00462A4E">
        <w:rPr>
          <w:rFonts w:ascii="Times New Roman" w:hAnsi="Times New Roman" w:cs="Times New Roman"/>
          <w:sz w:val="24"/>
          <w:szCs w:val="24"/>
        </w:rPr>
        <w:t xml:space="preserve"> e a COPEG informe sobre a disponibilização futura de modelo de plano de gestão a ser utilizado pelas unidades do Tribunal, conclui-se que, enquanto pendentes </w:t>
      </w:r>
      <w:r w:rsidR="001A6A5A" w:rsidRPr="00462A4E">
        <w:rPr>
          <w:rFonts w:ascii="Times New Roman" w:hAnsi="Times New Roman" w:cs="Times New Roman"/>
          <w:sz w:val="24"/>
          <w:szCs w:val="24"/>
        </w:rPr>
        <w:t xml:space="preserve">a </w:t>
      </w:r>
      <w:r w:rsidR="00CD03C0" w:rsidRPr="00462A4E">
        <w:rPr>
          <w:rFonts w:ascii="Times New Roman" w:hAnsi="Times New Roman" w:cs="Times New Roman"/>
          <w:sz w:val="24"/>
          <w:szCs w:val="24"/>
        </w:rPr>
        <w:t>definição de modelo e a instrumentalização de gestores para elaboração de planos anuais de gestão, prevendo ações a serem adotadas p</w:t>
      </w:r>
      <w:r w:rsidR="001A6A5A" w:rsidRPr="00462A4E">
        <w:rPr>
          <w:rFonts w:ascii="Times New Roman" w:hAnsi="Times New Roman" w:cs="Times New Roman"/>
          <w:sz w:val="24"/>
          <w:szCs w:val="24"/>
        </w:rPr>
        <w:t xml:space="preserve">or cada unidade no intuito de </w:t>
      </w:r>
      <w:r w:rsidR="00CD03C0" w:rsidRPr="00462A4E">
        <w:rPr>
          <w:rFonts w:ascii="Times New Roman" w:hAnsi="Times New Roman" w:cs="Times New Roman"/>
          <w:sz w:val="24"/>
          <w:szCs w:val="24"/>
        </w:rPr>
        <w:t xml:space="preserve">assegurar a integralização das metas estratégicas sob sua gestão, subsistem as fragilidades anteriormente evidenciadas.   </w:t>
      </w:r>
      <w:r w:rsidRPr="00462A4E">
        <w:rPr>
          <w:rFonts w:ascii="Times New Roman" w:hAnsi="Times New Roman" w:cs="Times New Roman"/>
          <w:sz w:val="24"/>
          <w:szCs w:val="24"/>
        </w:rPr>
        <w:t xml:space="preserve"> </w:t>
      </w:r>
    </w:p>
    <w:p w:rsidR="00B83F67" w:rsidRPr="00A31F42" w:rsidRDefault="00695645" w:rsidP="00B83F67">
      <w:pPr>
        <w:pStyle w:val="PargrafodaLista"/>
        <w:numPr>
          <w:ilvl w:val="2"/>
          <w:numId w:val="1"/>
        </w:numPr>
        <w:spacing w:before="120"/>
        <w:jc w:val="both"/>
        <w:rPr>
          <w:b w:val="0"/>
          <w:color w:val="FF0000"/>
          <w:sz w:val="24"/>
          <w:szCs w:val="24"/>
          <w:u w:val="single"/>
        </w:rPr>
      </w:pPr>
      <w:bookmarkStart w:id="17" w:name="_Toc511288064"/>
      <w:r w:rsidRPr="00A31F42">
        <w:rPr>
          <w:b w:val="0"/>
          <w:color w:val="000000" w:themeColor="text1"/>
          <w:sz w:val="24"/>
          <w:szCs w:val="24"/>
          <w:u w:val="single"/>
        </w:rPr>
        <w:t>Insuficiência</w:t>
      </w:r>
      <w:r w:rsidR="00B83F67" w:rsidRPr="00A31F42">
        <w:rPr>
          <w:b w:val="0"/>
          <w:color w:val="000000" w:themeColor="text1"/>
          <w:sz w:val="24"/>
          <w:szCs w:val="24"/>
          <w:u w:val="single"/>
        </w:rPr>
        <w:t xml:space="preserve"> na formulação de indicadores estratégicos</w:t>
      </w:r>
      <w:r w:rsidR="0022231F" w:rsidRPr="00A31F42">
        <w:rPr>
          <w:b w:val="0"/>
          <w:color w:val="000000" w:themeColor="text1"/>
          <w:sz w:val="24"/>
          <w:szCs w:val="24"/>
          <w:u w:val="single"/>
        </w:rPr>
        <w:t>.</w:t>
      </w:r>
      <w:bookmarkEnd w:id="17"/>
    </w:p>
    <w:p w:rsidR="00383CB2" w:rsidRPr="00775054" w:rsidRDefault="00383CB2" w:rsidP="00383CB2">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Situação encontrada:</w:t>
      </w:r>
    </w:p>
    <w:p w:rsidR="00A31F42" w:rsidRPr="00B84CE5" w:rsidRDefault="00383CB2" w:rsidP="00383CB2">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 xml:space="preserve">O TRE-BA possui indicador estratégico para avaliar a satisfação dos clientes quanto ao atendimento prestado pela Justiça Eleitoral baiana. No entanto, </w:t>
      </w:r>
      <w:r w:rsidRPr="00B84CE5">
        <w:rPr>
          <w:rFonts w:ascii="Times New Roman" w:hAnsi="Times New Roman" w:cs="Times New Roman"/>
          <w:color w:val="000000" w:themeColor="text1"/>
          <w:sz w:val="24"/>
          <w:szCs w:val="24"/>
        </w:rPr>
        <w:lastRenderedPageBreak/>
        <w:t xml:space="preserve">verificou-se que, na ficha detalhada do índice de satisfação dos clientes (i11), não consta a Seção de Protocolo como local de medição, apesar de se tratar de unidade que presta atendimento ao público em grande escala. No que refere ao objetivo estratégico aperfeiçoar a qualidade do gasto público, foram instituídos os seguintes indicadores no planejamento estratégico organizacional para o quinquênio 2016-2021: índice de adequação ao Plano Anual de Contratações </w:t>
      </w:r>
      <w:r w:rsidR="0022231F" w:rsidRPr="00B84CE5">
        <w:rPr>
          <w:rFonts w:ascii="Times New Roman" w:hAnsi="Times New Roman" w:cs="Times New Roman"/>
          <w:color w:val="000000" w:themeColor="text1"/>
          <w:sz w:val="24"/>
          <w:szCs w:val="24"/>
        </w:rPr>
        <w:t>(</w:t>
      </w:r>
      <w:r w:rsidRPr="00B84CE5">
        <w:rPr>
          <w:rFonts w:ascii="Times New Roman" w:hAnsi="Times New Roman" w:cs="Times New Roman"/>
          <w:color w:val="000000" w:themeColor="text1"/>
          <w:sz w:val="24"/>
          <w:szCs w:val="24"/>
        </w:rPr>
        <w:t>PLANCONT</w:t>
      </w:r>
      <w:r w:rsidR="0022231F" w:rsidRPr="00B84CE5">
        <w:rPr>
          <w:rFonts w:ascii="Times New Roman" w:hAnsi="Times New Roman" w:cs="Times New Roman"/>
          <w:color w:val="000000" w:themeColor="text1"/>
          <w:sz w:val="24"/>
          <w:szCs w:val="24"/>
        </w:rPr>
        <w:t>)</w:t>
      </w:r>
      <w:r w:rsidRPr="00B84CE5">
        <w:rPr>
          <w:rFonts w:ascii="Times New Roman" w:hAnsi="Times New Roman" w:cs="Times New Roman"/>
          <w:color w:val="000000" w:themeColor="text1"/>
          <w:sz w:val="24"/>
          <w:szCs w:val="24"/>
        </w:rPr>
        <w:t xml:space="preserve">, índice de satisfação com a qualidade das contratações, aderência da execução ao planejamento orçamentário e índice de racionalização do gasto público, sendo este último, na RAE ocorrida em 21/8/2017, em virtude da publicação da Emenda Constitucional nº 95/2016, substituído pelo índice de execução financeira. </w:t>
      </w:r>
      <w:r w:rsidR="00A31F42" w:rsidRPr="00B84CE5">
        <w:rPr>
          <w:rFonts w:ascii="Times New Roman" w:hAnsi="Times New Roman" w:cs="Times New Roman"/>
          <w:color w:val="000000" w:themeColor="text1"/>
          <w:sz w:val="24"/>
          <w:szCs w:val="24"/>
        </w:rPr>
        <w:t>Esclareça-se que, e</w:t>
      </w:r>
      <w:r w:rsidRPr="00B84CE5">
        <w:rPr>
          <w:rFonts w:ascii="Times New Roman" w:hAnsi="Times New Roman" w:cs="Times New Roman"/>
          <w:color w:val="000000" w:themeColor="text1"/>
          <w:sz w:val="24"/>
          <w:szCs w:val="24"/>
        </w:rPr>
        <w:t xml:space="preserve">m entrevista realizada com a SOF, a unidade registrou que aguarda a elaboração da forma de cálculo pelo TSE, para iniciar a medição do mencionado indicador. </w:t>
      </w:r>
    </w:p>
    <w:p w:rsidR="00A31F42" w:rsidRPr="00B84CE5" w:rsidRDefault="0022231F" w:rsidP="00383CB2">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Registre-se que o</w:t>
      </w:r>
      <w:r w:rsidR="00383CB2" w:rsidRPr="00B84CE5">
        <w:rPr>
          <w:rFonts w:ascii="Times New Roman" w:hAnsi="Times New Roman" w:cs="Times New Roman"/>
          <w:color w:val="000000" w:themeColor="text1"/>
          <w:sz w:val="24"/>
          <w:szCs w:val="24"/>
        </w:rPr>
        <w:t xml:space="preserve"> índice de adequação ao PLANCONT, que tem como objetivo medir a aderência da execução ao que foi planejado, a fim de viabilizar o acompanhamento e avaliação do plano anual de contratações do exercício, utiliza como forma de cálculo a divisão da quantidade de contratações planejadas e executadas pela quantidade total de contratações </w:t>
      </w:r>
      <w:proofErr w:type="gramStart"/>
      <w:r w:rsidR="00383CB2" w:rsidRPr="00B84CE5">
        <w:rPr>
          <w:rFonts w:ascii="Times New Roman" w:hAnsi="Times New Roman" w:cs="Times New Roman"/>
          <w:color w:val="000000" w:themeColor="text1"/>
          <w:sz w:val="24"/>
          <w:szCs w:val="24"/>
        </w:rPr>
        <w:t>planejadas multiplicada por cem, não aferindo satisfatoriamente a aderência das contratações executadas ao plano anual de contratações da organização</w:t>
      </w:r>
      <w:proofErr w:type="gramEnd"/>
      <w:r w:rsidR="00383CB2" w:rsidRPr="00B84CE5">
        <w:rPr>
          <w:rFonts w:ascii="Times New Roman" w:hAnsi="Times New Roman" w:cs="Times New Roman"/>
          <w:color w:val="000000" w:themeColor="text1"/>
          <w:sz w:val="24"/>
          <w:szCs w:val="24"/>
        </w:rPr>
        <w:t xml:space="preserve">, uma vez que as novas demandas não são contabilizadas como desconformidade ao quanto planejado. </w:t>
      </w:r>
    </w:p>
    <w:p w:rsidR="00A31F42" w:rsidRPr="00B84CE5" w:rsidRDefault="00383CB2" w:rsidP="00383CB2">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 xml:space="preserve">Da análise do PLANCONT 2017, evidenciou-se que foram originalmente planejadas 132 contratações para o exercício, das quais 25 </w:t>
      </w:r>
      <w:proofErr w:type="gramStart"/>
      <w:r w:rsidRPr="00B84CE5">
        <w:rPr>
          <w:rFonts w:ascii="Times New Roman" w:hAnsi="Times New Roman" w:cs="Times New Roman"/>
          <w:color w:val="000000" w:themeColor="text1"/>
          <w:sz w:val="24"/>
          <w:szCs w:val="24"/>
        </w:rPr>
        <w:t>foram</w:t>
      </w:r>
      <w:proofErr w:type="gramEnd"/>
      <w:r w:rsidRPr="00B84CE5">
        <w:rPr>
          <w:rFonts w:ascii="Times New Roman" w:hAnsi="Times New Roman" w:cs="Times New Roman"/>
          <w:color w:val="000000" w:themeColor="text1"/>
          <w:sz w:val="24"/>
          <w:szCs w:val="24"/>
        </w:rPr>
        <w:t xml:space="preserve"> objeto de desistência e 28 foram iniciadas após o período previsto. Além disso, houve a inserção de 63 novas demandas. Do exposto, concluiu-se que, dentre as 195 demandas referentes ao exercício 2017, apenas 79 (40,5% aproximadamente) contratações executadas estavam inicialmente previstas no PLANCONT 2017. </w:t>
      </w:r>
    </w:p>
    <w:p w:rsidR="00254D1B" w:rsidRPr="00B84CE5" w:rsidRDefault="00383CB2" w:rsidP="00383CB2">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 xml:space="preserve">Saliente-se, ainda, que, de acordo com a COGELIC, a possibilidade de revisões no </w:t>
      </w:r>
      <w:r w:rsidR="0022231F" w:rsidRPr="00B84CE5">
        <w:rPr>
          <w:rFonts w:ascii="Times New Roman" w:hAnsi="Times New Roman" w:cs="Times New Roman"/>
          <w:color w:val="000000" w:themeColor="text1"/>
          <w:sz w:val="24"/>
          <w:szCs w:val="24"/>
        </w:rPr>
        <w:t>P</w:t>
      </w:r>
      <w:r w:rsidRPr="00B84CE5">
        <w:rPr>
          <w:rFonts w:ascii="Times New Roman" w:hAnsi="Times New Roman" w:cs="Times New Roman"/>
          <w:color w:val="000000" w:themeColor="text1"/>
          <w:sz w:val="24"/>
          <w:szCs w:val="24"/>
        </w:rPr>
        <w:t xml:space="preserve">lano </w:t>
      </w:r>
      <w:r w:rsidR="0022231F" w:rsidRPr="00B84CE5">
        <w:rPr>
          <w:rFonts w:ascii="Times New Roman" w:hAnsi="Times New Roman" w:cs="Times New Roman"/>
          <w:color w:val="000000" w:themeColor="text1"/>
          <w:sz w:val="24"/>
          <w:szCs w:val="24"/>
        </w:rPr>
        <w:t>A</w:t>
      </w:r>
      <w:r w:rsidRPr="00B84CE5">
        <w:rPr>
          <w:rFonts w:ascii="Times New Roman" w:hAnsi="Times New Roman" w:cs="Times New Roman"/>
          <w:color w:val="000000" w:themeColor="text1"/>
          <w:sz w:val="24"/>
          <w:szCs w:val="24"/>
        </w:rPr>
        <w:t xml:space="preserve">nual de </w:t>
      </w:r>
      <w:r w:rsidR="0022231F" w:rsidRPr="00B84CE5">
        <w:rPr>
          <w:rFonts w:ascii="Times New Roman" w:hAnsi="Times New Roman" w:cs="Times New Roman"/>
          <w:color w:val="000000" w:themeColor="text1"/>
          <w:sz w:val="24"/>
          <w:szCs w:val="24"/>
        </w:rPr>
        <w:t>C</w:t>
      </w:r>
      <w:r w:rsidRPr="00B84CE5">
        <w:rPr>
          <w:rFonts w:ascii="Times New Roman" w:hAnsi="Times New Roman" w:cs="Times New Roman"/>
          <w:color w:val="000000" w:themeColor="text1"/>
          <w:sz w:val="24"/>
          <w:szCs w:val="24"/>
        </w:rPr>
        <w:t>ontratações é essencial, tendo em vista eventual necessidade de ajuste em decorrência do tempo transcorrido entre planejamento e o início do processo de contratação, bem como da ocorrência de fatos imprevisíveis. No entanto, a Unidade indicou que a não inserção de processos na primeira versão do</w:t>
      </w:r>
      <w:r w:rsidR="008B4425"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PLANCONT também pode decorrer</w:t>
      </w:r>
      <w:r w:rsidR="008B4425"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do</w:t>
      </w:r>
      <w:r w:rsidR="008B4425"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 xml:space="preserve">planejamento deficiente das unidades e de deliberações da Alta </w:t>
      </w:r>
      <w:r w:rsidR="008B4425" w:rsidRPr="00B84CE5">
        <w:rPr>
          <w:rFonts w:ascii="Times New Roman" w:hAnsi="Times New Roman" w:cs="Times New Roman"/>
          <w:color w:val="000000" w:themeColor="text1"/>
          <w:sz w:val="24"/>
          <w:szCs w:val="24"/>
        </w:rPr>
        <w:t xml:space="preserve">Administração. </w:t>
      </w:r>
    </w:p>
    <w:p w:rsidR="00254D1B" w:rsidRPr="00B84CE5" w:rsidRDefault="00383CB2" w:rsidP="00383CB2">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 xml:space="preserve">Ainda sobre os indicadores vinculados ao objetivo estratégico aperfeiçoar a qualidade do gasto público, acrescente-se que, durante entrevista, a </w:t>
      </w:r>
      <w:r w:rsidR="0022231F" w:rsidRPr="00B84CE5">
        <w:rPr>
          <w:rFonts w:ascii="Times New Roman" w:hAnsi="Times New Roman" w:cs="Times New Roman"/>
          <w:color w:val="000000" w:themeColor="text1"/>
          <w:sz w:val="24"/>
          <w:szCs w:val="24"/>
        </w:rPr>
        <w:t>SOF</w:t>
      </w:r>
      <w:r w:rsidRPr="00B84CE5">
        <w:rPr>
          <w:rFonts w:ascii="Times New Roman" w:hAnsi="Times New Roman" w:cs="Times New Roman"/>
          <w:color w:val="000000" w:themeColor="text1"/>
          <w:sz w:val="24"/>
          <w:szCs w:val="24"/>
        </w:rPr>
        <w:t xml:space="preserve"> sinalizou que, apesar do aperfeiçoamento do indicador aderência da execução ao planejamento orçamentário (i25), ele </w:t>
      </w:r>
      <w:r w:rsidR="0022231F" w:rsidRPr="00B84CE5">
        <w:rPr>
          <w:rFonts w:ascii="Times New Roman" w:hAnsi="Times New Roman" w:cs="Times New Roman"/>
          <w:color w:val="000000" w:themeColor="text1"/>
          <w:sz w:val="24"/>
          <w:szCs w:val="24"/>
        </w:rPr>
        <w:t>não se mostrou</w:t>
      </w:r>
      <w:r w:rsidRPr="00B84CE5">
        <w:rPr>
          <w:rFonts w:ascii="Times New Roman" w:hAnsi="Times New Roman" w:cs="Times New Roman"/>
          <w:color w:val="000000" w:themeColor="text1"/>
          <w:sz w:val="24"/>
          <w:szCs w:val="24"/>
        </w:rPr>
        <w:t xml:space="preserve"> suficiente para aferir a qualidade do gasto, o que pode</w:t>
      </w:r>
      <w:r w:rsidR="0022231F" w:rsidRPr="00B84CE5">
        <w:rPr>
          <w:rFonts w:ascii="Times New Roman" w:hAnsi="Times New Roman" w:cs="Times New Roman"/>
          <w:color w:val="000000" w:themeColor="text1"/>
          <w:sz w:val="24"/>
          <w:szCs w:val="24"/>
        </w:rPr>
        <w:t>ria</w:t>
      </w:r>
      <w:r w:rsidRPr="00B84CE5">
        <w:rPr>
          <w:rFonts w:ascii="Times New Roman" w:hAnsi="Times New Roman" w:cs="Times New Roman"/>
          <w:color w:val="000000" w:themeColor="text1"/>
          <w:sz w:val="24"/>
          <w:szCs w:val="24"/>
        </w:rPr>
        <w:t xml:space="preserve"> ser trabalhado de forma mais eficiente por meio das informações extraídas do Sistema de Registro de Imóveis e Gerenciamento de Custos </w:t>
      </w:r>
      <w:r w:rsidR="0022231F" w:rsidRPr="00B84CE5">
        <w:rPr>
          <w:rFonts w:ascii="Times New Roman" w:hAnsi="Times New Roman" w:cs="Times New Roman"/>
          <w:color w:val="000000" w:themeColor="text1"/>
          <w:sz w:val="24"/>
          <w:szCs w:val="24"/>
        </w:rPr>
        <w:t>(</w:t>
      </w:r>
      <w:r w:rsidRPr="00B84CE5">
        <w:rPr>
          <w:rFonts w:ascii="Times New Roman" w:hAnsi="Times New Roman" w:cs="Times New Roman"/>
          <w:color w:val="000000" w:themeColor="text1"/>
          <w:sz w:val="24"/>
          <w:szCs w:val="24"/>
        </w:rPr>
        <w:t>SIGEC</w:t>
      </w:r>
      <w:r w:rsidR="0022231F" w:rsidRPr="00B84CE5">
        <w:rPr>
          <w:rFonts w:ascii="Times New Roman" w:hAnsi="Times New Roman" w:cs="Times New Roman"/>
          <w:color w:val="000000" w:themeColor="text1"/>
          <w:sz w:val="24"/>
          <w:szCs w:val="24"/>
        </w:rPr>
        <w:t>)</w:t>
      </w:r>
      <w:r w:rsidRPr="00B84CE5">
        <w:rPr>
          <w:rFonts w:ascii="Times New Roman" w:hAnsi="Times New Roman" w:cs="Times New Roman"/>
          <w:color w:val="000000" w:themeColor="text1"/>
          <w:sz w:val="24"/>
          <w:szCs w:val="24"/>
        </w:rPr>
        <w:t xml:space="preserve">, que já se encontra em fase de </w:t>
      </w:r>
      <w:proofErr w:type="gramStart"/>
      <w:r w:rsidRPr="00B84CE5">
        <w:rPr>
          <w:rFonts w:ascii="Times New Roman" w:hAnsi="Times New Roman" w:cs="Times New Roman"/>
          <w:color w:val="000000" w:themeColor="text1"/>
          <w:sz w:val="24"/>
          <w:szCs w:val="24"/>
        </w:rPr>
        <w:t>implementação</w:t>
      </w:r>
      <w:proofErr w:type="gramEnd"/>
      <w:r w:rsidRPr="00B84CE5">
        <w:rPr>
          <w:rFonts w:ascii="Times New Roman" w:hAnsi="Times New Roman" w:cs="Times New Roman"/>
          <w:color w:val="000000" w:themeColor="text1"/>
          <w:sz w:val="24"/>
          <w:szCs w:val="24"/>
        </w:rPr>
        <w:t xml:space="preserve"> em toda Justiça Eleitoral. </w:t>
      </w:r>
    </w:p>
    <w:p w:rsidR="00383CB2" w:rsidRPr="00B84CE5" w:rsidRDefault="00254D1B" w:rsidP="00383CB2">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Acrescente-se que, d</w:t>
      </w:r>
      <w:r w:rsidR="00383CB2" w:rsidRPr="00B84CE5">
        <w:rPr>
          <w:rFonts w:ascii="Times New Roman" w:hAnsi="Times New Roman" w:cs="Times New Roman"/>
          <w:color w:val="000000" w:themeColor="text1"/>
          <w:sz w:val="24"/>
          <w:szCs w:val="24"/>
        </w:rPr>
        <w:t>e acordo com a Unidade, o referido sistema viabili</w:t>
      </w:r>
      <w:r w:rsidR="0022231F" w:rsidRPr="00B84CE5">
        <w:rPr>
          <w:rFonts w:ascii="Times New Roman" w:hAnsi="Times New Roman" w:cs="Times New Roman"/>
          <w:color w:val="000000" w:themeColor="text1"/>
          <w:sz w:val="24"/>
          <w:szCs w:val="24"/>
        </w:rPr>
        <w:t>zaria</w:t>
      </w:r>
      <w:r w:rsidR="00383CB2" w:rsidRPr="00B84CE5">
        <w:rPr>
          <w:rFonts w:ascii="Times New Roman" w:hAnsi="Times New Roman" w:cs="Times New Roman"/>
          <w:color w:val="000000" w:themeColor="text1"/>
          <w:sz w:val="24"/>
          <w:szCs w:val="24"/>
        </w:rPr>
        <w:t xml:space="preserve"> a avaliação dos resultados verificados entre localidades semelhantes e observados diversos critérios de parametrização, sendo uma ferramenta para </w:t>
      </w:r>
      <w:r w:rsidR="00383CB2" w:rsidRPr="00B84CE5">
        <w:rPr>
          <w:rFonts w:ascii="Times New Roman" w:hAnsi="Times New Roman" w:cs="Times New Roman"/>
          <w:color w:val="000000" w:themeColor="text1"/>
          <w:sz w:val="24"/>
          <w:szCs w:val="24"/>
        </w:rPr>
        <w:lastRenderedPageBreak/>
        <w:t>controle e monitoramento das despesas de manutenção do Órgão, bem como permitir</w:t>
      </w:r>
      <w:r w:rsidR="0022231F" w:rsidRPr="00B84CE5">
        <w:rPr>
          <w:rFonts w:ascii="Times New Roman" w:hAnsi="Times New Roman" w:cs="Times New Roman"/>
          <w:color w:val="000000" w:themeColor="text1"/>
          <w:sz w:val="24"/>
          <w:szCs w:val="24"/>
        </w:rPr>
        <w:t>ia</w:t>
      </w:r>
      <w:r w:rsidR="00383CB2" w:rsidRPr="00B84CE5">
        <w:rPr>
          <w:rFonts w:ascii="Times New Roman" w:hAnsi="Times New Roman" w:cs="Times New Roman"/>
          <w:color w:val="000000" w:themeColor="text1"/>
          <w:sz w:val="24"/>
          <w:szCs w:val="24"/>
        </w:rPr>
        <w:t xml:space="preserve"> a identificação do custo padrão de instalação e funcionamento dos imóveis deste Tribunal e a promoção de campanhas institucionais voltadas para a economicidade e a racionalização dos gastos, possibilitando, assim, a mensuração da cultura org</w:t>
      </w:r>
      <w:r w:rsidR="0022231F" w:rsidRPr="00B84CE5">
        <w:rPr>
          <w:rFonts w:ascii="Times New Roman" w:hAnsi="Times New Roman" w:cs="Times New Roman"/>
          <w:color w:val="000000" w:themeColor="text1"/>
          <w:sz w:val="24"/>
          <w:szCs w:val="24"/>
        </w:rPr>
        <w:t>anizacional no que tange ao uso</w:t>
      </w:r>
      <w:r w:rsidR="00383CB2" w:rsidRPr="00B84CE5">
        <w:rPr>
          <w:rFonts w:ascii="Times New Roman" w:hAnsi="Times New Roman" w:cs="Times New Roman"/>
          <w:color w:val="000000" w:themeColor="text1"/>
          <w:sz w:val="24"/>
          <w:szCs w:val="24"/>
        </w:rPr>
        <w:t xml:space="preserve"> racion</w:t>
      </w:r>
      <w:r w:rsidR="0022231F" w:rsidRPr="00B84CE5">
        <w:rPr>
          <w:rFonts w:ascii="Times New Roman" w:hAnsi="Times New Roman" w:cs="Times New Roman"/>
          <w:color w:val="000000" w:themeColor="text1"/>
          <w:sz w:val="24"/>
          <w:szCs w:val="24"/>
        </w:rPr>
        <w:t xml:space="preserve">al, satisfatório </w:t>
      </w:r>
      <w:r w:rsidR="004E3B02" w:rsidRPr="00B84CE5">
        <w:rPr>
          <w:rFonts w:ascii="Times New Roman" w:hAnsi="Times New Roman" w:cs="Times New Roman"/>
          <w:color w:val="000000" w:themeColor="text1"/>
          <w:sz w:val="24"/>
          <w:szCs w:val="24"/>
        </w:rPr>
        <w:t xml:space="preserve">e </w:t>
      </w:r>
      <w:r w:rsidR="00383CB2" w:rsidRPr="00B84CE5">
        <w:rPr>
          <w:rFonts w:ascii="Times New Roman" w:hAnsi="Times New Roman" w:cs="Times New Roman"/>
          <w:color w:val="000000" w:themeColor="text1"/>
          <w:sz w:val="24"/>
          <w:szCs w:val="24"/>
        </w:rPr>
        <w:t>eficiente dos</w:t>
      </w:r>
      <w:r w:rsidR="004E3B02" w:rsidRPr="00B84CE5">
        <w:rPr>
          <w:rFonts w:ascii="Times New Roman" w:hAnsi="Times New Roman" w:cs="Times New Roman"/>
          <w:color w:val="000000" w:themeColor="text1"/>
          <w:sz w:val="24"/>
          <w:szCs w:val="24"/>
        </w:rPr>
        <w:t xml:space="preserve"> </w:t>
      </w:r>
      <w:r w:rsidR="00383CB2" w:rsidRPr="00B84CE5">
        <w:rPr>
          <w:rFonts w:ascii="Times New Roman" w:hAnsi="Times New Roman" w:cs="Times New Roman"/>
          <w:color w:val="000000" w:themeColor="text1"/>
          <w:sz w:val="24"/>
          <w:szCs w:val="24"/>
        </w:rPr>
        <w:t>recursos, aspectos relevantes para o aperfeiçoamento da qualidade do gasto público neste Tribunal, consoante descrição do objetivo constante da formulação estratégi</w:t>
      </w:r>
      <w:r w:rsidR="0022231F" w:rsidRPr="00B84CE5">
        <w:rPr>
          <w:rFonts w:ascii="Times New Roman" w:hAnsi="Times New Roman" w:cs="Times New Roman"/>
          <w:color w:val="000000" w:themeColor="text1"/>
          <w:sz w:val="24"/>
          <w:szCs w:val="24"/>
        </w:rPr>
        <w:t>ca</w:t>
      </w:r>
      <w:r w:rsidR="00383CB2" w:rsidRPr="00B84CE5">
        <w:rPr>
          <w:rFonts w:ascii="Times New Roman" w:hAnsi="Times New Roman" w:cs="Times New Roman"/>
          <w:color w:val="000000" w:themeColor="text1"/>
          <w:sz w:val="24"/>
          <w:szCs w:val="24"/>
        </w:rPr>
        <w:t xml:space="preserve"> 2016-2021.</w:t>
      </w:r>
    </w:p>
    <w:p w:rsidR="00572383" w:rsidRPr="00775054" w:rsidRDefault="00572383" w:rsidP="0057238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Critério(s):</w:t>
      </w:r>
    </w:p>
    <w:p w:rsidR="00572383" w:rsidRPr="00775054" w:rsidRDefault="00572383" w:rsidP="0057238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Resolução TSE n° </w:t>
      </w:r>
      <w:proofErr w:type="gramStart"/>
      <w:r w:rsidRPr="00775054">
        <w:rPr>
          <w:rFonts w:ascii="Times New Roman" w:hAnsi="Times New Roman" w:cs="Times New Roman"/>
          <w:color w:val="000000" w:themeColor="text1"/>
          <w:sz w:val="24"/>
          <w:szCs w:val="24"/>
        </w:rPr>
        <w:t xml:space="preserve">23.234/2010, </w:t>
      </w:r>
      <w:r w:rsidRPr="0022231F">
        <w:rPr>
          <w:rFonts w:ascii="Times New Roman" w:hAnsi="Times New Roman" w:cs="Times New Roman"/>
          <w:i/>
          <w:color w:val="000000" w:themeColor="text1"/>
          <w:sz w:val="24"/>
          <w:szCs w:val="24"/>
        </w:rPr>
        <w:t>caput</w:t>
      </w:r>
      <w:r w:rsidRPr="00775054">
        <w:rPr>
          <w:rFonts w:ascii="Times New Roman" w:hAnsi="Times New Roman" w:cs="Times New Roman"/>
          <w:color w:val="000000" w:themeColor="text1"/>
          <w:sz w:val="24"/>
          <w:szCs w:val="24"/>
        </w:rPr>
        <w:t xml:space="preserve"> e parágrafo</w:t>
      </w:r>
      <w:proofErr w:type="gramEnd"/>
      <w:r w:rsidRPr="00775054">
        <w:rPr>
          <w:rFonts w:ascii="Times New Roman" w:hAnsi="Times New Roman" w:cs="Times New Roman"/>
          <w:color w:val="000000" w:themeColor="text1"/>
          <w:sz w:val="24"/>
          <w:szCs w:val="24"/>
        </w:rPr>
        <w:t xml:space="preserve"> único; Portaria DG nº 300</w:t>
      </w:r>
      <w:r w:rsidR="00B84CE5">
        <w:rPr>
          <w:rFonts w:ascii="Times New Roman" w:hAnsi="Times New Roman" w:cs="Times New Roman"/>
          <w:color w:val="000000" w:themeColor="text1"/>
          <w:sz w:val="24"/>
          <w:szCs w:val="24"/>
        </w:rPr>
        <w:t>, de 25 de novembro de 2016</w:t>
      </w:r>
      <w:r w:rsidRPr="00775054">
        <w:rPr>
          <w:rFonts w:ascii="Times New Roman" w:hAnsi="Times New Roman" w:cs="Times New Roman"/>
          <w:color w:val="000000" w:themeColor="text1"/>
          <w:sz w:val="24"/>
          <w:szCs w:val="24"/>
        </w:rPr>
        <w:t>; Resolução TSE nº 23.504/2016; e Técnicas de Indicadores de Desempenho para Auditoria, item 55, pp 19-20, aprovado na Portaria-SEGECEX do TCU nº 11/2010.</w:t>
      </w:r>
    </w:p>
    <w:p w:rsidR="00572383" w:rsidRPr="00775054" w:rsidRDefault="00572383" w:rsidP="0057238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572383" w:rsidRPr="00775054" w:rsidRDefault="00572383" w:rsidP="0057238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Incipiente cultura organizacional em orientação para resultados; e insuficiência de capacitação dos agentes responsáveis pela elaboração de indicadores estratégicos.</w:t>
      </w:r>
    </w:p>
    <w:p w:rsidR="00572383" w:rsidRPr="00775054" w:rsidRDefault="0022231F" w:rsidP="0057238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Efeito(s) (real </w:t>
      </w:r>
      <w:r w:rsidR="00572383" w:rsidRPr="00775054">
        <w:rPr>
          <w:rFonts w:ascii="Times New Roman" w:hAnsi="Times New Roman" w:cs="Times New Roman"/>
          <w:i/>
          <w:color w:val="000000" w:themeColor="text1"/>
          <w:sz w:val="24"/>
          <w:szCs w:val="24"/>
        </w:rPr>
        <w:t>ou potencial):</w:t>
      </w:r>
    </w:p>
    <w:p w:rsidR="00572383" w:rsidRPr="001A6A5A" w:rsidRDefault="00572383" w:rsidP="00572383">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Ausência, deficiência e/ou intempestividade na adoção de medidas corretivas para integralização da estratégia; dispersão de esforços e recursos na busca da concretização da missão institucional; não cumprimento ou cumprimento deficiente dos objetivos estratégicos, iniciativas e metas associadas; não identificação de deficiência no planejamento das contratações; deficiência no controle da qualidade do gasto público; comprometimento da celeridade e qualidade das entregas associadas à execução da estratégia; e execução deficiente do planejamento</w:t>
      </w:r>
      <w:r w:rsidR="0022231F">
        <w:rPr>
          <w:rFonts w:ascii="Times New Roman" w:hAnsi="Times New Roman" w:cs="Times New Roman"/>
          <w:color w:val="000000" w:themeColor="text1"/>
          <w:sz w:val="24"/>
          <w:szCs w:val="24"/>
        </w:rPr>
        <w:t xml:space="preserve"> </w:t>
      </w:r>
      <w:r w:rsidR="001A6A5A" w:rsidRPr="001A6A5A">
        <w:rPr>
          <w:rFonts w:ascii="Times New Roman" w:hAnsi="Times New Roman" w:cs="Times New Roman"/>
          <w:sz w:val="24"/>
          <w:szCs w:val="24"/>
        </w:rPr>
        <w:t>estratégico</w:t>
      </w:r>
      <w:r w:rsidRPr="001A6A5A">
        <w:rPr>
          <w:rFonts w:ascii="Times New Roman" w:hAnsi="Times New Roman" w:cs="Times New Roman"/>
          <w:sz w:val="24"/>
          <w:szCs w:val="24"/>
        </w:rPr>
        <w:t>.</w:t>
      </w:r>
    </w:p>
    <w:p w:rsidR="00572383" w:rsidRPr="00775054" w:rsidRDefault="00572383" w:rsidP="0057238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572383" w:rsidRPr="002805DF" w:rsidRDefault="00572383" w:rsidP="00472D4C">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Resolução TRE-BA nº 14/2015 e respectiva formulação estratégica, disponível em http://www.tre-ba.jus.br/o-tre/planejamento-estrategico/planejamento-estrategico-1, acesso em 15/12/2017; PAD nº 14.851/2017 (</w:t>
      </w:r>
      <w:proofErr w:type="spellStart"/>
      <w:r w:rsidRPr="00775054">
        <w:rPr>
          <w:rFonts w:ascii="Times New Roman" w:hAnsi="Times New Roman" w:cs="Times New Roman"/>
          <w:color w:val="000000" w:themeColor="text1"/>
          <w:sz w:val="24"/>
          <w:szCs w:val="24"/>
        </w:rPr>
        <w:t>Docs</w:t>
      </w:r>
      <w:proofErr w:type="spellEnd"/>
      <w:r w:rsidRPr="00775054">
        <w:rPr>
          <w:rFonts w:ascii="Times New Roman" w:hAnsi="Times New Roman" w:cs="Times New Roman"/>
          <w:color w:val="000000" w:themeColor="text1"/>
          <w:sz w:val="24"/>
          <w:szCs w:val="24"/>
        </w:rPr>
        <w:t xml:space="preserve"> nº 207.246/2017, 220.117/2017, 220.120/2017, 220.124/2017 e 220.146/2017);</w:t>
      </w:r>
      <w:r w:rsidR="00472D4C">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PAD nº 14.852/2017 (Docs. Nº 214.475/2017, 232.353/2017 e 232.354/2017)</w:t>
      </w:r>
      <w:r w:rsidR="00472D4C">
        <w:rPr>
          <w:rFonts w:ascii="Times New Roman" w:hAnsi="Times New Roman" w:cs="Times New Roman"/>
          <w:color w:val="000000" w:themeColor="text1"/>
          <w:sz w:val="24"/>
          <w:szCs w:val="24"/>
        </w:rPr>
        <w:t xml:space="preserve">; </w:t>
      </w:r>
      <w:r w:rsidR="00472D4C" w:rsidRPr="002805DF">
        <w:rPr>
          <w:rFonts w:ascii="Times New Roman" w:hAnsi="Times New Roman" w:cs="Times New Roman"/>
          <w:sz w:val="24"/>
          <w:szCs w:val="24"/>
        </w:rPr>
        <w:t>e</w:t>
      </w:r>
      <w:r w:rsidR="00472D4C" w:rsidRPr="002805DF">
        <w:t xml:space="preserve"> </w:t>
      </w:r>
      <w:r w:rsidR="00472D4C" w:rsidRPr="002805DF">
        <w:rPr>
          <w:rFonts w:ascii="Times New Roman" w:hAnsi="Times New Roman" w:cs="Times New Roman"/>
          <w:sz w:val="24"/>
          <w:szCs w:val="24"/>
        </w:rPr>
        <w:t>PAD nº 4.727/2018 (Doc. nº 66.886/2018, 66.922/2018</w:t>
      </w:r>
      <w:r w:rsidR="009C10BF" w:rsidRPr="002805DF">
        <w:rPr>
          <w:rFonts w:ascii="Times New Roman" w:hAnsi="Times New Roman" w:cs="Times New Roman"/>
          <w:sz w:val="24"/>
          <w:szCs w:val="24"/>
        </w:rPr>
        <w:t>,</w:t>
      </w:r>
      <w:r w:rsidR="00472D4C" w:rsidRPr="002805DF">
        <w:rPr>
          <w:rFonts w:ascii="Times New Roman" w:hAnsi="Times New Roman" w:cs="Times New Roman"/>
          <w:sz w:val="24"/>
          <w:szCs w:val="24"/>
        </w:rPr>
        <w:t xml:space="preserve"> 68.218/2018</w:t>
      </w:r>
      <w:r w:rsidR="009C10BF" w:rsidRPr="002805DF">
        <w:rPr>
          <w:rFonts w:ascii="Times New Roman" w:hAnsi="Times New Roman" w:cs="Times New Roman"/>
          <w:sz w:val="24"/>
          <w:szCs w:val="24"/>
        </w:rPr>
        <w:t xml:space="preserve"> e 80.064/2018</w:t>
      </w:r>
      <w:r w:rsidR="00472D4C" w:rsidRPr="002805DF">
        <w:rPr>
          <w:rFonts w:ascii="Times New Roman" w:hAnsi="Times New Roman" w:cs="Times New Roman"/>
          <w:sz w:val="24"/>
          <w:szCs w:val="24"/>
        </w:rPr>
        <w:t>)</w:t>
      </w:r>
      <w:r w:rsidRPr="002805DF">
        <w:rPr>
          <w:rFonts w:ascii="Times New Roman" w:hAnsi="Times New Roman" w:cs="Times New Roman"/>
          <w:sz w:val="24"/>
          <w:szCs w:val="24"/>
        </w:rPr>
        <w:t>.</w:t>
      </w:r>
    </w:p>
    <w:p w:rsidR="00572383" w:rsidRPr="00775054" w:rsidRDefault="00572383" w:rsidP="0057238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responsáveis:</w:t>
      </w:r>
    </w:p>
    <w:p w:rsidR="00572383" w:rsidRPr="00B84CE5" w:rsidRDefault="00A12217" w:rsidP="00A12217">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Em resposta à RDI nº 7/2018 (PAD nº 1.309/2018, Doc. nº 22.537/2018), a SGA esclareceu que o PLANCONT, conforme concebido no Guia Prático das Contratações do TRE-BA, consiste em ferramenta gerencial que visa estabelecer a programação de contratações do exercício e seu respectivo cronograma, tendo como base a proposta orçamentária aprovada pelo TSE, com os objetivos de: permitir uma visão abrangente do que planejado para o exercício e auxiliar na tomada de decisão quanto à fundamentação legal, reunião de objetos semelhantes em um mesmo processo, parcelamento de compras e agrupamento de itens</w:t>
      </w:r>
      <w:r w:rsidR="0022231F" w:rsidRPr="00B84CE5">
        <w:rPr>
          <w:rFonts w:ascii="Times New Roman" w:hAnsi="Times New Roman" w:cs="Times New Roman"/>
          <w:color w:val="000000" w:themeColor="text1"/>
          <w:sz w:val="24"/>
          <w:szCs w:val="24"/>
        </w:rPr>
        <w:t>;</w:t>
      </w:r>
      <w:r w:rsidRPr="00B84CE5">
        <w:rPr>
          <w:rFonts w:ascii="Times New Roman" w:hAnsi="Times New Roman" w:cs="Times New Roman"/>
          <w:color w:val="000000" w:themeColor="text1"/>
          <w:sz w:val="24"/>
          <w:szCs w:val="24"/>
        </w:rPr>
        <w:t xml:space="preserve"> afastar o risco de fracionamento indevido de despesas; conferir maior celeridade ao fluxo dos processos, na medida em que, a partir de uma visão geral, permite</w:t>
      </w:r>
      <w:r w:rsidR="00254D1B" w:rsidRPr="00B84CE5">
        <w:rPr>
          <w:rFonts w:ascii="Times New Roman" w:hAnsi="Times New Roman" w:cs="Times New Roman"/>
          <w:color w:val="000000" w:themeColor="text1"/>
          <w:sz w:val="24"/>
          <w:szCs w:val="24"/>
        </w:rPr>
        <w:t>-se</w:t>
      </w:r>
      <w:r w:rsidRPr="00B84CE5">
        <w:rPr>
          <w:rFonts w:ascii="Times New Roman" w:hAnsi="Times New Roman" w:cs="Times New Roman"/>
          <w:color w:val="000000" w:themeColor="text1"/>
          <w:sz w:val="24"/>
          <w:szCs w:val="24"/>
        </w:rPr>
        <w:t xml:space="preserve"> a distribuição de</w:t>
      </w:r>
      <w:r w:rsidR="00254D1B" w:rsidRPr="00B84CE5">
        <w:rPr>
          <w:rFonts w:ascii="Times New Roman" w:hAnsi="Times New Roman" w:cs="Times New Roman"/>
          <w:color w:val="000000" w:themeColor="text1"/>
          <w:sz w:val="24"/>
          <w:szCs w:val="24"/>
        </w:rPr>
        <w:t xml:space="preserve"> contratações </w:t>
      </w:r>
      <w:r w:rsidRPr="00B84CE5">
        <w:rPr>
          <w:rFonts w:ascii="Times New Roman" w:hAnsi="Times New Roman" w:cs="Times New Roman"/>
          <w:color w:val="000000" w:themeColor="text1"/>
          <w:sz w:val="24"/>
          <w:szCs w:val="24"/>
        </w:rPr>
        <w:t xml:space="preserve">forma equilibrada ao longo do ano, evitando sobrecarga e gargalos em determinadas unidades em certos períodos; melhorar a execução orçamentária, posto que </w:t>
      </w:r>
      <w:proofErr w:type="gramStart"/>
      <w:r w:rsidRPr="00B84CE5">
        <w:rPr>
          <w:rFonts w:ascii="Times New Roman" w:hAnsi="Times New Roman" w:cs="Times New Roman"/>
          <w:color w:val="000000" w:themeColor="text1"/>
          <w:sz w:val="24"/>
          <w:szCs w:val="24"/>
        </w:rPr>
        <w:t>permite</w:t>
      </w:r>
      <w:proofErr w:type="gramEnd"/>
      <w:r w:rsidRPr="00B84CE5">
        <w:rPr>
          <w:rFonts w:ascii="Times New Roman" w:hAnsi="Times New Roman" w:cs="Times New Roman"/>
          <w:color w:val="000000" w:themeColor="text1"/>
          <w:sz w:val="24"/>
          <w:szCs w:val="24"/>
        </w:rPr>
        <w:t xml:space="preserve"> analisar, no momento de sua elaboração, a </w:t>
      </w:r>
      <w:r w:rsidRPr="00B84CE5">
        <w:rPr>
          <w:rFonts w:ascii="Times New Roman" w:hAnsi="Times New Roman" w:cs="Times New Roman"/>
          <w:color w:val="000000" w:themeColor="text1"/>
          <w:sz w:val="24"/>
          <w:szCs w:val="24"/>
        </w:rPr>
        <w:lastRenderedPageBreak/>
        <w:t xml:space="preserve">possibilidade de reunião de objetos em um mesmo processo, com consequente redução do número de licitações e maior ganho de escala; ampliar a transparência e, com isso, permitir o acesso a um maior número de interessados em contratar com a Administração. </w:t>
      </w:r>
    </w:p>
    <w:p w:rsidR="00A12217" w:rsidRPr="00B84CE5" w:rsidRDefault="00B42170" w:rsidP="00A12217">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A SGA também informou que, considerando que o planejamento é dinâmico, foram previstas no Guia duas revisões anuais do plano de contratações, de modo a permitir ajustes necessários na programação.</w:t>
      </w:r>
    </w:p>
    <w:p w:rsidR="00254D1B" w:rsidRDefault="00B42170" w:rsidP="00A12217">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Esclareceu</w:t>
      </w:r>
      <w:r w:rsidR="003C7124"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ainda, que o planejamento das contratações é um procedimento mais amplo, do qual o PLANCONT constitui somente uma etapa. Tem início com antecedência de quase um ano e meio antes de sua execução, o que por si só já poderia demandar eventuais ajustes no cronograma dos processos de contratações.</w:t>
      </w:r>
      <w:r w:rsidR="000519AA" w:rsidRPr="00B84CE5">
        <w:rPr>
          <w:rFonts w:ascii="Times New Roman" w:hAnsi="Times New Roman" w:cs="Times New Roman"/>
          <w:color w:val="000000" w:themeColor="text1"/>
          <w:sz w:val="24"/>
          <w:szCs w:val="24"/>
        </w:rPr>
        <w:t xml:space="preserve"> Além disso, </w:t>
      </w:r>
      <w:r w:rsidR="00254D1B" w:rsidRPr="00B84CE5">
        <w:rPr>
          <w:rFonts w:ascii="Times New Roman" w:hAnsi="Times New Roman" w:cs="Times New Roman"/>
          <w:color w:val="000000" w:themeColor="text1"/>
          <w:sz w:val="24"/>
          <w:szCs w:val="24"/>
        </w:rPr>
        <w:t xml:space="preserve">acrescentou que </w:t>
      </w:r>
      <w:r w:rsidR="000519AA" w:rsidRPr="00B84CE5">
        <w:rPr>
          <w:rFonts w:ascii="Times New Roman" w:hAnsi="Times New Roman" w:cs="Times New Roman"/>
          <w:color w:val="000000" w:themeColor="text1"/>
          <w:sz w:val="24"/>
          <w:szCs w:val="24"/>
        </w:rPr>
        <w:t xml:space="preserve">fatores como cortes e sobras </w:t>
      </w:r>
      <w:r w:rsidR="000519AA" w:rsidRPr="00775054">
        <w:rPr>
          <w:rFonts w:ascii="Times New Roman" w:hAnsi="Times New Roman" w:cs="Times New Roman"/>
          <w:color w:val="000000" w:themeColor="text1"/>
          <w:sz w:val="24"/>
          <w:szCs w:val="24"/>
        </w:rPr>
        <w:t xml:space="preserve">orçamentárias, mudança na gestão do </w:t>
      </w:r>
      <w:r w:rsidR="0022231F">
        <w:rPr>
          <w:rFonts w:ascii="Times New Roman" w:hAnsi="Times New Roman" w:cs="Times New Roman"/>
          <w:color w:val="000000" w:themeColor="text1"/>
          <w:sz w:val="24"/>
          <w:szCs w:val="24"/>
        </w:rPr>
        <w:t>Órgão</w:t>
      </w:r>
      <w:r w:rsidR="000519AA" w:rsidRPr="00775054">
        <w:rPr>
          <w:rFonts w:ascii="Times New Roman" w:hAnsi="Times New Roman" w:cs="Times New Roman"/>
          <w:color w:val="000000" w:themeColor="text1"/>
          <w:sz w:val="24"/>
          <w:szCs w:val="24"/>
        </w:rPr>
        <w:t xml:space="preserve"> e surgimento de necessidades imprevisíveis poder</w:t>
      </w:r>
      <w:r w:rsidR="0022231F">
        <w:rPr>
          <w:rFonts w:ascii="Times New Roman" w:hAnsi="Times New Roman" w:cs="Times New Roman"/>
          <w:color w:val="000000" w:themeColor="text1"/>
          <w:sz w:val="24"/>
          <w:szCs w:val="24"/>
        </w:rPr>
        <w:t>iam</w:t>
      </w:r>
      <w:r w:rsidR="000519AA" w:rsidRPr="00775054">
        <w:rPr>
          <w:rFonts w:ascii="Times New Roman" w:hAnsi="Times New Roman" w:cs="Times New Roman"/>
          <w:color w:val="000000" w:themeColor="text1"/>
          <w:sz w:val="24"/>
          <w:szCs w:val="24"/>
        </w:rPr>
        <w:t xml:space="preserve"> acarretar alterações na programação, e uma readequação do planejamento pelas unidades solicitantes, visto que poder</w:t>
      </w:r>
      <w:r w:rsidR="0022231F">
        <w:rPr>
          <w:rFonts w:ascii="Times New Roman" w:hAnsi="Times New Roman" w:cs="Times New Roman"/>
          <w:color w:val="000000" w:themeColor="text1"/>
          <w:sz w:val="24"/>
          <w:szCs w:val="24"/>
        </w:rPr>
        <w:t>iam</w:t>
      </w:r>
      <w:r w:rsidR="000519AA" w:rsidRPr="00775054">
        <w:rPr>
          <w:rFonts w:ascii="Times New Roman" w:hAnsi="Times New Roman" w:cs="Times New Roman"/>
          <w:color w:val="000000" w:themeColor="text1"/>
          <w:sz w:val="24"/>
          <w:szCs w:val="24"/>
        </w:rPr>
        <w:t xml:space="preserve"> demandar remanejamentos entre fontes de crédito para custear despesas não previstas. </w:t>
      </w:r>
    </w:p>
    <w:p w:rsidR="000519AA" w:rsidRPr="00775054" w:rsidRDefault="000519AA" w:rsidP="00A12217">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Inform</w:t>
      </w:r>
      <w:r w:rsidR="0022231F">
        <w:rPr>
          <w:rFonts w:ascii="Times New Roman" w:hAnsi="Times New Roman" w:cs="Times New Roman"/>
          <w:color w:val="000000" w:themeColor="text1"/>
          <w:sz w:val="24"/>
          <w:szCs w:val="24"/>
        </w:rPr>
        <w:t>ou, adicionalmente,</w:t>
      </w:r>
      <w:r w:rsidRPr="00775054">
        <w:rPr>
          <w:rFonts w:ascii="Times New Roman" w:hAnsi="Times New Roman" w:cs="Times New Roman"/>
          <w:color w:val="000000" w:themeColor="text1"/>
          <w:sz w:val="24"/>
          <w:szCs w:val="24"/>
        </w:rPr>
        <w:t xml:space="preserve"> que a análise da pertinência quanto ao objeto e à priorização de contratações estratégicas deve</w:t>
      </w:r>
      <w:r w:rsidR="0022231F">
        <w:rPr>
          <w:rFonts w:ascii="Times New Roman" w:hAnsi="Times New Roman" w:cs="Times New Roman"/>
          <w:color w:val="000000" w:themeColor="text1"/>
          <w:sz w:val="24"/>
          <w:szCs w:val="24"/>
        </w:rPr>
        <w:t>ria</w:t>
      </w:r>
      <w:r w:rsidRPr="00775054">
        <w:rPr>
          <w:rFonts w:ascii="Times New Roman" w:hAnsi="Times New Roman" w:cs="Times New Roman"/>
          <w:color w:val="000000" w:themeColor="text1"/>
          <w:sz w:val="24"/>
          <w:szCs w:val="24"/>
        </w:rPr>
        <w:t xml:space="preserve"> ser realizada desde a fase de levantamento de necessidades e de elaboração da proposta orçamentária, as quais perpassam pela aprovação da autoridade competente, o que deve</w:t>
      </w:r>
      <w:r w:rsidR="0022231F">
        <w:rPr>
          <w:rFonts w:ascii="Times New Roman" w:hAnsi="Times New Roman" w:cs="Times New Roman"/>
          <w:color w:val="000000" w:themeColor="text1"/>
          <w:sz w:val="24"/>
          <w:szCs w:val="24"/>
        </w:rPr>
        <w:t>ria</w:t>
      </w:r>
      <w:r w:rsidRPr="00775054">
        <w:rPr>
          <w:rFonts w:ascii="Times New Roman" w:hAnsi="Times New Roman" w:cs="Times New Roman"/>
          <w:color w:val="000000" w:themeColor="text1"/>
          <w:sz w:val="24"/>
          <w:szCs w:val="24"/>
        </w:rPr>
        <w:t xml:space="preserve"> se refletir no PLANCONT.</w:t>
      </w:r>
    </w:p>
    <w:p w:rsidR="00853CEB" w:rsidRPr="00B84CE5" w:rsidRDefault="000519AA" w:rsidP="00A12217">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Ressaltou que a COGELIC</w:t>
      </w:r>
      <w:r w:rsidR="004C5315" w:rsidRPr="00B84CE5">
        <w:rPr>
          <w:rFonts w:ascii="Times New Roman" w:hAnsi="Times New Roman" w:cs="Times New Roman"/>
          <w:color w:val="000000" w:themeColor="text1"/>
          <w:sz w:val="24"/>
          <w:szCs w:val="24"/>
        </w:rPr>
        <w:t xml:space="preserve"> é responsável pelo acompanhamento da programação das contratações, isto é, do cronograma estabelecido para início dos processos, assim como pela medição da aderência ao PLANCONT, ou seja, do cumprimento desse cronograma, o que atualmente é feito ao final de cada trimestre, considerando os processos previst</w:t>
      </w:r>
      <w:r w:rsidR="00254D1B" w:rsidRPr="00B84CE5">
        <w:rPr>
          <w:rFonts w:ascii="Times New Roman" w:hAnsi="Times New Roman" w:cs="Times New Roman"/>
          <w:color w:val="000000" w:themeColor="text1"/>
          <w:sz w:val="24"/>
          <w:szCs w:val="24"/>
        </w:rPr>
        <w:t>o</w:t>
      </w:r>
      <w:r w:rsidR="004C5315" w:rsidRPr="00B84CE5">
        <w:rPr>
          <w:rFonts w:ascii="Times New Roman" w:hAnsi="Times New Roman" w:cs="Times New Roman"/>
          <w:color w:val="000000" w:themeColor="text1"/>
          <w:sz w:val="24"/>
          <w:szCs w:val="24"/>
        </w:rPr>
        <w:t>s para serem iniciados no período anterior. Relatou que existe razoável número de demandas não previstas inicialmente no Plano de Contratações, mas que, após autorização, são inseridas no referido plano, de modo que haja a consolidação dos processos de contratação ocorridos no exercício, conforme prevê o Guia, diferentemente do que ocorria com o antigo PAAS, cujas inserções posteriores eram anotadas em paralelo</w:t>
      </w:r>
      <w:r w:rsidR="00853CEB" w:rsidRPr="00B84CE5">
        <w:rPr>
          <w:rFonts w:ascii="Times New Roman" w:hAnsi="Times New Roman" w:cs="Times New Roman"/>
          <w:color w:val="000000" w:themeColor="text1"/>
          <w:sz w:val="24"/>
          <w:szCs w:val="24"/>
        </w:rPr>
        <w:t>.</w:t>
      </w:r>
    </w:p>
    <w:p w:rsidR="00853CEB" w:rsidRPr="00B84CE5" w:rsidRDefault="00853CEB" w:rsidP="00A12217">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Informou que, no ano de 2017, a inserção de diversos processos destinados às atividades relacionadas à revisão do eleitorado com recadastramento biométrico foi realizada posteriormente à aprovação do PLANCONT, o que contribuiu para a modificação do plano, além de demandar</w:t>
      </w:r>
      <w:r w:rsidR="00B84CE5"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 xml:space="preserve">priorização </w:t>
      </w:r>
      <w:r w:rsidR="004E3B02" w:rsidRPr="00B84CE5">
        <w:rPr>
          <w:rFonts w:ascii="Times New Roman" w:hAnsi="Times New Roman" w:cs="Times New Roman"/>
          <w:color w:val="000000" w:themeColor="text1"/>
          <w:sz w:val="24"/>
          <w:szCs w:val="24"/>
        </w:rPr>
        <w:t xml:space="preserve">de contratações </w:t>
      </w:r>
      <w:r w:rsidRPr="00B84CE5">
        <w:rPr>
          <w:rFonts w:ascii="Times New Roman" w:hAnsi="Times New Roman" w:cs="Times New Roman"/>
          <w:color w:val="000000" w:themeColor="text1"/>
          <w:sz w:val="24"/>
          <w:szCs w:val="24"/>
        </w:rPr>
        <w:t>em detrimento d</w:t>
      </w:r>
      <w:r w:rsidR="004E3B02" w:rsidRPr="00B84CE5">
        <w:rPr>
          <w:rFonts w:ascii="Times New Roman" w:hAnsi="Times New Roman" w:cs="Times New Roman"/>
          <w:color w:val="000000" w:themeColor="text1"/>
          <w:sz w:val="24"/>
          <w:szCs w:val="24"/>
        </w:rPr>
        <w:t>a</w:t>
      </w:r>
      <w:r w:rsidRPr="00B84CE5">
        <w:rPr>
          <w:rFonts w:ascii="Times New Roman" w:hAnsi="Times New Roman" w:cs="Times New Roman"/>
          <w:color w:val="000000" w:themeColor="text1"/>
          <w:sz w:val="24"/>
          <w:szCs w:val="24"/>
        </w:rPr>
        <w:t>s que foram previst</w:t>
      </w:r>
      <w:r w:rsidR="004E3B02" w:rsidRPr="00B84CE5">
        <w:rPr>
          <w:rFonts w:ascii="Times New Roman" w:hAnsi="Times New Roman" w:cs="Times New Roman"/>
          <w:color w:val="000000" w:themeColor="text1"/>
          <w:sz w:val="24"/>
          <w:szCs w:val="24"/>
        </w:rPr>
        <w:t>a</w:t>
      </w:r>
      <w:r w:rsidRPr="00B84CE5">
        <w:rPr>
          <w:rFonts w:ascii="Times New Roman" w:hAnsi="Times New Roman" w:cs="Times New Roman"/>
          <w:color w:val="000000" w:themeColor="text1"/>
          <w:sz w:val="24"/>
          <w:szCs w:val="24"/>
        </w:rPr>
        <w:t>s originalmente.</w:t>
      </w:r>
    </w:p>
    <w:p w:rsidR="00853CEB" w:rsidRPr="00B84CE5" w:rsidRDefault="00853CEB" w:rsidP="00A12217">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Salientou que restou ajustado entre COPEG e a SGA que os processos inseridos posteriormente no PLANCONT não seriam considerad</w:t>
      </w:r>
      <w:r w:rsidR="00254D1B" w:rsidRPr="00B84CE5">
        <w:rPr>
          <w:rFonts w:ascii="Times New Roman" w:hAnsi="Times New Roman" w:cs="Times New Roman"/>
          <w:color w:val="000000" w:themeColor="text1"/>
          <w:sz w:val="24"/>
          <w:szCs w:val="24"/>
        </w:rPr>
        <w:t>o</w:t>
      </w:r>
      <w:r w:rsidRPr="00B84CE5">
        <w:rPr>
          <w:rFonts w:ascii="Times New Roman" w:hAnsi="Times New Roman" w:cs="Times New Roman"/>
          <w:color w:val="000000" w:themeColor="text1"/>
          <w:sz w:val="24"/>
          <w:szCs w:val="24"/>
        </w:rPr>
        <w:t>s para fins de aferição da aderência. Registrou que</w:t>
      </w:r>
      <w:r w:rsidR="001A6A5A"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sinalizou tal falha, assim como a necessidade de se rever a concepção do índice. Não descartou a possibilidade de se criar um novo índice capaz de medir desvio</w:t>
      </w:r>
      <w:r w:rsidR="002D306D" w:rsidRPr="00B84CE5">
        <w:rPr>
          <w:rFonts w:ascii="Times New Roman" w:hAnsi="Times New Roman" w:cs="Times New Roman"/>
          <w:color w:val="000000" w:themeColor="text1"/>
          <w:sz w:val="24"/>
          <w:szCs w:val="24"/>
        </w:rPr>
        <w:t>s</w:t>
      </w:r>
      <w:r w:rsidRPr="00B84CE5">
        <w:rPr>
          <w:rFonts w:ascii="Times New Roman" w:hAnsi="Times New Roman" w:cs="Times New Roman"/>
          <w:color w:val="000000" w:themeColor="text1"/>
          <w:sz w:val="24"/>
          <w:szCs w:val="24"/>
        </w:rPr>
        <w:t>.</w:t>
      </w:r>
    </w:p>
    <w:p w:rsidR="00B42170" w:rsidRPr="00D07D17" w:rsidRDefault="00853CEB" w:rsidP="00A12217">
      <w:pPr>
        <w:numPr>
          <w:ilvl w:val="4"/>
          <w:numId w:val="1"/>
        </w:numPr>
        <w:spacing w:after="0" w:line="240" w:lineRule="auto"/>
        <w:jc w:val="both"/>
        <w:rPr>
          <w:rFonts w:ascii="Times New Roman" w:hAnsi="Times New Roman" w:cs="Times New Roman"/>
          <w:color w:val="000000" w:themeColor="text1"/>
          <w:spacing w:val="-2"/>
          <w:sz w:val="24"/>
          <w:szCs w:val="24"/>
        </w:rPr>
      </w:pPr>
      <w:r w:rsidRPr="00B84CE5">
        <w:rPr>
          <w:rFonts w:ascii="Times New Roman" w:hAnsi="Times New Roman" w:cs="Times New Roman"/>
          <w:color w:val="000000" w:themeColor="text1"/>
          <w:spacing w:val="-2"/>
          <w:sz w:val="24"/>
          <w:szCs w:val="24"/>
        </w:rPr>
        <w:t xml:space="preserve">Relatou, por outro lado, que </w:t>
      </w:r>
      <w:r w:rsidR="00D07D17" w:rsidRPr="00B84CE5">
        <w:rPr>
          <w:rFonts w:ascii="Times New Roman" w:hAnsi="Times New Roman" w:cs="Times New Roman"/>
          <w:color w:val="000000" w:themeColor="text1"/>
          <w:spacing w:val="-2"/>
          <w:sz w:val="24"/>
          <w:szCs w:val="24"/>
        </w:rPr>
        <w:t>realiza</w:t>
      </w:r>
      <w:r w:rsidRPr="00B84CE5">
        <w:rPr>
          <w:rFonts w:ascii="Times New Roman" w:hAnsi="Times New Roman" w:cs="Times New Roman"/>
          <w:color w:val="000000" w:themeColor="text1"/>
          <w:spacing w:val="-2"/>
          <w:sz w:val="24"/>
          <w:szCs w:val="24"/>
        </w:rPr>
        <w:t xml:space="preserve"> o monitoramento do PLANCOT</w:t>
      </w:r>
      <w:r w:rsidR="00D07D17" w:rsidRPr="00B84CE5">
        <w:rPr>
          <w:rFonts w:ascii="Times New Roman" w:hAnsi="Times New Roman" w:cs="Times New Roman"/>
          <w:color w:val="000000" w:themeColor="text1"/>
          <w:spacing w:val="-2"/>
          <w:sz w:val="24"/>
          <w:szCs w:val="24"/>
        </w:rPr>
        <w:t>,</w:t>
      </w:r>
      <w:r w:rsidRPr="00B84CE5">
        <w:rPr>
          <w:rFonts w:ascii="Times New Roman" w:hAnsi="Times New Roman" w:cs="Times New Roman"/>
          <w:color w:val="000000" w:themeColor="text1"/>
          <w:spacing w:val="-2"/>
          <w:sz w:val="24"/>
          <w:szCs w:val="24"/>
        </w:rPr>
        <w:t xml:space="preserve"> cobra das unida</w:t>
      </w:r>
      <w:r w:rsidR="00D07D17" w:rsidRPr="00B84CE5">
        <w:rPr>
          <w:rFonts w:ascii="Times New Roman" w:hAnsi="Times New Roman" w:cs="Times New Roman"/>
          <w:color w:val="000000" w:themeColor="text1"/>
          <w:spacing w:val="-2"/>
          <w:sz w:val="24"/>
          <w:szCs w:val="24"/>
        </w:rPr>
        <w:t>des o cumprimento do cronograma</w:t>
      </w:r>
      <w:r w:rsidRPr="00B84CE5">
        <w:rPr>
          <w:rFonts w:ascii="Times New Roman" w:hAnsi="Times New Roman" w:cs="Times New Roman"/>
          <w:color w:val="000000" w:themeColor="text1"/>
          <w:spacing w:val="-2"/>
          <w:sz w:val="24"/>
          <w:szCs w:val="24"/>
        </w:rPr>
        <w:t xml:space="preserve"> </w:t>
      </w:r>
      <w:r w:rsidR="00D07D17" w:rsidRPr="00B84CE5">
        <w:rPr>
          <w:rFonts w:ascii="Times New Roman" w:hAnsi="Times New Roman" w:cs="Times New Roman"/>
          <w:color w:val="000000" w:themeColor="text1"/>
          <w:spacing w:val="-2"/>
          <w:sz w:val="24"/>
          <w:szCs w:val="24"/>
        </w:rPr>
        <w:t>e</w:t>
      </w:r>
      <w:r w:rsidRPr="00B84CE5">
        <w:rPr>
          <w:rFonts w:ascii="Times New Roman" w:hAnsi="Times New Roman" w:cs="Times New Roman"/>
          <w:color w:val="000000" w:themeColor="text1"/>
          <w:spacing w:val="-2"/>
          <w:sz w:val="24"/>
          <w:szCs w:val="24"/>
        </w:rPr>
        <w:t xml:space="preserve"> </w:t>
      </w:r>
      <w:r w:rsidR="00D07D17" w:rsidRPr="00B84CE5">
        <w:rPr>
          <w:rFonts w:ascii="Times New Roman" w:hAnsi="Times New Roman" w:cs="Times New Roman"/>
          <w:color w:val="000000" w:themeColor="text1"/>
          <w:spacing w:val="-2"/>
          <w:sz w:val="24"/>
          <w:szCs w:val="24"/>
        </w:rPr>
        <w:t xml:space="preserve">tem </w:t>
      </w:r>
      <w:r w:rsidRPr="00B84CE5">
        <w:rPr>
          <w:rFonts w:ascii="Times New Roman" w:hAnsi="Times New Roman" w:cs="Times New Roman"/>
          <w:color w:val="000000" w:themeColor="text1"/>
          <w:spacing w:val="-2"/>
          <w:sz w:val="24"/>
          <w:szCs w:val="24"/>
        </w:rPr>
        <w:t>sinalizado à Administração os descumprimentos</w:t>
      </w:r>
      <w:r w:rsidR="00D07D17" w:rsidRPr="00B84CE5">
        <w:rPr>
          <w:rFonts w:ascii="Times New Roman" w:hAnsi="Times New Roman" w:cs="Times New Roman"/>
          <w:color w:val="000000" w:themeColor="text1"/>
          <w:spacing w:val="-2"/>
          <w:sz w:val="24"/>
          <w:szCs w:val="24"/>
        </w:rPr>
        <w:t xml:space="preserve">. Ressaltou </w:t>
      </w:r>
      <w:r w:rsidR="00840CAA" w:rsidRPr="00B84CE5">
        <w:rPr>
          <w:rFonts w:ascii="Times New Roman" w:hAnsi="Times New Roman" w:cs="Times New Roman"/>
          <w:color w:val="000000" w:themeColor="text1"/>
          <w:spacing w:val="-2"/>
          <w:sz w:val="24"/>
          <w:szCs w:val="24"/>
        </w:rPr>
        <w:t xml:space="preserve">que, no intuito de evitar maiores prejuízos ao </w:t>
      </w:r>
      <w:r w:rsidR="002D306D" w:rsidRPr="00D07D17">
        <w:rPr>
          <w:rFonts w:ascii="Times New Roman" w:hAnsi="Times New Roman" w:cs="Times New Roman"/>
          <w:color w:val="000000" w:themeColor="text1"/>
          <w:spacing w:val="-2"/>
          <w:sz w:val="24"/>
          <w:szCs w:val="24"/>
        </w:rPr>
        <w:t>Ó</w:t>
      </w:r>
      <w:r w:rsidR="00840CAA" w:rsidRPr="00D07D17">
        <w:rPr>
          <w:rFonts w:ascii="Times New Roman" w:hAnsi="Times New Roman" w:cs="Times New Roman"/>
          <w:color w:val="000000" w:themeColor="text1"/>
          <w:spacing w:val="-2"/>
          <w:sz w:val="24"/>
          <w:szCs w:val="24"/>
        </w:rPr>
        <w:t xml:space="preserve">rgão, </w:t>
      </w:r>
      <w:r w:rsidR="00D07D17" w:rsidRPr="00D07D17">
        <w:rPr>
          <w:rFonts w:ascii="Times New Roman" w:hAnsi="Times New Roman" w:cs="Times New Roman"/>
          <w:color w:val="000000" w:themeColor="text1"/>
          <w:spacing w:val="-2"/>
          <w:sz w:val="24"/>
          <w:szCs w:val="24"/>
        </w:rPr>
        <w:t xml:space="preserve">percebe </w:t>
      </w:r>
      <w:r w:rsidR="00840CAA" w:rsidRPr="00D07D17">
        <w:rPr>
          <w:rFonts w:ascii="Times New Roman" w:hAnsi="Times New Roman" w:cs="Times New Roman"/>
          <w:color w:val="000000" w:themeColor="text1"/>
          <w:spacing w:val="-2"/>
          <w:sz w:val="24"/>
          <w:szCs w:val="24"/>
        </w:rPr>
        <w:t>tendência de se autorizar o processamento das contratações não inseridas no plano quando de sua elaboração.</w:t>
      </w:r>
    </w:p>
    <w:p w:rsidR="00840CAA" w:rsidRPr="00775054" w:rsidRDefault="00840CAA" w:rsidP="00A12217">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lastRenderedPageBreak/>
        <w:t xml:space="preserve">Registrou ciência e corroborou </w:t>
      </w:r>
      <w:r w:rsidR="002D306D">
        <w:rPr>
          <w:rFonts w:ascii="Times New Roman" w:hAnsi="Times New Roman" w:cs="Times New Roman"/>
          <w:color w:val="000000" w:themeColor="text1"/>
          <w:sz w:val="24"/>
          <w:szCs w:val="24"/>
        </w:rPr>
        <w:t xml:space="preserve">com </w:t>
      </w:r>
      <w:r w:rsidR="002D306D" w:rsidRPr="001A6A5A">
        <w:rPr>
          <w:rFonts w:ascii="Times New Roman" w:hAnsi="Times New Roman" w:cs="Times New Roman"/>
          <w:sz w:val="24"/>
          <w:szCs w:val="24"/>
        </w:rPr>
        <w:t>os encaminhamentos propostos</w:t>
      </w:r>
      <w:r w:rsidRPr="00775054">
        <w:rPr>
          <w:rFonts w:ascii="Times New Roman" w:hAnsi="Times New Roman" w:cs="Times New Roman"/>
          <w:color w:val="000000" w:themeColor="text1"/>
          <w:sz w:val="24"/>
          <w:szCs w:val="24"/>
        </w:rPr>
        <w:t xml:space="preserve">, solicitando que </w:t>
      </w:r>
      <w:r w:rsidR="002D306D" w:rsidRPr="001A6A5A">
        <w:rPr>
          <w:rFonts w:ascii="Times New Roman" w:hAnsi="Times New Roman" w:cs="Times New Roman"/>
          <w:sz w:val="24"/>
          <w:szCs w:val="24"/>
        </w:rPr>
        <w:t>fosse</w:t>
      </w:r>
      <w:r w:rsidRPr="001A6A5A">
        <w:rPr>
          <w:rFonts w:ascii="Times New Roman" w:hAnsi="Times New Roman" w:cs="Times New Roman"/>
          <w:sz w:val="24"/>
          <w:szCs w:val="24"/>
        </w:rPr>
        <w:t xml:space="preserve"> analisada </w:t>
      </w:r>
      <w:r w:rsidRPr="00775054">
        <w:rPr>
          <w:rFonts w:ascii="Times New Roman" w:hAnsi="Times New Roman" w:cs="Times New Roman"/>
          <w:color w:val="000000" w:themeColor="text1"/>
          <w:sz w:val="24"/>
          <w:szCs w:val="24"/>
        </w:rPr>
        <w:t>a possibilidade de ampliação do prazo concedido para adoção das providên</w:t>
      </w:r>
      <w:r w:rsidR="002D306D">
        <w:rPr>
          <w:rFonts w:ascii="Times New Roman" w:hAnsi="Times New Roman" w:cs="Times New Roman"/>
          <w:color w:val="000000" w:themeColor="text1"/>
          <w:sz w:val="24"/>
          <w:szCs w:val="24"/>
        </w:rPr>
        <w:t>cias sugeridas, mormente por se</w:t>
      </w:r>
      <w:r w:rsidRPr="00775054">
        <w:rPr>
          <w:rFonts w:ascii="Times New Roman" w:hAnsi="Times New Roman" w:cs="Times New Roman"/>
          <w:color w:val="000000" w:themeColor="text1"/>
          <w:sz w:val="24"/>
          <w:szCs w:val="24"/>
        </w:rPr>
        <w:t xml:space="preserve"> tratar de ano eleitoral, em que a força de trabalho da COGELIC se volta preponderantemente para o acompanhamento dos processos destinados às eleições, cujo prazo de conclusão restou estabelecido em junho próximo, sem prejuízo do acompanhamento dos processos anuais e demais atribuições que lhe incumbe. Manifestou a necessidade de auxílio da COPEG no cumprimento das recomendações.</w:t>
      </w:r>
    </w:p>
    <w:p w:rsidR="00254D1B" w:rsidRDefault="00840CAA" w:rsidP="00840CAA">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Por fim, considerou que o método atualmente utilizado para cálculo de índice de aderência ao PLANCONT apenas indica, grosso modo, atrasos dos prazos originalmente definidos, não revelando a qualidade do planejamento das contratações, por não levar em conta desistências e inclusões de novas demandas (o que ocorre com bastante frequência), entende</w:t>
      </w:r>
      <w:r w:rsidR="002D306D">
        <w:rPr>
          <w:rFonts w:ascii="Times New Roman" w:hAnsi="Times New Roman" w:cs="Times New Roman"/>
          <w:color w:val="000000" w:themeColor="text1"/>
          <w:sz w:val="24"/>
          <w:szCs w:val="24"/>
        </w:rPr>
        <w:t>ndo</w:t>
      </w:r>
      <w:r w:rsidRPr="00775054">
        <w:rPr>
          <w:rFonts w:ascii="Times New Roman" w:hAnsi="Times New Roman" w:cs="Times New Roman"/>
          <w:color w:val="000000" w:themeColor="text1"/>
          <w:sz w:val="24"/>
          <w:szCs w:val="24"/>
        </w:rPr>
        <w:t xml:space="preserve"> salutar a necessidade de aprimoramento do referido índice ou a criação de outro específico para análise do proveito do planejamento das contratações.</w:t>
      </w:r>
    </w:p>
    <w:p w:rsidR="00840CAA" w:rsidRPr="00775054" w:rsidRDefault="00840CAA" w:rsidP="00840CAA">
      <w:pPr>
        <w:numPr>
          <w:ilvl w:val="4"/>
          <w:numId w:val="1"/>
        </w:numPr>
        <w:spacing w:after="0" w:line="240" w:lineRule="auto"/>
        <w:jc w:val="both"/>
        <w:rPr>
          <w:rFonts w:ascii="Times New Roman" w:hAnsi="Times New Roman" w:cs="Times New Roman"/>
          <w:color w:val="000000" w:themeColor="text1"/>
          <w:sz w:val="24"/>
          <w:szCs w:val="24"/>
        </w:rPr>
      </w:pPr>
      <w:proofErr w:type="gramStart"/>
      <w:r w:rsidRPr="00775054">
        <w:rPr>
          <w:rFonts w:ascii="Times New Roman" w:hAnsi="Times New Roman" w:cs="Times New Roman"/>
          <w:color w:val="000000" w:themeColor="text1"/>
          <w:sz w:val="24"/>
          <w:szCs w:val="24"/>
        </w:rPr>
        <w:t>Outrossim</w:t>
      </w:r>
      <w:proofErr w:type="gramEnd"/>
      <w:r w:rsidRPr="00775054">
        <w:rPr>
          <w:rFonts w:ascii="Times New Roman" w:hAnsi="Times New Roman" w:cs="Times New Roman"/>
          <w:color w:val="000000" w:themeColor="text1"/>
          <w:sz w:val="24"/>
          <w:szCs w:val="24"/>
        </w:rPr>
        <w:t>, ponderou que o cumprimento dos prazos previamente estipulados, por si só, não significa que o processo de contratação foi devidamente iniciado (e, possivelmente, será concluído no tempo necessário à aquisição do bem ou serviço). Relat</w:t>
      </w:r>
      <w:r w:rsidR="002D306D">
        <w:rPr>
          <w:rFonts w:ascii="Times New Roman" w:hAnsi="Times New Roman" w:cs="Times New Roman"/>
          <w:color w:val="000000" w:themeColor="text1"/>
          <w:sz w:val="24"/>
          <w:szCs w:val="24"/>
        </w:rPr>
        <w:t>ou</w:t>
      </w:r>
      <w:r w:rsidRPr="00775054">
        <w:rPr>
          <w:rFonts w:ascii="Times New Roman" w:hAnsi="Times New Roman" w:cs="Times New Roman"/>
          <w:color w:val="000000" w:themeColor="text1"/>
          <w:sz w:val="24"/>
          <w:szCs w:val="24"/>
        </w:rPr>
        <w:t xml:space="preserve"> que </w:t>
      </w:r>
      <w:r w:rsidR="002D306D">
        <w:rPr>
          <w:rFonts w:ascii="Times New Roman" w:hAnsi="Times New Roman" w:cs="Times New Roman"/>
          <w:color w:val="000000" w:themeColor="text1"/>
          <w:sz w:val="24"/>
          <w:szCs w:val="24"/>
        </w:rPr>
        <w:t xml:space="preserve">seria </w:t>
      </w:r>
      <w:r w:rsidRPr="00775054">
        <w:rPr>
          <w:rFonts w:ascii="Times New Roman" w:hAnsi="Times New Roman" w:cs="Times New Roman"/>
          <w:color w:val="000000" w:themeColor="text1"/>
          <w:sz w:val="24"/>
          <w:szCs w:val="24"/>
        </w:rPr>
        <w:t>importante levar em consideração a qualidade do Termo de Referência elaborado pelas áreas demandantes (contabilizando-se, por exemplo, a quantidade de diligências efetuadas para correção/adequação) a fim de verificar a eficiência do PLANCONT no que tange a aspectos internos.</w:t>
      </w:r>
    </w:p>
    <w:p w:rsidR="00254D1B" w:rsidRDefault="00171632" w:rsidP="00171632">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9/2018 (PAD nº 1.312/2018, Doc. nº 26.729/2018), a SOF informou que a SOF/TSE disponibilizou o SIGEC para monitoramento dos custos por tipo de imóvel da Justiça Eleitoral (próprio, locado, cedido</w:t>
      </w:r>
      <w:r w:rsidR="00254D1B">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em regime de condomínio), nele estando cadastrados</w:t>
      </w:r>
      <w:r w:rsidR="002D306D">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para o exercício de 2017</w:t>
      </w:r>
      <w:r w:rsidR="002D306D">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quarenta tipos de gastos, para os quais são lançadas as despesas realizadas no exercício anterior. </w:t>
      </w:r>
    </w:p>
    <w:p w:rsidR="00EA7ED4" w:rsidRPr="00775054" w:rsidRDefault="002D306D" w:rsidP="00171632">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Assim, t</w:t>
      </w:r>
      <w:r w:rsidR="00171632" w:rsidRPr="00775054">
        <w:rPr>
          <w:rFonts w:ascii="Times New Roman" w:hAnsi="Times New Roman" w:cs="Times New Roman"/>
          <w:color w:val="000000" w:themeColor="text1"/>
          <w:sz w:val="24"/>
          <w:szCs w:val="24"/>
        </w:rPr>
        <w:t xml:space="preserve">endo em vista a abrangência dos custos levantados, </w:t>
      </w:r>
      <w:r>
        <w:rPr>
          <w:rFonts w:ascii="Times New Roman" w:hAnsi="Times New Roman" w:cs="Times New Roman"/>
          <w:color w:val="000000" w:themeColor="text1"/>
          <w:sz w:val="24"/>
          <w:szCs w:val="24"/>
        </w:rPr>
        <w:t>sugeriu</w:t>
      </w:r>
      <w:r w:rsidR="00171632" w:rsidRPr="00775054">
        <w:rPr>
          <w:rFonts w:ascii="Times New Roman" w:hAnsi="Times New Roman" w:cs="Times New Roman"/>
          <w:color w:val="000000" w:themeColor="text1"/>
          <w:sz w:val="24"/>
          <w:szCs w:val="24"/>
        </w:rPr>
        <w:t xml:space="preserve"> que </w:t>
      </w:r>
      <w:r>
        <w:rPr>
          <w:rFonts w:ascii="Times New Roman" w:hAnsi="Times New Roman" w:cs="Times New Roman"/>
          <w:color w:val="000000" w:themeColor="text1"/>
          <w:sz w:val="24"/>
          <w:szCs w:val="24"/>
        </w:rPr>
        <w:t>fossem</w:t>
      </w:r>
      <w:r w:rsidR="00171632" w:rsidRPr="00775054">
        <w:rPr>
          <w:rFonts w:ascii="Times New Roman" w:hAnsi="Times New Roman" w:cs="Times New Roman"/>
          <w:color w:val="000000" w:themeColor="text1"/>
          <w:sz w:val="24"/>
          <w:szCs w:val="24"/>
        </w:rPr>
        <w:t xml:space="preserve"> considerados na elaboração do referido indicador apenas os gastos mais relevantes ou prioritários para o Órgão. Ressaltou que</w:t>
      </w:r>
      <w:r w:rsidR="00171632" w:rsidRPr="00775054">
        <w:rPr>
          <w:color w:val="000000" w:themeColor="text1"/>
        </w:rPr>
        <w:t xml:space="preserve"> </w:t>
      </w:r>
      <w:r w:rsidR="00171632" w:rsidRPr="00775054">
        <w:rPr>
          <w:rFonts w:ascii="Times New Roman" w:hAnsi="Times New Roman" w:cs="Times New Roman"/>
          <w:color w:val="000000" w:themeColor="text1"/>
          <w:sz w:val="24"/>
          <w:szCs w:val="24"/>
        </w:rPr>
        <w:t xml:space="preserve">o estabelecimento de metas para os pagamentos das despesas contribuirá para a </w:t>
      </w:r>
      <w:proofErr w:type="gramStart"/>
      <w:r w:rsidR="00171632" w:rsidRPr="00775054">
        <w:rPr>
          <w:rFonts w:ascii="Times New Roman" w:hAnsi="Times New Roman" w:cs="Times New Roman"/>
          <w:color w:val="000000" w:themeColor="text1"/>
          <w:sz w:val="24"/>
          <w:szCs w:val="24"/>
        </w:rPr>
        <w:t>otimização</w:t>
      </w:r>
      <w:proofErr w:type="gramEnd"/>
      <w:r w:rsidR="00171632" w:rsidRPr="00775054">
        <w:rPr>
          <w:rFonts w:ascii="Times New Roman" w:hAnsi="Times New Roman" w:cs="Times New Roman"/>
          <w:color w:val="000000" w:themeColor="text1"/>
          <w:sz w:val="24"/>
          <w:szCs w:val="24"/>
        </w:rPr>
        <w:t xml:space="preserve"> do orçamento e sua comparação viabilizará a aferição do gasto com a manutenção mensal do Tribunal e do crescimento deste gasto em relação às necessidades do </w:t>
      </w:r>
      <w:r>
        <w:rPr>
          <w:rFonts w:ascii="Times New Roman" w:hAnsi="Times New Roman" w:cs="Times New Roman"/>
          <w:color w:val="000000" w:themeColor="text1"/>
          <w:sz w:val="24"/>
          <w:szCs w:val="24"/>
        </w:rPr>
        <w:t>Ó</w:t>
      </w:r>
      <w:r w:rsidR="00171632" w:rsidRPr="00775054">
        <w:rPr>
          <w:rFonts w:ascii="Times New Roman" w:hAnsi="Times New Roman" w:cs="Times New Roman"/>
          <w:color w:val="000000" w:themeColor="text1"/>
          <w:sz w:val="24"/>
          <w:szCs w:val="24"/>
        </w:rPr>
        <w:t>rgão e da efetividade do gasto realizado, o que implicará decisões e ações gerenciais que contribuir</w:t>
      </w:r>
      <w:r>
        <w:rPr>
          <w:rFonts w:ascii="Times New Roman" w:hAnsi="Times New Roman" w:cs="Times New Roman"/>
          <w:color w:val="000000" w:themeColor="text1"/>
          <w:sz w:val="24"/>
          <w:szCs w:val="24"/>
        </w:rPr>
        <w:t>ão</w:t>
      </w:r>
      <w:r w:rsidR="00171632" w:rsidRPr="00775054">
        <w:rPr>
          <w:rFonts w:ascii="Times New Roman" w:hAnsi="Times New Roman" w:cs="Times New Roman"/>
          <w:color w:val="000000" w:themeColor="text1"/>
          <w:sz w:val="24"/>
          <w:szCs w:val="24"/>
        </w:rPr>
        <w:t xml:space="preserve"> para a qualidade do gasto do TRE-BA</w:t>
      </w:r>
      <w:r w:rsidR="00EA7ED4" w:rsidRPr="00775054">
        <w:rPr>
          <w:rFonts w:ascii="Times New Roman" w:hAnsi="Times New Roman" w:cs="Times New Roman"/>
          <w:color w:val="000000" w:themeColor="text1"/>
          <w:sz w:val="24"/>
          <w:szCs w:val="24"/>
        </w:rPr>
        <w:t>.</w:t>
      </w:r>
    </w:p>
    <w:p w:rsidR="000E51EA" w:rsidRDefault="000E51EA" w:rsidP="00EA7ED4">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E</w:t>
      </w:r>
      <w:r w:rsidR="00EA7ED4" w:rsidRPr="00B84CE5">
        <w:rPr>
          <w:rFonts w:ascii="Times New Roman" w:hAnsi="Times New Roman" w:cs="Times New Roman"/>
          <w:color w:val="000000" w:themeColor="text1"/>
          <w:sz w:val="24"/>
          <w:szCs w:val="24"/>
        </w:rPr>
        <w:t>sclar</w:t>
      </w:r>
      <w:r w:rsidR="00EA7ED4" w:rsidRPr="00775054">
        <w:rPr>
          <w:rFonts w:ascii="Times New Roman" w:hAnsi="Times New Roman" w:cs="Times New Roman"/>
          <w:color w:val="000000" w:themeColor="text1"/>
          <w:sz w:val="24"/>
          <w:szCs w:val="24"/>
        </w:rPr>
        <w:t xml:space="preserve">eceu que a proposta orçamentária consiste no planejamento dos gastos para determinado exercício financeiro, deve refletir a real necessidade de créditos e de realização de despesas pelo Regional, assim, o indicador de aderência ao planejamento orçamentário contribui para aferir se está havendo qualidade no planejamento/execução do gasto, pois indica o quão próximo/distante do que se planejou a execução </w:t>
      </w:r>
      <w:proofErr w:type="gramStart"/>
      <w:r w:rsidR="00EA7ED4" w:rsidRPr="00775054">
        <w:rPr>
          <w:rFonts w:ascii="Times New Roman" w:hAnsi="Times New Roman" w:cs="Times New Roman"/>
          <w:color w:val="000000" w:themeColor="text1"/>
          <w:sz w:val="24"/>
          <w:szCs w:val="24"/>
        </w:rPr>
        <w:t>orçamentária/financeira</w:t>
      </w:r>
      <w:proofErr w:type="gramEnd"/>
      <w:r w:rsidR="00EA7ED4" w:rsidRPr="00775054">
        <w:rPr>
          <w:rFonts w:ascii="Times New Roman" w:hAnsi="Times New Roman" w:cs="Times New Roman"/>
          <w:color w:val="000000" w:themeColor="text1"/>
          <w:sz w:val="24"/>
          <w:szCs w:val="24"/>
        </w:rPr>
        <w:t xml:space="preserve"> tem caminhado, permitindo avaliações do gasto para as próximas propostas orçamentárias. </w:t>
      </w:r>
    </w:p>
    <w:p w:rsidR="00171632" w:rsidRPr="00775054" w:rsidRDefault="00EA7ED4" w:rsidP="00EA7ED4">
      <w:pPr>
        <w:numPr>
          <w:ilvl w:val="4"/>
          <w:numId w:val="1"/>
        </w:numPr>
        <w:spacing w:after="0" w:line="240" w:lineRule="auto"/>
        <w:jc w:val="both"/>
        <w:rPr>
          <w:rFonts w:ascii="Times New Roman" w:hAnsi="Times New Roman" w:cs="Times New Roman"/>
          <w:color w:val="000000" w:themeColor="text1"/>
          <w:sz w:val="24"/>
          <w:szCs w:val="24"/>
        </w:rPr>
      </w:pPr>
      <w:r w:rsidRPr="00B84CE5">
        <w:rPr>
          <w:rFonts w:ascii="Times New Roman" w:hAnsi="Times New Roman" w:cs="Times New Roman"/>
          <w:color w:val="000000" w:themeColor="text1"/>
          <w:sz w:val="24"/>
          <w:szCs w:val="24"/>
        </w:rPr>
        <w:t>Ressaltou</w:t>
      </w:r>
      <w:r w:rsidR="000E51EA" w:rsidRPr="00B84CE5">
        <w:rPr>
          <w:rFonts w:ascii="Times New Roman" w:hAnsi="Times New Roman" w:cs="Times New Roman"/>
          <w:color w:val="000000" w:themeColor="text1"/>
          <w:sz w:val="24"/>
          <w:szCs w:val="24"/>
        </w:rPr>
        <w:t>, por fim,</w:t>
      </w:r>
      <w:r w:rsidRPr="00B84CE5">
        <w:rPr>
          <w:rFonts w:ascii="Times New Roman" w:hAnsi="Times New Roman" w:cs="Times New Roman"/>
          <w:color w:val="000000" w:themeColor="text1"/>
          <w:sz w:val="24"/>
          <w:szCs w:val="24"/>
        </w:rPr>
        <w:t xml:space="preserve"> que se deve</w:t>
      </w:r>
      <w:r w:rsidR="00171632" w:rsidRPr="00B84CE5">
        <w:rPr>
          <w:rFonts w:ascii="Times New Roman" w:hAnsi="Times New Roman" w:cs="Times New Roman"/>
          <w:color w:val="000000" w:themeColor="text1"/>
          <w:sz w:val="24"/>
          <w:szCs w:val="24"/>
        </w:rPr>
        <w:t xml:space="preserve"> </w:t>
      </w:r>
      <w:r w:rsidRPr="00B84CE5">
        <w:rPr>
          <w:rFonts w:ascii="Times New Roman" w:hAnsi="Times New Roman" w:cs="Times New Roman"/>
          <w:color w:val="000000" w:themeColor="text1"/>
          <w:sz w:val="24"/>
          <w:szCs w:val="24"/>
        </w:rPr>
        <w:t xml:space="preserve">verificar qualitativamente e quantitativamente o gasto programado </w:t>
      </w:r>
      <w:r w:rsidRPr="00775054">
        <w:rPr>
          <w:rFonts w:ascii="Times New Roman" w:hAnsi="Times New Roman" w:cs="Times New Roman"/>
          <w:color w:val="000000" w:themeColor="text1"/>
          <w:sz w:val="24"/>
          <w:szCs w:val="24"/>
        </w:rPr>
        <w:t xml:space="preserve">na proposta orçamentaria realizada, </w:t>
      </w:r>
      <w:r w:rsidRPr="00775054">
        <w:rPr>
          <w:rFonts w:ascii="Times New Roman" w:hAnsi="Times New Roman" w:cs="Times New Roman"/>
          <w:color w:val="000000" w:themeColor="text1"/>
          <w:sz w:val="24"/>
          <w:szCs w:val="24"/>
        </w:rPr>
        <w:lastRenderedPageBreak/>
        <w:t>aferindo-se a real necessidade de realização da despesa, naquele exercício, àquele custo, naquelas dimensões, etc.</w:t>
      </w:r>
    </w:p>
    <w:p w:rsidR="0031055F" w:rsidRDefault="0031055F" w:rsidP="0031055F">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Em resposta à RDI nº 8/2018 (PAD nº 1.310/2018, Doc. nº 30.991/2018), a SGP informou que </w:t>
      </w:r>
      <w:r w:rsidR="003715DF" w:rsidRPr="00775054">
        <w:rPr>
          <w:rFonts w:ascii="Times New Roman" w:hAnsi="Times New Roman" w:cs="Times New Roman"/>
          <w:color w:val="000000" w:themeColor="text1"/>
          <w:sz w:val="24"/>
          <w:szCs w:val="24"/>
        </w:rPr>
        <w:t>a capaci</w:t>
      </w:r>
      <w:r w:rsidRPr="00775054">
        <w:rPr>
          <w:rFonts w:ascii="Times New Roman" w:hAnsi="Times New Roman" w:cs="Times New Roman"/>
          <w:color w:val="000000" w:themeColor="text1"/>
          <w:sz w:val="24"/>
          <w:szCs w:val="24"/>
        </w:rPr>
        <w:t>tação</w:t>
      </w:r>
      <w:r w:rsidR="003715DF" w:rsidRPr="00775054">
        <w:rPr>
          <w:rFonts w:ascii="Times New Roman" w:hAnsi="Times New Roman" w:cs="Times New Roman"/>
          <w:color w:val="000000" w:themeColor="text1"/>
          <w:sz w:val="24"/>
          <w:szCs w:val="24"/>
        </w:rPr>
        <w:t xml:space="preserve"> em indicadores</w:t>
      </w:r>
      <w:r w:rsidRPr="00775054">
        <w:rPr>
          <w:rFonts w:ascii="Times New Roman" w:hAnsi="Times New Roman" w:cs="Times New Roman"/>
          <w:color w:val="000000" w:themeColor="text1"/>
          <w:sz w:val="24"/>
          <w:szCs w:val="24"/>
        </w:rPr>
        <w:t xml:space="preserve"> foi oferecida à COPEG em abril de 2014 e que o curso </w:t>
      </w:r>
      <w:r w:rsidRPr="002D306D">
        <w:rPr>
          <w:rFonts w:ascii="Times New Roman" w:hAnsi="Times New Roman" w:cs="Times New Roman"/>
          <w:i/>
          <w:color w:val="000000" w:themeColor="text1"/>
          <w:sz w:val="24"/>
          <w:szCs w:val="24"/>
        </w:rPr>
        <w:t>online</w:t>
      </w:r>
      <w:r w:rsidRPr="00775054">
        <w:rPr>
          <w:rFonts w:ascii="Times New Roman" w:hAnsi="Times New Roman" w:cs="Times New Roman"/>
          <w:color w:val="000000" w:themeColor="text1"/>
          <w:sz w:val="24"/>
          <w:szCs w:val="24"/>
        </w:rPr>
        <w:t xml:space="preserve"> Gestão Estratégica com uso do BSC desenvolvido pelo CNJ, aborda o tema indicadores de desempenho e est</w:t>
      </w:r>
      <w:r w:rsidR="004E3B02">
        <w:rPr>
          <w:rFonts w:ascii="Times New Roman" w:hAnsi="Times New Roman" w:cs="Times New Roman"/>
          <w:color w:val="000000" w:themeColor="text1"/>
          <w:sz w:val="24"/>
          <w:szCs w:val="24"/>
        </w:rPr>
        <w:t>á</w:t>
      </w:r>
      <w:r w:rsidRPr="00775054">
        <w:rPr>
          <w:rFonts w:ascii="Times New Roman" w:hAnsi="Times New Roman" w:cs="Times New Roman"/>
          <w:color w:val="000000" w:themeColor="text1"/>
          <w:sz w:val="24"/>
          <w:szCs w:val="24"/>
        </w:rPr>
        <w:t xml:space="preserve"> disponível. Res</w:t>
      </w:r>
      <w:r w:rsidR="002D306D">
        <w:rPr>
          <w:rFonts w:ascii="Times New Roman" w:hAnsi="Times New Roman" w:cs="Times New Roman"/>
          <w:color w:val="000000" w:themeColor="text1"/>
          <w:sz w:val="24"/>
          <w:szCs w:val="24"/>
        </w:rPr>
        <w:t xml:space="preserve">saltou que, assim que a </w:t>
      </w:r>
      <w:proofErr w:type="spellStart"/>
      <w:r w:rsidR="002D306D">
        <w:rPr>
          <w:rFonts w:ascii="Times New Roman" w:hAnsi="Times New Roman" w:cs="Times New Roman"/>
          <w:color w:val="000000" w:themeColor="text1"/>
          <w:sz w:val="24"/>
          <w:szCs w:val="24"/>
        </w:rPr>
        <w:t>instruto</w:t>
      </w:r>
      <w:r w:rsidRPr="00775054">
        <w:rPr>
          <w:rFonts w:ascii="Times New Roman" w:hAnsi="Times New Roman" w:cs="Times New Roman"/>
          <w:color w:val="000000" w:themeColor="text1"/>
          <w:sz w:val="24"/>
          <w:szCs w:val="24"/>
        </w:rPr>
        <w:t>ria</w:t>
      </w:r>
      <w:proofErr w:type="spellEnd"/>
      <w:r w:rsidRPr="00775054">
        <w:rPr>
          <w:rFonts w:ascii="Times New Roman" w:hAnsi="Times New Roman" w:cs="Times New Roman"/>
          <w:color w:val="000000" w:themeColor="text1"/>
          <w:sz w:val="24"/>
          <w:szCs w:val="24"/>
        </w:rPr>
        <w:t xml:space="preserve"> interna for implementada, será possível contratar um tutor especialista no tema e esse curso será </w:t>
      </w:r>
      <w:proofErr w:type="gramStart"/>
      <w:r w:rsidRPr="00775054">
        <w:rPr>
          <w:rFonts w:ascii="Times New Roman" w:hAnsi="Times New Roman" w:cs="Times New Roman"/>
          <w:color w:val="000000" w:themeColor="text1"/>
          <w:sz w:val="24"/>
          <w:szCs w:val="24"/>
        </w:rPr>
        <w:t>melhor</w:t>
      </w:r>
      <w:proofErr w:type="gramEnd"/>
      <w:r w:rsidRPr="00775054">
        <w:rPr>
          <w:rFonts w:ascii="Times New Roman" w:hAnsi="Times New Roman" w:cs="Times New Roman"/>
          <w:color w:val="000000" w:themeColor="text1"/>
          <w:sz w:val="24"/>
          <w:szCs w:val="24"/>
        </w:rPr>
        <w:t xml:space="preserve"> aproveitado, a custo reduzido.</w:t>
      </w:r>
    </w:p>
    <w:p w:rsidR="00930547" w:rsidRPr="002805DF" w:rsidRDefault="00930547" w:rsidP="00930547">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Em resposta à RDI Circular nº 5/2018 (PAD nº 4.727/2018, Doc. nº 66.886/2018) a SGP informou que o último curso sobre indicadores de desempenho ocorreu no ano de 2014 e que não há previsão de realização deste curso no PAC 2018. Sugeriu que sejam pensadas soluções alternativas à modalidade presencial de treinamento e que</w:t>
      </w:r>
      <w:r w:rsidR="003404EF" w:rsidRPr="002805DF">
        <w:rPr>
          <w:rFonts w:ascii="Times New Roman" w:hAnsi="Times New Roman" w:cs="Times New Roman"/>
          <w:sz w:val="24"/>
          <w:szCs w:val="24"/>
        </w:rPr>
        <w:t>,</w:t>
      </w:r>
      <w:r w:rsidRPr="002805DF">
        <w:rPr>
          <w:rFonts w:ascii="Times New Roman" w:hAnsi="Times New Roman" w:cs="Times New Roman"/>
          <w:sz w:val="24"/>
          <w:szCs w:val="24"/>
        </w:rPr>
        <w:t xml:space="preserve"> caso os servidores das unidades competentes estejam disponíveis para atuar como </w:t>
      </w:r>
      <w:proofErr w:type="spellStart"/>
      <w:r w:rsidRPr="002805DF">
        <w:rPr>
          <w:rFonts w:ascii="Times New Roman" w:hAnsi="Times New Roman" w:cs="Times New Roman"/>
          <w:sz w:val="24"/>
          <w:szCs w:val="24"/>
        </w:rPr>
        <w:t>conteudistas</w:t>
      </w:r>
      <w:proofErr w:type="spellEnd"/>
      <w:r w:rsidRPr="002805DF">
        <w:rPr>
          <w:rFonts w:ascii="Times New Roman" w:hAnsi="Times New Roman" w:cs="Times New Roman"/>
          <w:sz w:val="24"/>
          <w:szCs w:val="24"/>
        </w:rPr>
        <w:t xml:space="preserve"> e tutores de um curso na modalidade EAD, colocaria a EFAS à disposição para apoiar a sua construção.</w:t>
      </w:r>
    </w:p>
    <w:p w:rsidR="003B7E13" w:rsidRPr="002805DF" w:rsidRDefault="003B7E13" w:rsidP="003B7E13">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Em resposta à RDI Circular nº 5/2018 (PAD nº 4.727/2018, Doc. nº 66.922/2018), a SGA informou que tem</w:t>
      </w:r>
      <w:r w:rsidR="003404EF" w:rsidRPr="002805DF">
        <w:rPr>
          <w:rFonts w:ascii="Times New Roman" w:hAnsi="Times New Roman" w:cs="Times New Roman"/>
          <w:sz w:val="24"/>
          <w:szCs w:val="24"/>
        </w:rPr>
        <w:t xml:space="preserve"> </w:t>
      </w:r>
      <w:r w:rsidRPr="002805DF">
        <w:rPr>
          <w:rFonts w:ascii="Times New Roman" w:hAnsi="Times New Roman" w:cs="Times New Roman"/>
          <w:sz w:val="24"/>
          <w:szCs w:val="24"/>
        </w:rPr>
        <w:t>se reunido sistematicamente a fim de revisar a forma de cálculo do índice de aderência ao PLANCONT e/ou propor criação de novo indicador. Acrescentou que, em 20/4/18, foi.</w:t>
      </w:r>
      <w:r w:rsidRPr="002805DF">
        <w:t xml:space="preserve"> </w:t>
      </w:r>
      <w:proofErr w:type="gramStart"/>
      <w:r w:rsidRPr="002805DF">
        <w:rPr>
          <w:rFonts w:ascii="Times New Roman" w:hAnsi="Times New Roman" w:cs="Times New Roman"/>
          <w:sz w:val="24"/>
          <w:szCs w:val="24"/>
        </w:rPr>
        <w:t>realizada</w:t>
      </w:r>
      <w:proofErr w:type="gramEnd"/>
      <w:r w:rsidRPr="002805DF">
        <w:rPr>
          <w:rFonts w:ascii="Times New Roman" w:hAnsi="Times New Roman" w:cs="Times New Roman"/>
          <w:sz w:val="24"/>
          <w:szCs w:val="24"/>
        </w:rPr>
        <w:t xml:space="preserve"> reunião com a participação da SGA, COPEG, COGELIC, COGES e SEAUD, com o propósito de amadurecer as ideias levantadas até o momento que dizem respeito ao aperfeiçoamento do índice existente, com nova metodologia de medição, a qual será testada nos próximos dias, a fim de subsidiar proposta a ser apresentada na próxima RAE.</w:t>
      </w:r>
    </w:p>
    <w:p w:rsidR="003404EF" w:rsidRPr="002805DF" w:rsidRDefault="0036696E" w:rsidP="00DB7750">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68.218/2018), a SOF esclareceu que ratifica as informações prestadas sobre o indicador de aderência da execução ao planejamento orçamentário (i25), como mecanismo importante na avaliação do ciclo de elaboração e realização do orçamento público. Salientou, entretanto, que o mesmo não é suficiente para aferir a qualidade do gasto sob os enfoques da economicidade e efetividade, visto que privilegia a qualidade do planejamento mediante análise da classificação gerencial da despesa. </w:t>
      </w:r>
    </w:p>
    <w:p w:rsidR="003404EF" w:rsidRDefault="0036696E" w:rsidP="00DB7750">
      <w:pPr>
        <w:numPr>
          <w:ilvl w:val="4"/>
          <w:numId w:val="1"/>
        </w:numPr>
        <w:spacing w:after="0" w:line="240" w:lineRule="auto"/>
        <w:jc w:val="both"/>
        <w:rPr>
          <w:rFonts w:ascii="Times New Roman" w:hAnsi="Times New Roman" w:cs="Times New Roman"/>
          <w:color w:val="548DD4" w:themeColor="text2" w:themeTint="99"/>
          <w:sz w:val="24"/>
          <w:szCs w:val="24"/>
        </w:rPr>
      </w:pPr>
      <w:proofErr w:type="gramStart"/>
      <w:r w:rsidRPr="002805DF">
        <w:rPr>
          <w:rFonts w:ascii="Times New Roman" w:hAnsi="Times New Roman" w:cs="Times New Roman"/>
          <w:sz w:val="24"/>
          <w:szCs w:val="24"/>
        </w:rPr>
        <w:t>Sugeriu,</w:t>
      </w:r>
      <w:proofErr w:type="gramEnd"/>
      <w:r w:rsidRPr="002805DF">
        <w:rPr>
          <w:rFonts w:ascii="Times New Roman" w:hAnsi="Times New Roman" w:cs="Times New Roman"/>
          <w:sz w:val="24"/>
          <w:szCs w:val="24"/>
        </w:rPr>
        <w:t xml:space="preserve"> com relação aos aspectos supracitados vinculados ao escopo do objetivo estratégico de aperfeiçoar a qualidade do gasto público, a manutenção do novo indicador de Execução Financeira proposto na última revisão do Planejamento Estratégico, tendo em vista que permite o monitoramento e a melhoria do percentual de pagamentos realizados dentro do exercício financeiro da sua competência, minimizando o estoque de Restos a Pagar e contribuindo para alavancar a execução do teto de pagamentos concedido a este Órgão e que tais  procedimentos sinalizam a preocupação com a tempestividade do gasto público e a observância dos limites fiscais impostos pela Emenda Constitucional nº 95/2016</w:t>
      </w:r>
      <w:r w:rsidRPr="00DB7750">
        <w:rPr>
          <w:rFonts w:ascii="Times New Roman" w:hAnsi="Times New Roman" w:cs="Times New Roman"/>
          <w:color w:val="548DD4" w:themeColor="text2" w:themeTint="99"/>
          <w:sz w:val="24"/>
          <w:szCs w:val="24"/>
        </w:rPr>
        <w:t xml:space="preserve">. </w:t>
      </w:r>
    </w:p>
    <w:p w:rsidR="003404EF" w:rsidRPr="002805DF" w:rsidRDefault="0036696E" w:rsidP="00DB7750">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Apresentou como alternativa,</w:t>
      </w:r>
      <w:r w:rsidRPr="002805DF">
        <w:t xml:space="preserve"> </w:t>
      </w:r>
      <w:r w:rsidRPr="002805DF">
        <w:rPr>
          <w:rFonts w:ascii="Times New Roman" w:hAnsi="Times New Roman" w:cs="Times New Roman"/>
          <w:sz w:val="24"/>
          <w:szCs w:val="24"/>
        </w:rPr>
        <w:t>para mensuração e avaliação da qualidade do gasto</w:t>
      </w:r>
      <w:r w:rsidR="003404EF" w:rsidRPr="002805DF">
        <w:rPr>
          <w:rFonts w:ascii="Times New Roman" w:hAnsi="Times New Roman" w:cs="Times New Roman"/>
          <w:sz w:val="24"/>
          <w:szCs w:val="24"/>
        </w:rPr>
        <w:t>,</w:t>
      </w:r>
      <w:r w:rsidRPr="002805DF">
        <w:rPr>
          <w:rFonts w:ascii="Times New Roman" w:hAnsi="Times New Roman" w:cs="Times New Roman"/>
          <w:sz w:val="24"/>
          <w:szCs w:val="24"/>
        </w:rPr>
        <w:t xml:space="preserve"> no âmbito deste Tribunal</w:t>
      </w:r>
      <w:r w:rsidR="003404EF" w:rsidRPr="002805DF">
        <w:rPr>
          <w:rFonts w:ascii="Times New Roman" w:hAnsi="Times New Roman" w:cs="Times New Roman"/>
          <w:sz w:val="24"/>
          <w:szCs w:val="24"/>
        </w:rPr>
        <w:t>,</w:t>
      </w:r>
      <w:r w:rsidRPr="002805DF">
        <w:rPr>
          <w:rFonts w:ascii="Times New Roman" w:hAnsi="Times New Roman" w:cs="Times New Roman"/>
          <w:sz w:val="24"/>
          <w:szCs w:val="24"/>
        </w:rPr>
        <w:t xml:space="preserve"> no que se refere à elaboração de um indicador que reflita o objetivo estratégico </w:t>
      </w:r>
      <w:proofErr w:type="gramStart"/>
      <w:r w:rsidRPr="002805DF">
        <w:rPr>
          <w:rFonts w:ascii="Times New Roman" w:hAnsi="Times New Roman" w:cs="Times New Roman"/>
          <w:sz w:val="24"/>
          <w:szCs w:val="24"/>
        </w:rPr>
        <w:t>sob análise</w:t>
      </w:r>
      <w:proofErr w:type="gramEnd"/>
      <w:r w:rsidRPr="002805DF">
        <w:rPr>
          <w:rFonts w:ascii="Times New Roman" w:hAnsi="Times New Roman" w:cs="Times New Roman"/>
          <w:sz w:val="24"/>
          <w:szCs w:val="24"/>
        </w:rPr>
        <w:t xml:space="preserve">, em que pese o estágio inicial de utilização do Sistema SIGEC na Justiça Eleitoral e a importância da fidedignidade e da qualidade dos dados históricos coletados para que </w:t>
      </w:r>
      <w:r w:rsidRPr="002805DF">
        <w:rPr>
          <w:rFonts w:ascii="Times New Roman" w:hAnsi="Times New Roman" w:cs="Times New Roman"/>
          <w:sz w:val="24"/>
          <w:szCs w:val="24"/>
        </w:rPr>
        <w:lastRenderedPageBreak/>
        <w:t>reflitam o custo de manutenção dos imóveis, um indicador</w:t>
      </w:r>
      <w:r w:rsidR="00DB7750" w:rsidRPr="002805DF">
        <w:rPr>
          <w:rFonts w:ascii="Times New Roman" w:hAnsi="Times New Roman" w:cs="Times New Roman"/>
          <w:sz w:val="24"/>
          <w:szCs w:val="24"/>
        </w:rPr>
        <w:t xml:space="preserve"> de Redução do Custo de Manutenção da Infraestrutura física com medidas de implementação do Plano de Logística Sustentável, tais como a supressão do consumo de copos descartáveis, a revisão de contratos continuados, a redução do consumo de água e esgoto e de energia elétrica, entre outros.</w:t>
      </w:r>
      <w:r w:rsidR="003404EF" w:rsidRPr="002805DF">
        <w:rPr>
          <w:rFonts w:ascii="Times New Roman" w:hAnsi="Times New Roman" w:cs="Times New Roman"/>
          <w:sz w:val="24"/>
          <w:szCs w:val="24"/>
        </w:rPr>
        <w:t xml:space="preserve"> </w:t>
      </w:r>
      <w:r w:rsidR="00DB7750" w:rsidRPr="002805DF">
        <w:rPr>
          <w:rFonts w:ascii="Times New Roman" w:hAnsi="Times New Roman" w:cs="Times New Roman"/>
          <w:sz w:val="24"/>
          <w:szCs w:val="24"/>
        </w:rPr>
        <w:t>Salientou que tais medidas de economicidade, racionalização e sustentabilidade do gasto dever</w:t>
      </w:r>
      <w:r w:rsidR="003404EF" w:rsidRPr="002805DF">
        <w:rPr>
          <w:rFonts w:ascii="Times New Roman" w:hAnsi="Times New Roman" w:cs="Times New Roman"/>
          <w:sz w:val="24"/>
          <w:szCs w:val="24"/>
        </w:rPr>
        <w:t>iam</w:t>
      </w:r>
      <w:r w:rsidR="00DB7750" w:rsidRPr="002805DF">
        <w:rPr>
          <w:rFonts w:ascii="Times New Roman" w:hAnsi="Times New Roman" w:cs="Times New Roman"/>
          <w:sz w:val="24"/>
          <w:szCs w:val="24"/>
        </w:rPr>
        <w:t xml:space="preserve"> ser objeto de regulamentação pela Administração e definição de critérios de avaliação a serem discutidos com a COPEG, a Secretaria de Gestão de Serviços e o Núcleo de Logística Sustentável. </w:t>
      </w:r>
    </w:p>
    <w:p w:rsidR="003404EF" w:rsidRPr="002805DF" w:rsidRDefault="00DB7750" w:rsidP="00DB7750">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Acrescentou que o novo indicador constitui uma ferramenta de controle e monitoramento das despesas de manutenção do Órgão, além de contribuir para difundir na cultura organizacional o uso racional, satisfatório e eficiente dos recursos, aspectos relevantes para o aperfeiçoamento da qualidade do gasto público neste Tribunal, consoante descrição do objetivo constante da formulação estratégica 2016-2021. </w:t>
      </w:r>
    </w:p>
    <w:p w:rsidR="0036696E" w:rsidRPr="002805DF" w:rsidRDefault="00DB7750" w:rsidP="00DB7750">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Por fim, a título ilustrativo, informou que o indicador seria aferido a partir do gasto anual no </w:t>
      </w:r>
      <w:proofErr w:type="gramStart"/>
      <w:r w:rsidRPr="002805DF">
        <w:rPr>
          <w:rFonts w:ascii="Times New Roman" w:hAnsi="Times New Roman" w:cs="Times New Roman"/>
          <w:sz w:val="24"/>
          <w:szCs w:val="24"/>
        </w:rPr>
        <w:t>Agregador Manutenção</w:t>
      </w:r>
      <w:proofErr w:type="gramEnd"/>
      <w:r w:rsidRPr="002805DF">
        <w:rPr>
          <w:rFonts w:ascii="Times New Roman" w:hAnsi="Times New Roman" w:cs="Times New Roman"/>
          <w:sz w:val="24"/>
          <w:szCs w:val="24"/>
        </w:rPr>
        <w:t xml:space="preserve"> da Infraestrutura Física no exercício de referência, cujo valor atual é de R$18.523.000,00 e que constam deste rol as despesas com serviços de água e esgoto, energia elétrica, locação de imóveis, limpeza e conservação, manutenção predial e vigilância. </w:t>
      </w:r>
      <w:r w:rsidR="003404EF" w:rsidRPr="002805DF">
        <w:rPr>
          <w:rFonts w:ascii="Times New Roman" w:hAnsi="Times New Roman" w:cs="Times New Roman"/>
          <w:sz w:val="24"/>
          <w:szCs w:val="24"/>
        </w:rPr>
        <w:t>Registrou, por fim, que a</w:t>
      </w:r>
      <w:r w:rsidRPr="002805DF">
        <w:rPr>
          <w:rFonts w:ascii="Times New Roman" w:hAnsi="Times New Roman" w:cs="Times New Roman"/>
          <w:sz w:val="24"/>
          <w:szCs w:val="24"/>
        </w:rPr>
        <w:t xml:space="preserve"> meta de redução do custo com manutenção seria estabelecida percentualmente e de forma gradual, com a adoção de medidas de economia anual a exemplo da redução do consumo de papel para o alcance da meta.</w:t>
      </w:r>
    </w:p>
    <w:p w:rsidR="001825ED" w:rsidRPr="002805DF" w:rsidRDefault="001825ED" w:rsidP="001825ED">
      <w:pPr>
        <w:numPr>
          <w:ilvl w:val="4"/>
          <w:numId w:val="1"/>
        </w:numPr>
        <w:spacing w:after="0" w:line="240" w:lineRule="auto"/>
        <w:jc w:val="both"/>
        <w:rPr>
          <w:rFonts w:ascii="Times New Roman" w:hAnsi="Times New Roman" w:cs="Times New Roman"/>
          <w:sz w:val="24"/>
          <w:szCs w:val="24"/>
        </w:rPr>
      </w:pPr>
      <w:r w:rsidRPr="002805DF">
        <w:rPr>
          <w:rFonts w:ascii="Times New Roman" w:hAnsi="Times New Roman" w:cs="Times New Roman"/>
          <w:sz w:val="24"/>
          <w:szCs w:val="24"/>
        </w:rPr>
        <w:t xml:space="preserve">Em resposta à RDI Circular nº 5/2018 (PAD nº 4.727/2018, Doc. nº 80.064/2018), a COPEG esclareceu que foram realizadas reuniões, em 2018, com a SGA para discutir </w:t>
      </w:r>
      <w:r w:rsidR="003404EF" w:rsidRPr="002805DF">
        <w:rPr>
          <w:rFonts w:ascii="Times New Roman" w:hAnsi="Times New Roman" w:cs="Times New Roman"/>
          <w:sz w:val="24"/>
          <w:szCs w:val="24"/>
        </w:rPr>
        <w:t xml:space="preserve">o </w:t>
      </w:r>
      <w:r w:rsidRPr="002805DF">
        <w:rPr>
          <w:rFonts w:ascii="Times New Roman" w:hAnsi="Times New Roman" w:cs="Times New Roman"/>
          <w:sz w:val="24"/>
          <w:szCs w:val="24"/>
        </w:rPr>
        <w:t xml:space="preserve">índice de aderência ao PLANCONT, de modo a assegurar a contabilização de atraso, desistência e inclusão de nova demanda como fator comprometedor da aderência da execução ao quanto originalmente planejado. Informou também que, com relação à </w:t>
      </w:r>
      <w:proofErr w:type="gramStart"/>
      <w:r w:rsidRPr="002805DF">
        <w:rPr>
          <w:rFonts w:ascii="Times New Roman" w:hAnsi="Times New Roman" w:cs="Times New Roman"/>
          <w:sz w:val="24"/>
          <w:szCs w:val="24"/>
        </w:rPr>
        <w:t>formulação de novo indicador estratégico</w:t>
      </w:r>
      <w:proofErr w:type="gramEnd"/>
      <w:r w:rsidRPr="002805DF">
        <w:rPr>
          <w:rFonts w:ascii="Times New Roman" w:hAnsi="Times New Roman" w:cs="Times New Roman"/>
          <w:sz w:val="24"/>
          <w:szCs w:val="24"/>
        </w:rPr>
        <w:t xml:space="preserve"> para medir a qualidade do gasto público pela Justiça Eleitoral baiana, ser</w:t>
      </w:r>
      <w:r w:rsidR="003404EF" w:rsidRPr="002805DF">
        <w:rPr>
          <w:rFonts w:ascii="Times New Roman" w:hAnsi="Times New Roman" w:cs="Times New Roman"/>
          <w:sz w:val="24"/>
          <w:szCs w:val="24"/>
        </w:rPr>
        <w:t>iam</w:t>
      </w:r>
      <w:r w:rsidRPr="002805DF">
        <w:rPr>
          <w:rFonts w:ascii="Times New Roman" w:hAnsi="Times New Roman" w:cs="Times New Roman"/>
          <w:sz w:val="24"/>
          <w:szCs w:val="24"/>
        </w:rPr>
        <w:t xml:space="preserve"> realizados estudos, em conjunto com a SOF, de modo a assegurar a mensuração de todos os aspectos contemplados na descrição do objetivo estratégico “Aperfeiçoar a Qualidade do gasto público”.</w:t>
      </w:r>
    </w:p>
    <w:p w:rsidR="00572383" w:rsidRPr="00775054" w:rsidRDefault="00572383" w:rsidP="0057238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572383" w:rsidRPr="007D3A03" w:rsidRDefault="004F147B" w:rsidP="00D46501">
      <w:pPr>
        <w:numPr>
          <w:ilvl w:val="4"/>
          <w:numId w:val="1"/>
        </w:numPr>
        <w:spacing w:after="0" w:line="240" w:lineRule="auto"/>
        <w:jc w:val="both"/>
        <w:rPr>
          <w:rFonts w:ascii="Times New Roman" w:hAnsi="Times New Roman" w:cs="Times New Roman"/>
          <w:sz w:val="24"/>
          <w:szCs w:val="24"/>
        </w:rPr>
      </w:pPr>
      <w:r w:rsidRPr="007D3A03">
        <w:rPr>
          <w:rFonts w:ascii="Times New Roman" w:hAnsi="Times New Roman" w:cs="Times New Roman"/>
          <w:sz w:val="24"/>
          <w:szCs w:val="24"/>
        </w:rPr>
        <w:t>Não obstante esclarecimentos prestados pela SGP, SGA</w:t>
      </w:r>
      <w:r w:rsidR="003404EF" w:rsidRPr="007D3A03">
        <w:rPr>
          <w:rFonts w:ascii="Times New Roman" w:hAnsi="Times New Roman" w:cs="Times New Roman"/>
          <w:sz w:val="24"/>
          <w:szCs w:val="24"/>
        </w:rPr>
        <w:t>,</w:t>
      </w:r>
      <w:r w:rsidRPr="007D3A03">
        <w:rPr>
          <w:rFonts w:ascii="Times New Roman" w:hAnsi="Times New Roman" w:cs="Times New Roman"/>
          <w:sz w:val="24"/>
          <w:szCs w:val="24"/>
        </w:rPr>
        <w:t xml:space="preserve"> SOF</w:t>
      </w:r>
      <w:r w:rsidR="003404EF" w:rsidRPr="007D3A03">
        <w:rPr>
          <w:rFonts w:ascii="Times New Roman" w:hAnsi="Times New Roman" w:cs="Times New Roman"/>
          <w:sz w:val="24"/>
          <w:szCs w:val="24"/>
        </w:rPr>
        <w:t xml:space="preserve"> e COPEG,</w:t>
      </w:r>
      <w:r w:rsidRPr="007D3A03">
        <w:rPr>
          <w:rFonts w:ascii="Times New Roman" w:hAnsi="Times New Roman" w:cs="Times New Roman"/>
          <w:sz w:val="24"/>
          <w:szCs w:val="24"/>
        </w:rPr>
        <w:t xml:space="preserve"> </w:t>
      </w:r>
      <w:r w:rsidR="003404EF" w:rsidRPr="007D3A03">
        <w:rPr>
          <w:rFonts w:ascii="Times New Roman" w:hAnsi="Times New Roman" w:cs="Times New Roman"/>
          <w:sz w:val="24"/>
          <w:szCs w:val="24"/>
        </w:rPr>
        <w:t xml:space="preserve">que denotam a adoção de medidas pelas referidas unidades visando sanear as fragilidades evidenciadas, </w:t>
      </w:r>
      <w:r w:rsidRPr="007D3A03">
        <w:rPr>
          <w:rFonts w:ascii="Times New Roman" w:hAnsi="Times New Roman" w:cs="Times New Roman"/>
          <w:sz w:val="24"/>
          <w:szCs w:val="24"/>
        </w:rPr>
        <w:t>tendo em vista</w:t>
      </w:r>
      <w:r w:rsidR="00D46501" w:rsidRPr="007D3A03">
        <w:rPr>
          <w:rFonts w:ascii="Times New Roman" w:hAnsi="Times New Roman" w:cs="Times New Roman"/>
          <w:sz w:val="24"/>
          <w:szCs w:val="24"/>
        </w:rPr>
        <w:t xml:space="preserve"> </w:t>
      </w:r>
      <w:r w:rsidR="006A6B99" w:rsidRPr="007D3A03">
        <w:rPr>
          <w:rFonts w:ascii="Times New Roman" w:hAnsi="Times New Roman" w:cs="Times New Roman"/>
          <w:sz w:val="24"/>
          <w:szCs w:val="24"/>
        </w:rPr>
        <w:t>a ausência de deliberação final quanto aos indicadores sinalizados</w:t>
      </w:r>
      <w:r w:rsidR="00D46501" w:rsidRPr="007D3A03">
        <w:rPr>
          <w:rFonts w:ascii="Times New Roman" w:hAnsi="Times New Roman" w:cs="Times New Roman"/>
          <w:sz w:val="24"/>
          <w:szCs w:val="24"/>
        </w:rPr>
        <w:t xml:space="preserve">, conclui-se pela subsistência da fragilidade ora evidenciada. </w:t>
      </w:r>
    </w:p>
    <w:p w:rsidR="00572383" w:rsidRPr="00775054" w:rsidRDefault="00572383" w:rsidP="006F7FE5">
      <w:pPr>
        <w:pStyle w:val="PargrafodaLista"/>
        <w:numPr>
          <w:ilvl w:val="2"/>
          <w:numId w:val="1"/>
        </w:numPr>
        <w:spacing w:before="120"/>
        <w:jc w:val="both"/>
        <w:rPr>
          <w:b w:val="0"/>
          <w:color w:val="000000" w:themeColor="text1"/>
          <w:sz w:val="24"/>
          <w:szCs w:val="24"/>
          <w:u w:val="single"/>
        </w:rPr>
      </w:pPr>
      <w:bookmarkStart w:id="18" w:name="_Toc511288065"/>
      <w:r w:rsidRPr="00775054">
        <w:rPr>
          <w:b w:val="0"/>
          <w:color w:val="000000" w:themeColor="text1"/>
          <w:sz w:val="24"/>
          <w:szCs w:val="24"/>
          <w:u w:val="single"/>
        </w:rPr>
        <w:t>Insufici</w:t>
      </w:r>
      <w:r w:rsidR="008A2723">
        <w:rPr>
          <w:b w:val="0"/>
          <w:color w:val="000000" w:themeColor="text1"/>
          <w:sz w:val="24"/>
          <w:szCs w:val="24"/>
          <w:u w:val="single"/>
        </w:rPr>
        <w:t>ente incorporação das Metas Nacionais do Poder Judiciário à estratégia.</w:t>
      </w:r>
      <w:bookmarkEnd w:id="18"/>
      <w:r w:rsidRPr="00775054">
        <w:rPr>
          <w:b w:val="0"/>
          <w:color w:val="000000" w:themeColor="text1"/>
          <w:sz w:val="24"/>
          <w:szCs w:val="24"/>
          <w:u w:val="single"/>
        </w:rPr>
        <w:t xml:space="preserve"> </w:t>
      </w:r>
    </w:p>
    <w:p w:rsidR="006F7FE5" w:rsidRPr="00775054" w:rsidRDefault="006F7FE5" w:rsidP="006F7FE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Situação encontrada:</w:t>
      </w:r>
    </w:p>
    <w:p w:rsidR="000E51EA" w:rsidRPr="000E51EA" w:rsidRDefault="006F7FE5" w:rsidP="006F7FE5">
      <w:pPr>
        <w:numPr>
          <w:ilvl w:val="4"/>
          <w:numId w:val="1"/>
        </w:numPr>
        <w:spacing w:after="0" w:line="240" w:lineRule="auto"/>
        <w:jc w:val="both"/>
        <w:rPr>
          <w:rFonts w:ascii="Times New Roman" w:hAnsi="Times New Roman" w:cs="Times New Roman"/>
          <w:color w:val="000000" w:themeColor="text1"/>
          <w:spacing w:val="-2"/>
          <w:sz w:val="24"/>
          <w:szCs w:val="24"/>
        </w:rPr>
      </w:pPr>
      <w:r w:rsidRPr="000E51EA">
        <w:rPr>
          <w:rFonts w:ascii="Times New Roman" w:hAnsi="Times New Roman" w:cs="Times New Roman"/>
          <w:color w:val="000000" w:themeColor="text1"/>
          <w:spacing w:val="-2"/>
          <w:sz w:val="24"/>
          <w:szCs w:val="24"/>
        </w:rPr>
        <w:t xml:space="preserve">De acordo com a Resolução CNJ nº 198/2014, os órgãos do Judiciário devem alinhar seus respectivos planos estratégicos à Estratégia do Judiciário </w:t>
      </w:r>
      <w:r w:rsidR="00462A4E" w:rsidRPr="000E51EA">
        <w:rPr>
          <w:rFonts w:ascii="Times New Roman" w:hAnsi="Times New Roman" w:cs="Times New Roman"/>
          <w:color w:val="000000" w:themeColor="text1"/>
          <w:spacing w:val="-2"/>
          <w:sz w:val="24"/>
          <w:szCs w:val="24"/>
        </w:rPr>
        <w:t>2015</w:t>
      </w:r>
      <w:r w:rsidRPr="000E51EA">
        <w:rPr>
          <w:rFonts w:ascii="Times New Roman" w:hAnsi="Times New Roman" w:cs="Times New Roman"/>
          <w:color w:val="000000" w:themeColor="text1"/>
          <w:spacing w:val="-2"/>
          <w:sz w:val="24"/>
          <w:szCs w:val="24"/>
        </w:rPr>
        <w:t xml:space="preserve">-2020.  Em dezembro de 2016, foram definidas as Metas Nacionais para o Poder Judiciário - 2017, restando estabelecido que a Justiça Eleitoral </w:t>
      </w:r>
      <w:proofErr w:type="gramStart"/>
      <w:r w:rsidRPr="000E51EA">
        <w:rPr>
          <w:rFonts w:ascii="Times New Roman" w:hAnsi="Times New Roman" w:cs="Times New Roman"/>
          <w:color w:val="000000" w:themeColor="text1"/>
          <w:spacing w:val="-2"/>
          <w:sz w:val="24"/>
          <w:szCs w:val="24"/>
        </w:rPr>
        <w:t>dever</w:t>
      </w:r>
      <w:r w:rsidR="004F147B" w:rsidRPr="000E51EA">
        <w:rPr>
          <w:rFonts w:ascii="Times New Roman" w:hAnsi="Times New Roman" w:cs="Times New Roman"/>
          <w:color w:val="000000" w:themeColor="text1"/>
          <w:spacing w:val="-2"/>
          <w:sz w:val="24"/>
          <w:szCs w:val="24"/>
        </w:rPr>
        <w:t>ia</w:t>
      </w:r>
      <w:proofErr w:type="gramEnd"/>
      <w:r w:rsidRPr="000E51EA">
        <w:rPr>
          <w:rFonts w:ascii="Times New Roman" w:hAnsi="Times New Roman" w:cs="Times New Roman"/>
          <w:color w:val="000000" w:themeColor="text1"/>
          <w:spacing w:val="-2"/>
          <w:sz w:val="24"/>
          <w:szCs w:val="24"/>
        </w:rPr>
        <w:t xml:space="preserve">: julgar mais processos que os distribuídos (meta geral 1); julgar processos mais </w:t>
      </w:r>
      <w:r w:rsidRPr="000E51EA">
        <w:rPr>
          <w:rFonts w:ascii="Times New Roman" w:hAnsi="Times New Roman" w:cs="Times New Roman"/>
          <w:color w:val="000000" w:themeColor="text1"/>
          <w:spacing w:val="-2"/>
          <w:sz w:val="24"/>
          <w:szCs w:val="24"/>
        </w:rPr>
        <w:lastRenderedPageBreak/>
        <w:t>antigos (meta geral 2); identificar  e  julgar com  prioridade  as  ações  que  possam  importar  em  não diplomação  ou  perda  de  mandato  eletivo,  fixando-se prazo  máximo  de julgamento, não podendo ultrapassar 12 meses em todas as instâncias (meta específica 1); publicar, até 31/12/2017, norma regulamentadora do Sistema de Governança e Gestão para a Justiça Eleitoral (meta específica 2); e atingir 80% no grau de satisfação dos leitores quanto aos serviços prestados pela Justiça Eleitoral, através da instituição de mecanismo de aferição</w:t>
      </w:r>
      <w:r w:rsidR="000E51EA" w:rsidRPr="000E51EA">
        <w:rPr>
          <w:rFonts w:ascii="Times New Roman" w:hAnsi="Times New Roman" w:cs="Times New Roman"/>
          <w:color w:val="000000" w:themeColor="text1"/>
          <w:spacing w:val="-2"/>
          <w:sz w:val="24"/>
          <w:szCs w:val="24"/>
        </w:rPr>
        <w:t xml:space="preserve"> permanente (meta específica 3)</w:t>
      </w:r>
      <w:r w:rsidRPr="000E51EA">
        <w:rPr>
          <w:rFonts w:ascii="Times New Roman" w:hAnsi="Times New Roman" w:cs="Times New Roman"/>
          <w:color w:val="000000" w:themeColor="text1"/>
          <w:spacing w:val="-2"/>
          <w:sz w:val="24"/>
          <w:szCs w:val="24"/>
        </w:rPr>
        <w:t xml:space="preserve">. </w:t>
      </w:r>
    </w:p>
    <w:p w:rsidR="006F7FE5" w:rsidRPr="00775054" w:rsidRDefault="006F7FE5" w:rsidP="006F7FE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Da análise do Planejamento Estratégico Institucional para o período 2016-2021 e das atas das </w:t>
      </w:r>
      <w:proofErr w:type="spellStart"/>
      <w:r w:rsidRPr="00775054">
        <w:rPr>
          <w:rFonts w:ascii="Times New Roman" w:hAnsi="Times New Roman" w:cs="Times New Roman"/>
          <w:color w:val="000000" w:themeColor="text1"/>
          <w:sz w:val="24"/>
          <w:szCs w:val="24"/>
        </w:rPr>
        <w:t>RAEs</w:t>
      </w:r>
      <w:proofErr w:type="spellEnd"/>
      <w:r w:rsidRPr="00775054">
        <w:rPr>
          <w:rFonts w:ascii="Times New Roman" w:hAnsi="Times New Roman" w:cs="Times New Roman"/>
          <w:color w:val="000000" w:themeColor="text1"/>
          <w:sz w:val="24"/>
          <w:szCs w:val="24"/>
        </w:rPr>
        <w:t xml:space="preserve"> ocorridas em 2016 e 2017, evidenciou-se que, apesar da existência de indicadores que guardam correlação com as Metas Nacionais, estas não foram incorporadas ao Planejamento Estratégico deste Regional, haja vista ausência de evidências acerca da total identidade entre as formas de cálculo </w:t>
      </w:r>
      <w:r w:rsidR="00462470" w:rsidRPr="008A2723">
        <w:rPr>
          <w:rFonts w:ascii="Times New Roman" w:hAnsi="Times New Roman" w:cs="Times New Roman"/>
          <w:sz w:val="24"/>
          <w:szCs w:val="24"/>
        </w:rPr>
        <w:t xml:space="preserve">e/ou demais parâmetros </w:t>
      </w:r>
      <w:r w:rsidRPr="008A2723">
        <w:rPr>
          <w:rFonts w:ascii="Times New Roman" w:hAnsi="Times New Roman" w:cs="Times New Roman"/>
          <w:sz w:val="24"/>
          <w:szCs w:val="24"/>
        </w:rPr>
        <w:t>utilizad</w:t>
      </w:r>
      <w:r w:rsidR="00462470" w:rsidRPr="008A2723">
        <w:rPr>
          <w:rFonts w:ascii="Times New Roman" w:hAnsi="Times New Roman" w:cs="Times New Roman"/>
          <w:sz w:val="24"/>
          <w:szCs w:val="24"/>
        </w:rPr>
        <w:t>o</w:t>
      </w:r>
      <w:r w:rsidRPr="008A2723">
        <w:rPr>
          <w:rFonts w:ascii="Times New Roman" w:hAnsi="Times New Roman" w:cs="Times New Roman"/>
          <w:sz w:val="24"/>
          <w:szCs w:val="24"/>
        </w:rPr>
        <w:t xml:space="preserve">s. </w:t>
      </w:r>
      <w:r w:rsidRPr="00775054">
        <w:rPr>
          <w:rFonts w:ascii="Times New Roman" w:hAnsi="Times New Roman" w:cs="Times New Roman"/>
          <w:color w:val="000000" w:themeColor="text1"/>
          <w:sz w:val="24"/>
          <w:szCs w:val="24"/>
        </w:rPr>
        <w:t xml:space="preserve">Verificou-se, ainda, que, somente no final do exercício 2017, o Tribunal </w:t>
      </w:r>
      <w:proofErr w:type="gramStart"/>
      <w:r w:rsidRPr="00775054">
        <w:rPr>
          <w:rFonts w:ascii="Times New Roman" w:hAnsi="Times New Roman" w:cs="Times New Roman"/>
          <w:color w:val="000000" w:themeColor="text1"/>
          <w:sz w:val="24"/>
          <w:szCs w:val="24"/>
        </w:rPr>
        <w:t>instituiu,</w:t>
      </w:r>
      <w:proofErr w:type="gramEnd"/>
      <w:r w:rsidRPr="00775054">
        <w:rPr>
          <w:rFonts w:ascii="Times New Roman" w:hAnsi="Times New Roman" w:cs="Times New Roman"/>
          <w:color w:val="000000" w:themeColor="text1"/>
          <w:sz w:val="24"/>
          <w:szCs w:val="24"/>
        </w:rPr>
        <w:t xml:space="preserve"> por meio da Portaria da Presidência nº 640, de 18 de dezembro de 2017, grupo de trabalho multidisciplinar visando à formalização da estrutura e da política de governança institucional, deixando, contudo, de regulamentar tempestivamente o Sistema de Governança e Gestão </w:t>
      </w:r>
      <w:r w:rsidR="00462470">
        <w:rPr>
          <w:rFonts w:ascii="Times New Roman" w:hAnsi="Times New Roman" w:cs="Times New Roman"/>
          <w:color w:val="000000" w:themeColor="text1"/>
          <w:sz w:val="24"/>
          <w:szCs w:val="24"/>
        </w:rPr>
        <w:t>do Órgão</w:t>
      </w:r>
      <w:r w:rsidRPr="00775054">
        <w:rPr>
          <w:rFonts w:ascii="Times New Roman" w:hAnsi="Times New Roman" w:cs="Times New Roman"/>
          <w:color w:val="000000" w:themeColor="text1"/>
          <w:sz w:val="24"/>
          <w:szCs w:val="24"/>
        </w:rPr>
        <w:t xml:space="preserve">, Meta Nacional específica para a Justiça Eleitoral, não </w:t>
      </w:r>
      <w:r w:rsidR="00462470">
        <w:rPr>
          <w:rFonts w:ascii="Times New Roman" w:hAnsi="Times New Roman" w:cs="Times New Roman"/>
          <w:color w:val="000000" w:themeColor="text1"/>
          <w:sz w:val="24"/>
          <w:szCs w:val="24"/>
        </w:rPr>
        <w:t>contemplada na</w:t>
      </w:r>
      <w:r w:rsidRPr="00775054">
        <w:rPr>
          <w:rFonts w:ascii="Times New Roman" w:hAnsi="Times New Roman" w:cs="Times New Roman"/>
          <w:color w:val="000000" w:themeColor="text1"/>
          <w:sz w:val="24"/>
          <w:szCs w:val="24"/>
        </w:rPr>
        <w:t xml:space="preserve"> Estratégia organizacional vigente.</w:t>
      </w:r>
    </w:p>
    <w:p w:rsidR="006F7FE5" w:rsidRPr="00775054" w:rsidRDefault="006F7FE5" w:rsidP="006F7FE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Critério(s):</w:t>
      </w:r>
    </w:p>
    <w:p w:rsidR="006F7FE5" w:rsidRPr="00775054" w:rsidRDefault="006F7FE5" w:rsidP="006F7FE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Resolução CNJ nº 198/2014, art. 4º, § 1º, inciso III; </w:t>
      </w:r>
      <w:proofErr w:type="spellStart"/>
      <w:r w:rsidRPr="00775054">
        <w:rPr>
          <w:rFonts w:ascii="Times New Roman" w:hAnsi="Times New Roman" w:cs="Times New Roman"/>
          <w:color w:val="000000" w:themeColor="text1"/>
          <w:sz w:val="24"/>
          <w:szCs w:val="24"/>
        </w:rPr>
        <w:t>art</w:t>
      </w:r>
      <w:proofErr w:type="spellEnd"/>
      <w:r w:rsidRPr="00775054">
        <w:rPr>
          <w:rFonts w:ascii="Times New Roman" w:hAnsi="Times New Roman" w:cs="Times New Roman"/>
          <w:color w:val="000000" w:themeColor="text1"/>
          <w:sz w:val="24"/>
          <w:szCs w:val="24"/>
        </w:rPr>
        <w:t xml:space="preserve"> 3º e § 2º do art. 4º da Resolução TRE-BA nº 14/2015; e Metas Nacionais para o Poder Judiciário - 2017.</w:t>
      </w:r>
    </w:p>
    <w:p w:rsidR="006F7FE5" w:rsidRPr="00775054" w:rsidRDefault="006F7FE5" w:rsidP="006F7FE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6F7FE5" w:rsidRPr="00775054" w:rsidRDefault="006F7FE5" w:rsidP="006F7FE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Deficiência na periodicidade de realização das </w:t>
      </w:r>
      <w:proofErr w:type="spellStart"/>
      <w:r w:rsidRPr="00775054">
        <w:rPr>
          <w:rFonts w:ascii="Times New Roman" w:hAnsi="Times New Roman" w:cs="Times New Roman"/>
          <w:color w:val="000000" w:themeColor="text1"/>
          <w:sz w:val="24"/>
          <w:szCs w:val="24"/>
        </w:rPr>
        <w:t>RAEs</w:t>
      </w:r>
      <w:proofErr w:type="spellEnd"/>
      <w:r w:rsidRPr="00775054">
        <w:rPr>
          <w:rFonts w:ascii="Times New Roman" w:hAnsi="Times New Roman" w:cs="Times New Roman"/>
          <w:color w:val="000000" w:themeColor="text1"/>
          <w:sz w:val="24"/>
          <w:szCs w:val="24"/>
        </w:rPr>
        <w:t xml:space="preserve">; intempestividade das </w:t>
      </w:r>
      <w:proofErr w:type="spellStart"/>
      <w:r w:rsidRPr="00775054">
        <w:rPr>
          <w:rFonts w:ascii="Times New Roman" w:hAnsi="Times New Roman" w:cs="Times New Roman"/>
          <w:color w:val="000000" w:themeColor="text1"/>
          <w:sz w:val="24"/>
          <w:szCs w:val="24"/>
        </w:rPr>
        <w:t>RAEs</w:t>
      </w:r>
      <w:proofErr w:type="spellEnd"/>
      <w:r w:rsidRPr="00775054">
        <w:rPr>
          <w:rFonts w:ascii="Times New Roman" w:hAnsi="Times New Roman" w:cs="Times New Roman"/>
          <w:color w:val="000000" w:themeColor="text1"/>
          <w:sz w:val="24"/>
          <w:szCs w:val="24"/>
        </w:rPr>
        <w:t>; e rotatividade de gestores e colaboradores da área responsável pela gestão da execução da estratégia organizacional.</w:t>
      </w:r>
    </w:p>
    <w:p w:rsidR="006F7FE5" w:rsidRPr="00775054" w:rsidRDefault="006F7FE5" w:rsidP="006F7FE5">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 xml:space="preserve">Efeito(s) (real </w:t>
      </w:r>
      <w:r w:rsidR="00462470">
        <w:rPr>
          <w:rFonts w:ascii="Times New Roman" w:hAnsi="Times New Roman" w:cs="Times New Roman"/>
          <w:i/>
          <w:color w:val="000000" w:themeColor="text1"/>
          <w:sz w:val="24"/>
          <w:szCs w:val="24"/>
        </w:rPr>
        <w:t xml:space="preserve">ou </w:t>
      </w:r>
      <w:r w:rsidRPr="00775054">
        <w:rPr>
          <w:rFonts w:ascii="Times New Roman" w:hAnsi="Times New Roman" w:cs="Times New Roman"/>
          <w:i/>
          <w:color w:val="000000" w:themeColor="text1"/>
          <w:sz w:val="24"/>
          <w:szCs w:val="24"/>
        </w:rPr>
        <w:t>potencial):</w:t>
      </w:r>
    </w:p>
    <w:p w:rsidR="006F7FE5" w:rsidRPr="00775054" w:rsidRDefault="006F7FE5" w:rsidP="006F7FE5">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Inconformidade com o aparato normativo vigente; não </w:t>
      </w:r>
      <w:r w:rsidR="00462470">
        <w:rPr>
          <w:rFonts w:ascii="Times New Roman" w:hAnsi="Times New Roman" w:cs="Times New Roman"/>
          <w:color w:val="000000" w:themeColor="text1"/>
          <w:sz w:val="24"/>
          <w:szCs w:val="24"/>
        </w:rPr>
        <w:t>integralização das</w:t>
      </w:r>
      <w:r w:rsidRPr="00775054">
        <w:rPr>
          <w:rFonts w:ascii="Times New Roman" w:hAnsi="Times New Roman" w:cs="Times New Roman"/>
          <w:color w:val="000000" w:themeColor="text1"/>
          <w:sz w:val="24"/>
          <w:szCs w:val="24"/>
        </w:rPr>
        <w:t xml:space="preserve"> metas nacionais para o Poder Judiciário; deficiência no monitoramento das referidas metas; e comprometimento da instrumentalização da tomada de decisão visando assegurar o cumprimento dos desafios nacionalmente propostos</w:t>
      </w:r>
      <w:r w:rsidR="00462470">
        <w:rPr>
          <w:rFonts w:ascii="Times New Roman" w:hAnsi="Times New Roman" w:cs="Times New Roman"/>
          <w:color w:val="000000" w:themeColor="text1"/>
          <w:sz w:val="24"/>
          <w:szCs w:val="24"/>
        </w:rPr>
        <w:t xml:space="preserve"> ao Poder Judiciário</w:t>
      </w:r>
      <w:r w:rsidRPr="00775054">
        <w:rPr>
          <w:rFonts w:ascii="Times New Roman" w:hAnsi="Times New Roman" w:cs="Times New Roman"/>
          <w:color w:val="000000" w:themeColor="text1"/>
          <w:sz w:val="24"/>
          <w:szCs w:val="24"/>
        </w:rPr>
        <w:t>.</w:t>
      </w:r>
    </w:p>
    <w:p w:rsidR="001F256C" w:rsidRPr="00775054" w:rsidRDefault="001F256C" w:rsidP="001F256C">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1F256C" w:rsidRPr="007D3A03" w:rsidRDefault="001F256C" w:rsidP="001F256C">
      <w:pPr>
        <w:numPr>
          <w:ilvl w:val="4"/>
          <w:numId w:val="1"/>
        </w:numPr>
        <w:spacing w:after="0" w:line="240" w:lineRule="auto"/>
        <w:jc w:val="both"/>
        <w:rPr>
          <w:rFonts w:ascii="Times New Roman" w:hAnsi="Times New Roman" w:cs="Times New Roman"/>
          <w:sz w:val="24"/>
          <w:szCs w:val="24"/>
        </w:rPr>
      </w:pPr>
      <w:r w:rsidRPr="00775054">
        <w:rPr>
          <w:rFonts w:ascii="Times New Roman" w:hAnsi="Times New Roman" w:cs="Times New Roman"/>
          <w:color w:val="000000" w:themeColor="text1"/>
          <w:sz w:val="24"/>
          <w:szCs w:val="24"/>
        </w:rPr>
        <w:t>Planejamento Estratégico Institucional para o período 2016-2021; e PAD nº 12.027/2017 (Docs. nº 171.447/2017 e 171.454/2017);</w:t>
      </w:r>
      <w:r w:rsidR="003B0092">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Portaria da Presidência do TRE</w:t>
      </w:r>
      <w:r w:rsidR="00462470">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BA nº 640/2017</w:t>
      </w:r>
      <w:r w:rsidR="003B0092">
        <w:rPr>
          <w:rFonts w:ascii="Times New Roman" w:hAnsi="Times New Roman" w:cs="Times New Roman"/>
          <w:color w:val="000000" w:themeColor="text1"/>
          <w:sz w:val="24"/>
          <w:szCs w:val="24"/>
        </w:rPr>
        <w:t xml:space="preserve">; PAD nº 1.304/2018 (Doc. nº 24.827/2018); PAD nº 1.307/2018 (Doc. nº 23.874/2018); e </w:t>
      </w:r>
      <w:r w:rsidR="003B0092" w:rsidRPr="007D3A03">
        <w:rPr>
          <w:rFonts w:ascii="Times New Roman" w:hAnsi="Times New Roman" w:cs="Times New Roman"/>
          <w:sz w:val="24"/>
          <w:szCs w:val="24"/>
        </w:rPr>
        <w:t>PAD nº 4.727/2018 (Doc. nº 80.064/2018)</w:t>
      </w:r>
      <w:r w:rsidRPr="007D3A03">
        <w:rPr>
          <w:rFonts w:ascii="Times New Roman" w:hAnsi="Times New Roman" w:cs="Times New Roman"/>
          <w:sz w:val="24"/>
          <w:szCs w:val="24"/>
        </w:rPr>
        <w:t>.</w:t>
      </w:r>
    </w:p>
    <w:p w:rsidR="001F256C" w:rsidRPr="00775054" w:rsidRDefault="001F256C" w:rsidP="001F256C">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w:t>
      </w:r>
      <w:r w:rsidR="00D515B8" w:rsidRPr="00775054">
        <w:rPr>
          <w:rFonts w:ascii="Times New Roman" w:hAnsi="Times New Roman" w:cs="Times New Roman"/>
          <w:i/>
          <w:color w:val="000000" w:themeColor="text1"/>
          <w:sz w:val="24"/>
          <w:szCs w:val="24"/>
        </w:rPr>
        <w:t>e</w:t>
      </w:r>
      <w:r w:rsidRPr="00775054">
        <w:rPr>
          <w:rFonts w:ascii="Times New Roman" w:hAnsi="Times New Roman" w:cs="Times New Roman"/>
          <w:i/>
          <w:color w:val="000000" w:themeColor="text1"/>
          <w:sz w:val="24"/>
          <w:szCs w:val="24"/>
        </w:rPr>
        <w:t>is:</w:t>
      </w:r>
    </w:p>
    <w:p w:rsidR="000F0DAD" w:rsidRPr="00462470" w:rsidRDefault="00F856A4" w:rsidP="00F856A4">
      <w:pPr>
        <w:numPr>
          <w:ilvl w:val="4"/>
          <w:numId w:val="1"/>
        </w:numPr>
        <w:spacing w:after="0" w:line="240" w:lineRule="auto"/>
        <w:jc w:val="both"/>
        <w:rPr>
          <w:rFonts w:ascii="Times New Roman" w:hAnsi="Times New Roman" w:cs="Times New Roman"/>
          <w:color w:val="000000" w:themeColor="text1"/>
          <w:spacing w:val="-2"/>
          <w:sz w:val="24"/>
          <w:szCs w:val="24"/>
        </w:rPr>
      </w:pPr>
      <w:r w:rsidRPr="00462470">
        <w:rPr>
          <w:rFonts w:ascii="Times New Roman" w:hAnsi="Times New Roman" w:cs="Times New Roman"/>
          <w:color w:val="000000" w:themeColor="text1"/>
          <w:spacing w:val="-2"/>
          <w:sz w:val="24"/>
          <w:szCs w:val="24"/>
        </w:rPr>
        <w:t>Em resposta à RDI nº 4/2018 (PAD nº 1.304/2018, Doc. nº 24.827/2018), a COPEG informou que a formulação estratégica do TRE-BA para o período 2016-2021 teve como fundamento as premissas fixadas pela Resolução Administrativa nº 198</w:t>
      </w:r>
      <w:r w:rsidR="001237CD" w:rsidRPr="00462470">
        <w:rPr>
          <w:rFonts w:ascii="Times New Roman" w:hAnsi="Times New Roman" w:cs="Times New Roman"/>
          <w:color w:val="000000" w:themeColor="text1"/>
          <w:spacing w:val="-2"/>
          <w:sz w:val="24"/>
          <w:szCs w:val="24"/>
        </w:rPr>
        <w:t xml:space="preserve">/2014, do CNJ, bem como as diretrizes estabelecidas no I Encontro Estratégico da Justiça Eleitoral, em fevereiro de 2015. Além disso, foi elaborado durante as oficinas do II Fórum de Planejamento, Estratégia e Gestão, promovido pela COPEG, usando como ponto de partida as reflexões </w:t>
      </w:r>
      <w:r w:rsidR="001237CD" w:rsidRPr="00462470">
        <w:rPr>
          <w:rFonts w:ascii="Times New Roman" w:hAnsi="Times New Roman" w:cs="Times New Roman"/>
          <w:color w:val="000000" w:themeColor="text1"/>
          <w:spacing w:val="-2"/>
          <w:sz w:val="24"/>
          <w:szCs w:val="24"/>
        </w:rPr>
        <w:lastRenderedPageBreak/>
        <w:t xml:space="preserve">oriundas do I Fórum, realizado em dezembro de 2014 e que os resultados dos trabalhos foram submetidos </w:t>
      </w:r>
      <w:r w:rsidR="003715DF" w:rsidRPr="00462470">
        <w:rPr>
          <w:rFonts w:ascii="Times New Roman" w:hAnsi="Times New Roman" w:cs="Times New Roman"/>
          <w:color w:val="000000" w:themeColor="text1"/>
          <w:spacing w:val="-2"/>
          <w:sz w:val="24"/>
          <w:szCs w:val="24"/>
        </w:rPr>
        <w:t>à</w:t>
      </w:r>
      <w:r w:rsidR="001237CD" w:rsidRPr="00462470">
        <w:rPr>
          <w:rFonts w:ascii="Times New Roman" w:hAnsi="Times New Roman" w:cs="Times New Roman"/>
          <w:color w:val="000000" w:themeColor="text1"/>
          <w:spacing w:val="-2"/>
          <w:sz w:val="24"/>
          <w:szCs w:val="24"/>
        </w:rPr>
        <w:t xml:space="preserve"> apreciação e homologação do CGPE.</w:t>
      </w:r>
    </w:p>
    <w:p w:rsidR="000F0DAD" w:rsidRPr="00775054" w:rsidRDefault="00830DCB" w:rsidP="00F856A4">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Informou, ainda, que foram consideradas as especificidades e prioridades relevantes do Tribunal captadas durante o I Fórum, quando fora</w:t>
      </w:r>
      <w:r w:rsidR="006261D5" w:rsidRPr="00775054">
        <w:rPr>
          <w:rFonts w:ascii="Times New Roman" w:hAnsi="Times New Roman" w:cs="Times New Roman"/>
          <w:color w:val="000000" w:themeColor="text1"/>
          <w:sz w:val="24"/>
          <w:szCs w:val="24"/>
        </w:rPr>
        <w:t>m</w:t>
      </w:r>
      <w:r w:rsidRPr="00775054">
        <w:rPr>
          <w:rFonts w:ascii="Times New Roman" w:hAnsi="Times New Roman" w:cs="Times New Roman"/>
          <w:color w:val="000000" w:themeColor="text1"/>
          <w:sz w:val="24"/>
          <w:szCs w:val="24"/>
        </w:rPr>
        <w:t xml:space="preserve"> identificados os principais desafios a serem enfrentados pela organização no ciclo </w:t>
      </w:r>
      <w:r w:rsidR="00462470">
        <w:rPr>
          <w:rFonts w:ascii="Times New Roman" w:hAnsi="Times New Roman" w:cs="Times New Roman"/>
          <w:color w:val="000000" w:themeColor="text1"/>
          <w:sz w:val="24"/>
          <w:szCs w:val="24"/>
        </w:rPr>
        <w:t>de vigência do planejamento</w:t>
      </w:r>
      <w:r w:rsidR="000F0DAD" w:rsidRPr="00775054">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w:t>
      </w:r>
      <w:r w:rsidR="000F0DAD" w:rsidRPr="00775054">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 xml:space="preserve">lém </w:t>
      </w:r>
      <w:r w:rsidR="006261D5" w:rsidRPr="00775054">
        <w:rPr>
          <w:rFonts w:ascii="Times New Roman" w:hAnsi="Times New Roman" w:cs="Times New Roman"/>
          <w:color w:val="000000" w:themeColor="text1"/>
          <w:sz w:val="24"/>
          <w:szCs w:val="24"/>
        </w:rPr>
        <w:t>de terem sido observadas</w:t>
      </w:r>
      <w:r w:rsidRPr="00775054">
        <w:rPr>
          <w:rFonts w:ascii="Times New Roman" w:hAnsi="Times New Roman" w:cs="Times New Roman"/>
          <w:color w:val="000000" w:themeColor="text1"/>
          <w:sz w:val="24"/>
          <w:szCs w:val="24"/>
        </w:rPr>
        <w:t xml:space="preserve"> as recomendações da </w:t>
      </w:r>
      <w:r w:rsidR="00462470">
        <w:rPr>
          <w:rFonts w:ascii="Times New Roman" w:hAnsi="Times New Roman" w:cs="Times New Roman"/>
          <w:color w:val="000000" w:themeColor="text1"/>
          <w:sz w:val="24"/>
          <w:szCs w:val="24"/>
        </w:rPr>
        <w:t>SCI</w:t>
      </w:r>
      <w:r w:rsidRPr="00775054">
        <w:rPr>
          <w:rFonts w:ascii="Times New Roman" w:hAnsi="Times New Roman" w:cs="Times New Roman"/>
          <w:color w:val="000000" w:themeColor="text1"/>
          <w:sz w:val="24"/>
          <w:szCs w:val="24"/>
        </w:rPr>
        <w:t>.</w:t>
      </w:r>
    </w:p>
    <w:p w:rsidR="000E51EA" w:rsidRPr="000E51EA" w:rsidRDefault="00462470" w:rsidP="00F856A4">
      <w:pPr>
        <w:numPr>
          <w:ilvl w:val="4"/>
          <w:numId w:val="1"/>
        </w:numPr>
        <w:spacing w:after="0" w:line="240" w:lineRule="auto"/>
        <w:jc w:val="both"/>
        <w:rPr>
          <w:rFonts w:ascii="Times New Roman" w:hAnsi="Times New Roman" w:cs="Times New Roman"/>
          <w:color w:val="000000" w:themeColor="text1"/>
          <w:spacing w:val="-2"/>
          <w:sz w:val="24"/>
          <w:szCs w:val="24"/>
        </w:rPr>
      </w:pPr>
      <w:r w:rsidRPr="000E51EA">
        <w:rPr>
          <w:rFonts w:ascii="Times New Roman" w:hAnsi="Times New Roman" w:cs="Times New Roman"/>
          <w:color w:val="000000" w:themeColor="text1"/>
          <w:spacing w:val="-2"/>
          <w:sz w:val="24"/>
          <w:szCs w:val="24"/>
        </w:rPr>
        <w:t>Acrescentou que, d</w:t>
      </w:r>
      <w:r w:rsidR="00830DCB" w:rsidRPr="000E51EA">
        <w:rPr>
          <w:rFonts w:ascii="Times New Roman" w:hAnsi="Times New Roman" w:cs="Times New Roman"/>
          <w:color w:val="000000" w:themeColor="text1"/>
          <w:spacing w:val="-2"/>
          <w:sz w:val="24"/>
          <w:szCs w:val="24"/>
        </w:rPr>
        <w:t>es</w:t>
      </w:r>
      <w:r w:rsidRPr="000E51EA">
        <w:rPr>
          <w:rFonts w:ascii="Times New Roman" w:hAnsi="Times New Roman" w:cs="Times New Roman"/>
          <w:color w:val="000000" w:themeColor="text1"/>
          <w:spacing w:val="-2"/>
          <w:sz w:val="24"/>
          <w:szCs w:val="24"/>
        </w:rPr>
        <w:t>s</w:t>
      </w:r>
      <w:r w:rsidR="00830DCB" w:rsidRPr="000E51EA">
        <w:rPr>
          <w:rFonts w:ascii="Times New Roman" w:hAnsi="Times New Roman" w:cs="Times New Roman"/>
          <w:color w:val="000000" w:themeColor="text1"/>
          <w:spacing w:val="-2"/>
          <w:sz w:val="24"/>
          <w:szCs w:val="24"/>
        </w:rPr>
        <w:t>a forma, os trabalhos de revisão foram realizados pela COPEG entre 31</w:t>
      </w:r>
      <w:r w:rsidRPr="000E51EA">
        <w:rPr>
          <w:rFonts w:ascii="Times New Roman" w:hAnsi="Times New Roman" w:cs="Times New Roman"/>
          <w:color w:val="000000" w:themeColor="text1"/>
          <w:spacing w:val="-2"/>
          <w:sz w:val="24"/>
          <w:szCs w:val="24"/>
        </w:rPr>
        <w:t>/8</w:t>
      </w:r>
      <w:r w:rsidR="00830DCB" w:rsidRPr="000E51EA">
        <w:rPr>
          <w:rFonts w:ascii="Times New Roman" w:hAnsi="Times New Roman" w:cs="Times New Roman"/>
          <w:color w:val="000000" w:themeColor="text1"/>
          <w:spacing w:val="-2"/>
          <w:sz w:val="24"/>
          <w:szCs w:val="24"/>
        </w:rPr>
        <w:t xml:space="preserve"> </w:t>
      </w:r>
      <w:r w:rsidRPr="000E51EA">
        <w:rPr>
          <w:rFonts w:ascii="Times New Roman" w:hAnsi="Times New Roman" w:cs="Times New Roman"/>
          <w:color w:val="000000" w:themeColor="text1"/>
          <w:spacing w:val="-2"/>
          <w:sz w:val="24"/>
          <w:szCs w:val="24"/>
        </w:rPr>
        <w:t>e 3/12/</w:t>
      </w:r>
      <w:r w:rsidR="00830DCB" w:rsidRPr="000E51EA">
        <w:rPr>
          <w:rFonts w:ascii="Times New Roman" w:hAnsi="Times New Roman" w:cs="Times New Roman"/>
          <w:color w:val="000000" w:themeColor="text1"/>
          <w:spacing w:val="-2"/>
          <w:sz w:val="24"/>
          <w:szCs w:val="24"/>
        </w:rPr>
        <w:t xml:space="preserve">2015 envolvendo diversos públicos e etapas a seguir relacionadas: pesquisa interna, por meio de questionário </w:t>
      </w:r>
      <w:r w:rsidR="00830DCB" w:rsidRPr="000E51EA">
        <w:rPr>
          <w:rFonts w:ascii="Times New Roman" w:hAnsi="Times New Roman" w:cs="Times New Roman"/>
          <w:i/>
          <w:color w:val="000000" w:themeColor="text1"/>
          <w:spacing w:val="-2"/>
          <w:sz w:val="24"/>
          <w:szCs w:val="24"/>
        </w:rPr>
        <w:t>online</w:t>
      </w:r>
      <w:r w:rsidR="006261D5" w:rsidRPr="000E51EA">
        <w:rPr>
          <w:rFonts w:ascii="Times New Roman" w:hAnsi="Times New Roman" w:cs="Times New Roman"/>
          <w:color w:val="000000" w:themeColor="text1"/>
          <w:spacing w:val="-2"/>
          <w:sz w:val="24"/>
          <w:szCs w:val="24"/>
        </w:rPr>
        <w:t xml:space="preserve">; entrevistas presenciais com magistrados de 1º e 2º graus e agente externo; quatro oficinas com a participação de magistrados de 1º e 2º grau, gestores, chefes de cartório da Capital e do Interior e representante da associação de classe dos servidores; reuniões de homologação com o Comitê Gestor da Estratégia para apreciação das sugestões apresentadas pelos participantes do evento. </w:t>
      </w:r>
    </w:p>
    <w:p w:rsidR="001F256C" w:rsidRPr="00775054" w:rsidRDefault="00462470" w:rsidP="00F856A4">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Asseverou, a</w:t>
      </w:r>
      <w:r w:rsidR="006261D5" w:rsidRPr="00775054">
        <w:rPr>
          <w:rFonts w:ascii="Times New Roman" w:hAnsi="Times New Roman" w:cs="Times New Roman"/>
          <w:color w:val="000000" w:themeColor="text1"/>
          <w:sz w:val="24"/>
          <w:szCs w:val="24"/>
        </w:rPr>
        <w:t xml:space="preserve">ssim, </w:t>
      </w:r>
      <w:r>
        <w:rPr>
          <w:rFonts w:ascii="Times New Roman" w:hAnsi="Times New Roman" w:cs="Times New Roman"/>
          <w:color w:val="000000" w:themeColor="text1"/>
          <w:sz w:val="24"/>
          <w:szCs w:val="24"/>
        </w:rPr>
        <w:t xml:space="preserve">que </w:t>
      </w:r>
      <w:r w:rsidR="006261D5" w:rsidRPr="00775054">
        <w:rPr>
          <w:rFonts w:ascii="Times New Roman" w:hAnsi="Times New Roman" w:cs="Times New Roman"/>
          <w:color w:val="000000" w:themeColor="text1"/>
          <w:sz w:val="24"/>
          <w:szCs w:val="24"/>
        </w:rPr>
        <w:t xml:space="preserve">o Planejamento estratégico do TRE-BA observou as premissas </w:t>
      </w:r>
      <w:proofErr w:type="gramStart"/>
      <w:r w:rsidR="006261D5" w:rsidRPr="00775054">
        <w:rPr>
          <w:rFonts w:ascii="Times New Roman" w:hAnsi="Times New Roman" w:cs="Times New Roman"/>
          <w:color w:val="000000" w:themeColor="text1"/>
          <w:sz w:val="24"/>
          <w:szCs w:val="24"/>
        </w:rPr>
        <w:t>estabelecidas para o Poder Judiciário Nacional (PJN)</w:t>
      </w:r>
      <w:proofErr w:type="gramEnd"/>
      <w:r w:rsidR="006261D5" w:rsidRPr="00775054">
        <w:rPr>
          <w:rFonts w:ascii="Times New Roman" w:hAnsi="Times New Roman" w:cs="Times New Roman"/>
          <w:color w:val="000000" w:themeColor="text1"/>
          <w:sz w:val="24"/>
          <w:szCs w:val="24"/>
        </w:rPr>
        <w:t xml:space="preserve">, conforme Resolução nº 198/2014 alinhando-se aos seguintes pontos: Direcionadores do PJN: Missão, Visão e Valores; </w:t>
      </w:r>
      <w:proofErr w:type="spellStart"/>
      <w:r w:rsidR="006261D5" w:rsidRPr="00775054">
        <w:rPr>
          <w:rFonts w:ascii="Times New Roman" w:hAnsi="Times New Roman" w:cs="Times New Roman"/>
          <w:color w:val="000000" w:themeColor="text1"/>
          <w:sz w:val="24"/>
          <w:szCs w:val="24"/>
        </w:rPr>
        <w:t>macrodesafios</w:t>
      </w:r>
      <w:proofErr w:type="spellEnd"/>
      <w:r w:rsidR="006261D5" w:rsidRPr="00775054">
        <w:rPr>
          <w:rFonts w:ascii="Times New Roman" w:hAnsi="Times New Roman" w:cs="Times New Roman"/>
          <w:color w:val="000000" w:themeColor="text1"/>
          <w:sz w:val="24"/>
          <w:szCs w:val="24"/>
        </w:rPr>
        <w:t xml:space="preserve"> do PJN: observados os conteúdos temáticos referentes aos sete </w:t>
      </w:r>
      <w:proofErr w:type="spellStart"/>
      <w:r w:rsidR="006261D5" w:rsidRPr="00775054">
        <w:rPr>
          <w:rFonts w:ascii="Times New Roman" w:hAnsi="Times New Roman" w:cs="Times New Roman"/>
          <w:color w:val="000000" w:themeColor="text1"/>
          <w:sz w:val="24"/>
          <w:szCs w:val="24"/>
        </w:rPr>
        <w:t>macrodesafios</w:t>
      </w:r>
      <w:proofErr w:type="spellEnd"/>
      <w:r w:rsidR="006261D5" w:rsidRPr="00775054">
        <w:rPr>
          <w:rFonts w:ascii="Times New Roman" w:hAnsi="Times New Roman" w:cs="Times New Roman"/>
          <w:color w:val="000000" w:themeColor="text1"/>
          <w:sz w:val="24"/>
          <w:szCs w:val="24"/>
        </w:rPr>
        <w:t xml:space="preserve"> do PJN considerados obrigatórios</w:t>
      </w:r>
      <w:r w:rsidR="00165C2F" w:rsidRPr="00775054">
        <w:rPr>
          <w:rFonts w:ascii="Times New Roman" w:hAnsi="Times New Roman" w:cs="Times New Roman"/>
          <w:color w:val="000000" w:themeColor="text1"/>
          <w:sz w:val="24"/>
          <w:szCs w:val="24"/>
        </w:rPr>
        <w:t xml:space="preserve"> para toda a Justiça Eleitoral; diretrizes estratégicas do PJN: recepcionadas as diretrizes Institucionalização da Política de Priorização do Primeiro Grau e Qualidade de Vida no Trabalho; Inciativas Estratégicas Nacionais; Cesta de Indicadores; Metas Nacionais e Específicas.</w:t>
      </w:r>
    </w:p>
    <w:p w:rsidR="000F0DAD" w:rsidRPr="00775054" w:rsidRDefault="00462470" w:rsidP="000F6FAD">
      <w:pPr>
        <w:numPr>
          <w:ilvl w:val="4"/>
          <w:numId w:val="1"/>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w:t>
      </w:r>
      <w:r w:rsidR="00165C2F" w:rsidRPr="00775054">
        <w:rPr>
          <w:rFonts w:ascii="Times New Roman" w:hAnsi="Times New Roman" w:cs="Times New Roman"/>
          <w:color w:val="000000" w:themeColor="text1"/>
          <w:sz w:val="24"/>
          <w:szCs w:val="24"/>
        </w:rPr>
        <w:t>nformou</w:t>
      </w:r>
      <w:r>
        <w:rPr>
          <w:rFonts w:ascii="Times New Roman" w:hAnsi="Times New Roman" w:cs="Times New Roman"/>
          <w:color w:val="000000" w:themeColor="text1"/>
          <w:sz w:val="24"/>
          <w:szCs w:val="24"/>
        </w:rPr>
        <w:t>,</w:t>
      </w:r>
      <w:r w:rsidR="000F0DAD" w:rsidRPr="00775054">
        <w:rPr>
          <w:rFonts w:ascii="Times New Roman" w:hAnsi="Times New Roman" w:cs="Times New Roman"/>
          <w:color w:val="000000" w:themeColor="text1"/>
          <w:sz w:val="24"/>
          <w:szCs w:val="24"/>
        </w:rPr>
        <w:t xml:space="preserve"> também</w:t>
      </w:r>
      <w:r w:rsidR="00165C2F" w:rsidRPr="00775054">
        <w:rPr>
          <w:rFonts w:ascii="Times New Roman" w:hAnsi="Times New Roman" w:cs="Times New Roman"/>
          <w:color w:val="000000" w:themeColor="text1"/>
          <w:sz w:val="24"/>
          <w:szCs w:val="24"/>
        </w:rPr>
        <w:t xml:space="preserve">, em relação às metas Nacionais do Poder Judiciário, que a Meta 1 se propõe a medir a capacidade de atendimento à demanda processual da JE da Bahia, estipulando para o 1º e 2º grau, no exercício de 2017, julgar quantidade maior de processos de conhecimento do que os distribuídos em 2017. Assim, informou que esse desafio foi recepcionado pelo PEI do TRE-BA, mediante o Indicador Estratégico </w:t>
      </w:r>
      <w:r w:rsidR="00165C2F" w:rsidRPr="000E51EA">
        <w:rPr>
          <w:rFonts w:ascii="Times New Roman" w:hAnsi="Times New Roman" w:cs="Times New Roman"/>
          <w:color w:val="000000" w:themeColor="text1"/>
          <w:sz w:val="24"/>
          <w:szCs w:val="24"/>
        </w:rPr>
        <w:t>Índice de atendimento à demanda</w:t>
      </w:r>
      <w:r w:rsidR="00165C2F" w:rsidRPr="00775054">
        <w:rPr>
          <w:rFonts w:ascii="Times New Roman" w:hAnsi="Times New Roman" w:cs="Times New Roman"/>
          <w:color w:val="000000" w:themeColor="text1"/>
          <w:sz w:val="24"/>
          <w:szCs w:val="24"/>
        </w:rPr>
        <w:t>, utilizado com a finalidade de monitorar a capacidade de atendimento à demanda processual da JE da Bahia. Ress</w:t>
      </w:r>
      <w:r w:rsidR="00B20B1F" w:rsidRPr="00775054">
        <w:rPr>
          <w:rFonts w:ascii="Times New Roman" w:hAnsi="Times New Roman" w:cs="Times New Roman"/>
          <w:color w:val="000000" w:themeColor="text1"/>
          <w:sz w:val="24"/>
          <w:szCs w:val="24"/>
        </w:rPr>
        <w:t>altou que a fórmula de cálculo utilizada pelo índice difere da apresentada pela Meta do PJN, mas que os resultados aferidos foram praticamente iguais no exerc</w:t>
      </w:r>
      <w:r w:rsidR="00F00581" w:rsidRPr="00775054">
        <w:rPr>
          <w:rFonts w:ascii="Times New Roman" w:hAnsi="Times New Roman" w:cs="Times New Roman"/>
          <w:color w:val="000000" w:themeColor="text1"/>
          <w:sz w:val="24"/>
          <w:szCs w:val="24"/>
        </w:rPr>
        <w:t xml:space="preserve">ício </w:t>
      </w:r>
      <w:r w:rsidR="007B3CCC" w:rsidRPr="00775054">
        <w:rPr>
          <w:rFonts w:ascii="Times New Roman" w:hAnsi="Times New Roman" w:cs="Times New Roman"/>
          <w:color w:val="000000" w:themeColor="text1"/>
          <w:sz w:val="24"/>
          <w:szCs w:val="24"/>
        </w:rPr>
        <w:t>de 2016 e que a fórmula adotada no PEI do TRE-BA visou demostrar maior clareza do que se propõe a medir.</w:t>
      </w:r>
    </w:p>
    <w:p w:rsidR="000E51EA" w:rsidRDefault="007B3CCC" w:rsidP="000F6FAD">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Com relação </w:t>
      </w:r>
      <w:r w:rsidR="003715DF" w:rsidRPr="00775054">
        <w:rPr>
          <w:rFonts w:ascii="Times New Roman" w:hAnsi="Times New Roman" w:cs="Times New Roman"/>
          <w:color w:val="000000" w:themeColor="text1"/>
          <w:sz w:val="24"/>
          <w:szCs w:val="24"/>
        </w:rPr>
        <w:t>à</w:t>
      </w:r>
      <w:r w:rsidRPr="00775054">
        <w:rPr>
          <w:rFonts w:ascii="Times New Roman" w:hAnsi="Times New Roman" w:cs="Times New Roman"/>
          <w:color w:val="000000" w:themeColor="text1"/>
          <w:sz w:val="24"/>
          <w:szCs w:val="24"/>
        </w:rPr>
        <w:t xml:space="preserve"> Meta </w:t>
      </w:r>
      <w:proofErr w:type="gramStart"/>
      <w:r w:rsidRPr="00775054">
        <w:rPr>
          <w:rFonts w:ascii="Times New Roman" w:hAnsi="Times New Roman" w:cs="Times New Roman"/>
          <w:color w:val="000000" w:themeColor="text1"/>
          <w:sz w:val="24"/>
          <w:szCs w:val="24"/>
        </w:rPr>
        <w:t>2</w:t>
      </w:r>
      <w:proofErr w:type="gramEnd"/>
      <w:r w:rsidRPr="00775054">
        <w:rPr>
          <w:rFonts w:ascii="Times New Roman" w:hAnsi="Times New Roman" w:cs="Times New Roman"/>
          <w:color w:val="000000" w:themeColor="text1"/>
          <w:sz w:val="24"/>
          <w:szCs w:val="24"/>
        </w:rPr>
        <w:t xml:space="preserve">, aplicável a todos os ramos do Judiciário, </w:t>
      </w:r>
      <w:r w:rsidR="00462470">
        <w:rPr>
          <w:rFonts w:ascii="Times New Roman" w:hAnsi="Times New Roman" w:cs="Times New Roman"/>
          <w:color w:val="000000" w:themeColor="text1"/>
          <w:sz w:val="24"/>
          <w:szCs w:val="24"/>
        </w:rPr>
        <w:t xml:space="preserve">esclareceu que </w:t>
      </w:r>
      <w:r w:rsidRPr="00775054">
        <w:rPr>
          <w:rFonts w:ascii="Times New Roman" w:hAnsi="Times New Roman" w:cs="Times New Roman"/>
          <w:color w:val="000000" w:themeColor="text1"/>
          <w:sz w:val="24"/>
          <w:szCs w:val="24"/>
        </w:rPr>
        <w:t>cabe à JE o desafio de identificar e julgar, até 31/12/2017, pelo menos 90%</w:t>
      </w:r>
      <w:r w:rsidR="000F6FAD" w:rsidRPr="00775054">
        <w:rPr>
          <w:rFonts w:ascii="Times New Roman" w:hAnsi="Times New Roman" w:cs="Times New Roman"/>
          <w:color w:val="000000" w:themeColor="text1"/>
          <w:sz w:val="24"/>
          <w:szCs w:val="24"/>
        </w:rPr>
        <w:t xml:space="preserve"> dos processos distribuídos até 31/12/2015. Ressaltou que esse desafio foi recepcionado pelo PEI do TRE-BA mediante </w:t>
      </w:r>
      <w:r w:rsidR="000F6FAD" w:rsidRPr="00775054">
        <w:rPr>
          <w:rFonts w:ascii="Times New Roman" w:hAnsi="Times New Roman" w:cs="Times New Roman"/>
          <w:i/>
          <w:color w:val="000000" w:themeColor="text1"/>
          <w:sz w:val="24"/>
          <w:szCs w:val="24"/>
        </w:rPr>
        <w:t>índice de julgamento de processos antigos</w:t>
      </w:r>
      <w:r w:rsidR="000F6FAD" w:rsidRPr="00775054">
        <w:rPr>
          <w:rFonts w:ascii="Times New Roman" w:hAnsi="Times New Roman" w:cs="Times New Roman"/>
          <w:color w:val="000000" w:themeColor="text1"/>
          <w:sz w:val="24"/>
          <w:szCs w:val="24"/>
        </w:rPr>
        <w:t xml:space="preserve">, utilizado com a finalidade de avaliar a capacidade de julgamento dos processos antigos do acervo do TRE-BA. </w:t>
      </w:r>
      <w:r w:rsidR="000E51EA" w:rsidRPr="001C1859">
        <w:rPr>
          <w:rFonts w:ascii="Times New Roman" w:hAnsi="Times New Roman" w:cs="Times New Roman"/>
          <w:color w:val="000000" w:themeColor="text1"/>
          <w:sz w:val="24"/>
          <w:szCs w:val="24"/>
        </w:rPr>
        <w:t xml:space="preserve">Acrescentou </w:t>
      </w:r>
      <w:r w:rsidR="000F6FAD" w:rsidRPr="001C1859">
        <w:rPr>
          <w:rFonts w:ascii="Times New Roman" w:hAnsi="Times New Roman" w:cs="Times New Roman"/>
          <w:color w:val="000000" w:themeColor="text1"/>
          <w:sz w:val="24"/>
          <w:szCs w:val="24"/>
        </w:rPr>
        <w:t xml:space="preserve">que a </w:t>
      </w:r>
      <w:r w:rsidR="000F6FAD" w:rsidRPr="00775054">
        <w:rPr>
          <w:rFonts w:ascii="Times New Roman" w:hAnsi="Times New Roman" w:cs="Times New Roman"/>
          <w:color w:val="000000" w:themeColor="text1"/>
          <w:sz w:val="24"/>
          <w:szCs w:val="24"/>
        </w:rPr>
        <w:t>fórmula de cálculo utilizada pelo índice difere das fórmulas de cálculo apresentada</w:t>
      </w:r>
      <w:r w:rsidR="00462470">
        <w:rPr>
          <w:rFonts w:ascii="Times New Roman" w:hAnsi="Times New Roman" w:cs="Times New Roman"/>
          <w:color w:val="000000" w:themeColor="text1"/>
          <w:sz w:val="24"/>
          <w:szCs w:val="24"/>
        </w:rPr>
        <w:t>s</w:t>
      </w:r>
      <w:r w:rsidR="000F6FAD" w:rsidRPr="00775054">
        <w:rPr>
          <w:rFonts w:ascii="Times New Roman" w:hAnsi="Times New Roman" w:cs="Times New Roman"/>
          <w:color w:val="000000" w:themeColor="text1"/>
          <w:sz w:val="24"/>
          <w:szCs w:val="24"/>
        </w:rPr>
        <w:t xml:space="preserve"> pela Meta PJN,</w:t>
      </w:r>
      <w:r w:rsidRPr="00775054">
        <w:rPr>
          <w:rFonts w:ascii="Times New Roman" w:hAnsi="Times New Roman" w:cs="Times New Roman"/>
          <w:color w:val="000000" w:themeColor="text1"/>
          <w:sz w:val="24"/>
          <w:szCs w:val="24"/>
        </w:rPr>
        <w:t xml:space="preserve"> </w:t>
      </w:r>
      <w:r w:rsidR="000F6FAD" w:rsidRPr="00775054">
        <w:rPr>
          <w:rFonts w:ascii="Times New Roman" w:hAnsi="Times New Roman" w:cs="Times New Roman"/>
          <w:color w:val="000000" w:themeColor="text1"/>
          <w:sz w:val="24"/>
          <w:szCs w:val="24"/>
        </w:rPr>
        <w:t xml:space="preserve">mas que os resultados aferidos foram praticamente iguais no exercício de 2016 e que a fórmula adotada no PEI do TRE-BA visou demostrar maior clareza do que se propõe a medir. </w:t>
      </w:r>
    </w:p>
    <w:p w:rsidR="000F0DAD" w:rsidRPr="00775054" w:rsidRDefault="000F6FAD" w:rsidP="000F6FAD">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Informou também que ser</w:t>
      </w:r>
      <w:r w:rsidR="00462470">
        <w:rPr>
          <w:rFonts w:ascii="Times New Roman" w:hAnsi="Times New Roman" w:cs="Times New Roman"/>
          <w:color w:val="000000" w:themeColor="text1"/>
          <w:sz w:val="24"/>
          <w:szCs w:val="24"/>
        </w:rPr>
        <w:t>iam</w:t>
      </w:r>
      <w:r w:rsidRPr="00775054">
        <w:rPr>
          <w:rFonts w:ascii="Times New Roman" w:hAnsi="Times New Roman" w:cs="Times New Roman"/>
          <w:color w:val="000000" w:themeColor="text1"/>
          <w:sz w:val="24"/>
          <w:szCs w:val="24"/>
        </w:rPr>
        <w:t xml:space="preserve"> realizadas as adequações sugeridas, a partir de 2018, nas fórmulas dos indicadores índice de atendimento à demanda e índice de julgamento de processos antigos com a finalidade de uma maior </w:t>
      </w:r>
      <w:r w:rsidRPr="00775054">
        <w:rPr>
          <w:rFonts w:ascii="Times New Roman" w:hAnsi="Times New Roman" w:cs="Times New Roman"/>
          <w:color w:val="000000" w:themeColor="text1"/>
          <w:sz w:val="24"/>
          <w:szCs w:val="24"/>
        </w:rPr>
        <w:lastRenderedPageBreak/>
        <w:t xml:space="preserve">compatibilidade com as fórmulas das Metas Nacionais </w:t>
      </w:r>
      <w:proofErr w:type="gramStart"/>
      <w:r w:rsidRPr="00775054">
        <w:rPr>
          <w:rFonts w:ascii="Times New Roman" w:hAnsi="Times New Roman" w:cs="Times New Roman"/>
          <w:color w:val="000000" w:themeColor="text1"/>
          <w:sz w:val="24"/>
          <w:szCs w:val="24"/>
        </w:rPr>
        <w:t>1</w:t>
      </w:r>
      <w:proofErr w:type="gramEnd"/>
      <w:r w:rsidRPr="00775054">
        <w:rPr>
          <w:rFonts w:ascii="Times New Roman" w:hAnsi="Times New Roman" w:cs="Times New Roman"/>
          <w:color w:val="000000" w:themeColor="text1"/>
          <w:sz w:val="24"/>
          <w:szCs w:val="24"/>
        </w:rPr>
        <w:t xml:space="preserve"> e 2, respectivamente</w:t>
      </w:r>
      <w:r w:rsidR="00275C25" w:rsidRPr="00775054">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e que as adequações ser</w:t>
      </w:r>
      <w:r w:rsidR="00462470">
        <w:rPr>
          <w:rFonts w:ascii="Times New Roman" w:hAnsi="Times New Roman" w:cs="Times New Roman"/>
          <w:color w:val="000000" w:themeColor="text1"/>
          <w:sz w:val="24"/>
          <w:szCs w:val="24"/>
        </w:rPr>
        <w:t>iam</w:t>
      </w:r>
      <w:r w:rsidRPr="00775054">
        <w:rPr>
          <w:rFonts w:ascii="Times New Roman" w:hAnsi="Times New Roman" w:cs="Times New Roman"/>
          <w:color w:val="000000" w:themeColor="text1"/>
          <w:sz w:val="24"/>
          <w:szCs w:val="24"/>
        </w:rPr>
        <w:t xml:space="preserve"> validadas pelo CGPE.</w:t>
      </w:r>
    </w:p>
    <w:p w:rsidR="000E51EA" w:rsidRDefault="00275C25" w:rsidP="000F6FAD">
      <w:pPr>
        <w:numPr>
          <w:ilvl w:val="4"/>
          <w:numId w:val="1"/>
        </w:numPr>
        <w:spacing w:after="0" w:line="240" w:lineRule="auto"/>
        <w:jc w:val="both"/>
        <w:rPr>
          <w:rFonts w:ascii="Times New Roman" w:hAnsi="Times New Roman" w:cs="Times New Roman"/>
          <w:color w:val="000000" w:themeColor="text1"/>
          <w:spacing w:val="-4"/>
          <w:sz w:val="24"/>
          <w:szCs w:val="24"/>
        </w:rPr>
      </w:pPr>
      <w:r w:rsidRPr="00F86DA4">
        <w:rPr>
          <w:rFonts w:ascii="Times New Roman" w:hAnsi="Times New Roman" w:cs="Times New Roman"/>
          <w:color w:val="000000" w:themeColor="text1"/>
          <w:spacing w:val="-4"/>
          <w:sz w:val="24"/>
          <w:szCs w:val="24"/>
        </w:rPr>
        <w:t xml:space="preserve">Com relação </w:t>
      </w:r>
      <w:r w:rsidR="003715DF" w:rsidRPr="00F86DA4">
        <w:rPr>
          <w:rFonts w:ascii="Times New Roman" w:hAnsi="Times New Roman" w:cs="Times New Roman"/>
          <w:color w:val="000000" w:themeColor="text1"/>
          <w:spacing w:val="-4"/>
          <w:sz w:val="24"/>
          <w:szCs w:val="24"/>
        </w:rPr>
        <w:t>à</w:t>
      </w:r>
      <w:r w:rsidRPr="00F86DA4">
        <w:rPr>
          <w:rFonts w:ascii="Times New Roman" w:hAnsi="Times New Roman" w:cs="Times New Roman"/>
          <w:color w:val="000000" w:themeColor="text1"/>
          <w:spacing w:val="-4"/>
          <w:sz w:val="24"/>
          <w:szCs w:val="24"/>
        </w:rPr>
        <w:t xml:space="preserve"> meta específica 1/2017 </w:t>
      </w:r>
      <w:r w:rsidRPr="000E51EA">
        <w:rPr>
          <w:rFonts w:ascii="Times New Roman" w:hAnsi="Times New Roman" w:cs="Times New Roman"/>
          <w:color w:val="000000" w:themeColor="text1"/>
          <w:spacing w:val="-4"/>
          <w:sz w:val="24"/>
          <w:szCs w:val="24"/>
        </w:rPr>
        <w:t>(identificar e julgar com prioridade as ações que possam importar em não diplomação ou perda de mandato eletivo, fixando-se prazo máximo de julgamento, não podendo ultrapassar 12 meses em todas as instâncias)</w:t>
      </w:r>
      <w:r w:rsidRPr="00F86DA4">
        <w:rPr>
          <w:rFonts w:ascii="Times New Roman" w:hAnsi="Times New Roman" w:cs="Times New Roman"/>
          <w:color w:val="000000" w:themeColor="text1"/>
          <w:spacing w:val="-4"/>
          <w:sz w:val="24"/>
          <w:szCs w:val="24"/>
        </w:rPr>
        <w:t xml:space="preserve">, informou que foi </w:t>
      </w:r>
      <w:r w:rsidRPr="001C1859">
        <w:rPr>
          <w:rFonts w:ascii="Times New Roman" w:hAnsi="Times New Roman" w:cs="Times New Roman"/>
          <w:color w:val="000000" w:themeColor="text1"/>
          <w:spacing w:val="-4"/>
          <w:sz w:val="24"/>
          <w:szCs w:val="24"/>
        </w:rPr>
        <w:t>recepcionad</w:t>
      </w:r>
      <w:r w:rsidR="000E51EA" w:rsidRPr="001C1859">
        <w:rPr>
          <w:rFonts w:ascii="Times New Roman" w:hAnsi="Times New Roman" w:cs="Times New Roman"/>
          <w:color w:val="000000" w:themeColor="text1"/>
          <w:spacing w:val="-4"/>
          <w:sz w:val="24"/>
          <w:szCs w:val="24"/>
        </w:rPr>
        <w:t>a</w:t>
      </w:r>
      <w:r w:rsidR="00462470" w:rsidRPr="001C1859">
        <w:rPr>
          <w:rFonts w:ascii="Times New Roman" w:hAnsi="Times New Roman" w:cs="Times New Roman"/>
          <w:color w:val="000000" w:themeColor="text1"/>
          <w:spacing w:val="-4"/>
          <w:sz w:val="24"/>
          <w:szCs w:val="24"/>
        </w:rPr>
        <w:t>,</w:t>
      </w:r>
      <w:r w:rsidRPr="001C1859">
        <w:rPr>
          <w:rFonts w:ascii="Times New Roman" w:hAnsi="Times New Roman" w:cs="Times New Roman"/>
          <w:color w:val="000000" w:themeColor="text1"/>
          <w:spacing w:val="-4"/>
          <w:sz w:val="24"/>
          <w:szCs w:val="24"/>
        </w:rPr>
        <w:t xml:space="preserve"> </w:t>
      </w:r>
      <w:r w:rsidRPr="00F86DA4">
        <w:rPr>
          <w:rFonts w:ascii="Times New Roman" w:hAnsi="Times New Roman" w:cs="Times New Roman"/>
          <w:color w:val="000000" w:themeColor="text1"/>
          <w:spacing w:val="-4"/>
          <w:sz w:val="24"/>
          <w:szCs w:val="24"/>
        </w:rPr>
        <w:t>em 2016</w:t>
      </w:r>
      <w:r w:rsidR="00462470" w:rsidRPr="00F86DA4">
        <w:rPr>
          <w:rFonts w:ascii="Times New Roman" w:hAnsi="Times New Roman" w:cs="Times New Roman"/>
          <w:color w:val="000000" w:themeColor="text1"/>
          <w:spacing w:val="-4"/>
          <w:sz w:val="24"/>
          <w:szCs w:val="24"/>
        </w:rPr>
        <w:t>,</w:t>
      </w:r>
      <w:r w:rsidRPr="00F86DA4">
        <w:rPr>
          <w:rFonts w:ascii="Times New Roman" w:hAnsi="Times New Roman" w:cs="Times New Roman"/>
          <w:color w:val="000000" w:themeColor="text1"/>
          <w:spacing w:val="-4"/>
          <w:sz w:val="24"/>
          <w:szCs w:val="24"/>
        </w:rPr>
        <w:t xml:space="preserve"> pelo PEI do TRE-BA, mediante o </w:t>
      </w:r>
      <w:r w:rsidRPr="000E51EA">
        <w:rPr>
          <w:rFonts w:ascii="Times New Roman" w:hAnsi="Times New Roman" w:cs="Times New Roman"/>
          <w:color w:val="000000" w:themeColor="text1"/>
          <w:spacing w:val="-4"/>
          <w:sz w:val="24"/>
          <w:szCs w:val="24"/>
        </w:rPr>
        <w:t xml:space="preserve">índice de tempo médio de tramitação dos processos de cassação de mandato eletivo </w:t>
      </w:r>
      <w:r w:rsidRPr="00F86DA4">
        <w:rPr>
          <w:rFonts w:ascii="Times New Roman" w:hAnsi="Times New Roman" w:cs="Times New Roman"/>
          <w:color w:val="000000" w:themeColor="text1"/>
          <w:spacing w:val="-4"/>
          <w:sz w:val="24"/>
          <w:szCs w:val="24"/>
        </w:rPr>
        <w:t xml:space="preserve">e que este indicador é utilizado com finalidade de aferir a agilidade no julgamento dos processos que possam importar a não diplomação ou perda de mandato eletivo. </w:t>
      </w:r>
    </w:p>
    <w:p w:rsidR="000F0DAD" w:rsidRPr="00F86DA4" w:rsidRDefault="001C1859" w:rsidP="000F6FAD">
      <w:pPr>
        <w:numPr>
          <w:ilvl w:val="4"/>
          <w:numId w:val="1"/>
        </w:numPr>
        <w:spacing w:after="0" w:line="240" w:lineRule="auto"/>
        <w:jc w:val="both"/>
        <w:rPr>
          <w:rFonts w:ascii="Times New Roman" w:hAnsi="Times New Roman" w:cs="Times New Roman"/>
          <w:color w:val="000000" w:themeColor="text1"/>
          <w:spacing w:val="-4"/>
          <w:sz w:val="24"/>
          <w:szCs w:val="24"/>
        </w:rPr>
      </w:pPr>
      <w:r>
        <w:rPr>
          <w:rFonts w:ascii="Times New Roman" w:hAnsi="Times New Roman" w:cs="Times New Roman"/>
          <w:color w:val="000000" w:themeColor="text1"/>
          <w:spacing w:val="-4"/>
          <w:sz w:val="24"/>
          <w:szCs w:val="24"/>
        </w:rPr>
        <w:t>R</w:t>
      </w:r>
      <w:r w:rsidR="00275C25" w:rsidRPr="00F86DA4">
        <w:rPr>
          <w:rFonts w:ascii="Times New Roman" w:hAnsi="Times New Roman" w:cs="Times New Roman"/>
          <w:color w:val="000000" w:themeColor="text1"/>
          <w:spacing w:val="-4"/>
          <w:sz w:val="24"/>
          <w:szCs w:val="24"/>
        </w:rPr>
        <w:t>essaltou que a fórmula de cálculo utilizada difere da fórmula de cálculo apresentada pela Meta específica do PJN, p</w:t>
      </w:r>
      <w:r w:rsidR="00325D26" w:rsidRPr="00F86DA4">
        <w:rPr>
          <w:rFonts w:ascii="Times New Roman" w:hAnsi="Times New Roman" w:cs="Times New Roman"/>
          <w:color w:val="000000" w:themeColor="text1"/>
          <w:spacing w:val="-4"/>
          <w:sz w:val="24"/>
          <w:szCs w:val="24"/>
        </w:rPr>
        <w:t>elos motivos a seguir descritos:</w:t>
      </w:r>
      <w:r w:rsidR="00275C25" w:rsidRPr="00F86DA4">
        <w:rPr>
          <w:rFonts w:ascii="Times New Roman" w:hAnsi="Times New Roman" w:cs="Times New Roman"/>
          <w:color w:val="000000" w:themeColor="text1"/>
          <w:spacing w:val="-4"/>
          <w:sz w:val="24"/>
          <w:szCs w:val="24"/>
        </w:rPr>
        <w:t xml:space="preserve"> em 2016, </w:t>
      </w:r>
      <w:r w:rsidR="00325D26" w:rsidRPr="00F86DA4">
        <w:rPr>
          <w:rFonts w:ascii="Times New Roman" w:hAnsi="Times New Roman" w:cs="Times New Roman"/>
          <w:color w:val="000000" w:themeColor="text1"/>
          <w:spacing w:val="-4"/>
          <w:sz w:val="24"/>
          <w:szCs w:val="24"/>
        </w:rPr>
        <w:t>esta meta estava sendo construída pela Rede de Governança colaborativa do Poder Judiciário, por meio de questionário com perguntas subjetivas em que o TRE-BA alcançou 80% do desafio proposto para o segmento de justiça e, em 2017, foi editado um novo glossário com elaboração de fórmula para monitoramento do índice</w:t>
      </w:r>
      <w:r w:rsidR="00275C25" w:rsidRPr="00F86DA4">
        <w:rPr>
          <w:rFonts w:ascii="Times New Roman" w:hAnsi="Times New Roman" w:cs="Times New Roman"/>
          <w:color w:val="000000" w:themeColor="text1"/>
          <w:spacing w:val="-4"/>
          <w:sz w:val="24"/>
          <w:szCs w:val="24"/>
        </w:rPr>
        <w:t>.</w:t>
      </w:r>
      <w:r w:rsidR="00325D26" w:rsidRPr="00F86DA4">
        <w:rPr>
          <w:rFonts w:ascii="Times New Roman" w:hAnsi="Times New Roman" w:cs="Times New Roman"/>
          <w:color w:val="000000" w:themeColor="text1"/>
          <w:spacing w:val="-4"/>
          <w:sz w:val="24"/>
          <w:szCs w:val="24"/>
        </w:rPr>
        <w:t xml:space="preserve"> Entretanto a disponibilização, em julho de 2017, do referido glossário pela Rede de Governança inviabilizou a integralização dos desafios propostos no PEI do TRE-BA, tendo em vista que um dos requisitos da meta seria julgar em seis meses, na 1º instância, os referidos processos prioritários e que a disponibilização somente em julho comprometeu o desafio para o 1º grau de Jurisdição. Além disso, a periodicidade quadrimestral para enviar as informações à Rede de Governança Colaborativa divergiu do monitoramento trimestral realizado pelo TRE-BA. </w:t>
      </w:r>
      <w:r w:rsidR="00462470" w:rsidRPr="00F86DA4">
        <w:rPr>
          <w:rFonts w:ascii="Times New Roman" w:hAnsi="Times New Roman" w:cs="Times New Roman"/>
          <w:color w:val="000000" w:themeColor="text1"/>
          <w:spacing w:val="-4"/>
          <w:sz w:val="24"/>
          <w:szCs w:val="24"/>
        </w:rPr>
        <w:t>R</w:t>
      </w:r>
      <w:r w:rsidR="00325D26" w:rsidRPr="00F86DA4">
        <w:rPr>
          <w:rFonts w:ascii="Times New Roman" w:hAnsi="Times New Roman" w:cs="Times New Roman"/>
          <w:color w:val="000000" w:themeColor="text1"/>
          <w:spacing w:val="-4"/>
          <w:sz w:val="24"/>
          <w:szCs w:val="24"/>
        </w:rPr>
        <w:t xml:space="preserve">essaltou, ainda, que no intuito de atender </w:t>
      </w:r>
      <w:r w:rsidR="00462470" w:rsidRPr="00F86DA4">
        <w:rPr>
          <w:rFonts w:ascii="Times New Roman" w:hAnsi="Times New Roman" w:cs="Times New Roman"/>
          <w:color w:val="000000" w:themeColor="text1"/>
          <w:spacing w:val="-4"/>
          <w:sz w:val="24"/>
          <w:szCs w:val="24"/>
        </w:rPr>
        <w:t>a</w:t>
      </w:r>
      <w:r w:rsidR="00325D26" w:rsidRPr="00F86DA4">
        <w:rPr>
          <w:rFonts w:ascii="Times New Roman" w:hAnsi="Times New Roman" w:cs="Times New Roman"/>
          <w:color w:val="000000" w:themeColor="text1"/>
          <w:spacing w:val="-4"/>
          <w:sz w:val="24"/>
          <w:szCs w:val="24"/>
        </w:rPr>
        <w:t>o q</w:t>
      </w:r>
      <w:r w:rsidR="00462470" w:rsidRPr="00F86DA4">
        <w:rPr>
          <w:rFonts w:ascii="Times New Roman" w:hAnsi="Times New Roman" w:cs="Times New Roman"/>
          <w:color w:val="000000" w:themeColor="text1"/>
          <w:spacing w:val="-4"/>
          <w:sz w:val="24"/>
          <w:szCs w:val="24"/>
        </w:rPr>
        <w:t>uanto determinado pela SCI, seriam</w:t>
      </w:r>
      <w:r w:rsidR="00325D26" w:rsidRPr="00F86DA4">
        <w:rPr>
          <w:rFonts w:ascii="Times New Roman" w:hAnsi="Times New Roman" w:cs="Times New Roman"/>
          <w:color w:val="000000" w:themeColor="text1"/>
          <w:spacing w:val="-4"/>
          <w:sz w:val="24"/>
          <w:szCs w:val="24"/>
        </w:rPr>
        <w:t xml:space="preserve"> realizadas as adequações sugeridas, a partir de 2018, na fórmula do </w:t>
      </w:r>
      <w:r w:rsidR="00325D26" w:rsidRPr="000E51EA">
        <w:rPr>
          <w:rFonts w:ascii="Times New Roman" w:hAnsi="Times New Roman" w:cs="Times New Roman"/>
          <w:color w:val="000000" w:themeColor="text1"/>
          <w:spacing w:val="-4"/>
          <w:sz w:val="24"/>
          <w:szCs w:val="24"/>
        </w:rPr>
        <w:t xml:space="preserve">índice de tempo médio de tramitação de processos </w:t>
      </w:r>
      <w:r w:rsidR="000F0DAD" w:rsidRPr="000E51EA">
        <w:rPr>
          <w:rFonts w:ascii="Times New Roman" w:hAnsi="Times New Roman" w:cs="Times New Roman"/>
          <w:color w:val="000000" w:themeColor="text1"/>
          <w:spacing w:val="-4"/>
          <w:sz w:val="24"/>
          <w:szCs w:val="24"/>
        </w:rPr>
        <w:t>de cassação de mandato eletivo</w:t>
      </w:r>
      <w:r w:rsidR="000F0DAD" w:rsidRPr="00F86DA4">
        <w:rPr>
          <w:rFonts w:ascii="Times New Roman" w:hAnsi="Times New Roman" w:cs="Times New Roman"/>
          <w:i/>
          <w:color w:val="000000" w:themeColor="text1"/>
          <w:spacing w:val="-4"/>
          <w:sz w:val="24"/>
          <w:szCs w:val="24"/>
        </w:rPr>
        <w:t xml:space="preserve"> </w:t>
      </w:r>
      <w:r w:rsidR="000F0DAD" w:rsidRPr="00F86DA4">
        <w:rPr>
          <w:rFonts w:ascii="Times New Roman" w:hAnsi="Times New Roman" w:cs="Times New Roman"/>
          <w:color w:val="000000" w:themeColor="text1"/>
          <w:spacing w:val="-4"/>
          <w:sz w:val="24"/>
          <w:szCs w:val="24"/>
        </w:rPr>
        <w:t>com a finalidade de maior compatibilidade com a fórmula da meta específica e que as adequações ser</w:t>
      </w:r>
      <w:r w:rsidR="00462470" w:rsidRPr="00F86DA4">
        <w:rPr>
          <w:rFonts w:ascii="Times New Roman" w:hAnsi="Times New Roman" w:cs="Times New Roman"/>
          <w:color w:val="000000" w:themeColor="text1"/>
          <w:spacing w:val="-4"/>
          <w:sz w:val="24"/>
          <w:szCs w:val="24"/>
        </w:rPr>
        <w:t>iam</w:t>
      </w:r>
      <w:r w:rsidR="000F0DAD" w:rsidRPr="00F86DA4">
        <w:rPr>
          <w:rFonts w:ascii="Times New Roman" w:hAnsi="Times New Roman" w:cs="Times New Roman"/>
          <w:color w:val="000000" w:themeColor="text1"/>
          <w:spacing w:val="-4"/>
          <w:sz w:val="24"/>
          <w:szCs w:val="24"/>
        </w:rPr>
        <w:t xml:space="preserve"> validadas pelo CGPE.</w:t>
      </w:r>
    </w:p>
    <w:p w:rsidR="00165C2F" w:rsidRPr="00775054" w:rsidRDefault="000F0DAD" w:rsidP="000F6FAD">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Com relação </w:t>
      </w:r>
      <w:r w:rsidR="003715DF" w:rsidRPr="00775054">
        <w:rPr>
          <w:rFonts w:ascii="Times New Roman" w:hAnsi="Times New Roman" w:cs="Times New Roman"/>
          <w:color w:val="000000" w:themeColor="text1"/>
          <w:sz w:val="24"/>
          <w:szCs w:val="24"/>
        </w:rPr>
        <w:t>à</w:t>
      </w:r>
      <w:r w:rsidRPr="00775054">
        <w:rPr>
          <w:rFonts w:ascii="Times New Roman" w:hAnsi="Times New Roman" w:cs="Times New Roman"/>
          <w:color w:val="000000" w:themeColor="text1"/>
          <w:sz w:val="24"/>
          <w:szCs w:val="24"/>
        </w:rPr>
        <w:t xml:space="preserve"> Meta específica 2/2017, a COPEG informou que esta meta não foi recepcionada pelo PEI TRE-BA tendo em vista se tratar de desafio proposto especificamente para o Judiciário Eleitoral, cujo inteiro teor consistiu em publicar, até 31/12/2017, norma regulamentadora do Sistema de Governança e Gestão para a Justiça Eleitoral e que a referida norma foi elaborada pela Assessoria de Gestão Estratégica do TSE, em conjunto com os coordenadores da Rede de Governança Colaborativa da Justiça Eleitoral. </w:t>
      </w:r>
      <w:r w:rsidR="00462470">
        <w:rPr>
          <w:rFonts w:ascii="Times New Roman" w:hAnsi="Times New Roman" w:cs="Times New Roman"/>
          <w:color w:val="000000" w:themeColor="text1"/>
          <w:sz w:val="24"/>
          <w:szCs w:val="24"/>
        </w:rPr>
        <w:t>Acrescentou, c</w:t>
      </w:r>
      <w:r w:rsidRPr="00775054">
        <w:rPr>
          <w:rFonts w:ascii="Times New Roman" w:hAnsi="Times New Roman" w:cs="Times New Roman"/>
          <w:color w:val="000000" w:themeColor="text1"/>
          <w:sz w:val="24"/>
          <w:szCs w:val="24"/>
        </w:rPr>
        <w:t>ontudo</w:t>
      </w:r>
      <w:r w:rsidR="00462470">
        <w:rPr>
          <w:rFonts w:ascii="Times New Roman" w:hAnsi="Times New Roman" w:cs="Times New Roman"/>
          <w:color w:val="000000" w:themeColor="text1"/>
          <w:sz w:val="24"/>
          <w:szCs w:val="24"/>
        </w:rPr>
        <w:t xml:space="preserve">, que </w:t>
      </w:r>
      <w:r w:rsidR="001B7467" w:rsidRPr="00775054">
        <w:rPr>
          <w:rFonts w:ascii="Times New Roman" w:hAnsi="Times New Roman" w:cs="Times New Roman"/>
          <w:color w:val="000000" w:themeColor="text1"/>
          <w:sz w:val="24"/>
          <w:szCs w:val="24"/>
        </w:rPr>
        <w:t xml:space="preserve">o normativo </w:t>
      </w:r>
      <w:r w:rsidR="00462470">
        <w:rPr>
          <w:rFonts w:ascii="Times New Roman" w:hAnsi="Times New Roman" w:cs="Times New Roman"/>
          <w:color w:val="000000" w:themeColor="text1"/>
          <w:sz w:val="24"/>
          <w:szCs w:val="24"/>
        </w:rPr>
        <w:t>não havia sido editado</w:t>
      </w:r>
      <w:r w:rsidR="001B7467" w:rsidRPr="00775054">
        <w:rPr>
          <w:rFonts w:ascii="Times New Roman" w:hAnsi="Times New Roman" w:cs="Times New Roman"/>
          <w:color w:val="000000" w:themeColor="text1"/>
          <w:sz w:val="24"/>
          <w:szCs w:val="24"/>
        </w:rPr>
        <w:t>.</w:t>
      </w:r>
    </w:p>
    <w:p w:rsidR="001B7467" w:rsidRPr="00775054" w:rsidRDefault="001B7467" w:rsidP="000F6FAD">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Por fim, com relação </w:t>
      </w:r>
      <w:r w:rsidR="003715DF" w:rsidRPr="00775054">
        <w:rPr>
          <w:rFonts w:ascii="Times New Roman" w:hAnsi="Times New Roman" w:cs="Times New Roman"/>
          <w:color w:val="000000" w:themeColor="text1"/>
          <w:sz w:val="24"/>
          <w:szCs w:val="24"/>
        </w:rPr>
        <w:t>à</w:t>
      </w:r>
      <w:r w:rsidRPr="00775054">
        <w:rPr>
          <w:rFonts w:ascii="Times New Roman" w:hAnsi="Times New Roman" w:cs="Times New Roman"/>
          <w:color w:val="000000" w:themeColor="text1"/>
          <w:sz w:val="24"/>
          <w:szCs w:val="24"/>
        </w:rPr>
        <w:t xml:space="preserve"> Meta Específica 3/2017 (atingir 80% de satisfação dos eleitores quanto aos serviços prestados pela Justiça Eleitoral, através da instituição de mecanismo de aferição permanente, inclusive em anos eleitorais), informou que desafio semelhante consta no PEI do TRE-BA, desde 2008, mediante </w:t>
      </w:r>
      <w:r w:rsidRPr="0043312F">
        <w:rPr>
          <w:rFonts w:ascii="Times New Roman" w:hAnsi="Times New Roman" w:cs="Times New Roman"/>
          <w:sz w:val="24"/>
          <w:szCs w:val="24"/>
        </w:rPr>
        <w:t xml:space="preserve">índice de satisfação dos clientes, </w:t>
      </w:r>
      <w:r w:rsidRPr="00775054">
        <w:rPr>
          <w:rFonts w:ascii="Times New Roman" w:hAnsi="Times New Roman" w:cs="Times New Roman"/>
          <w:color w:val="000000" w:themeColor="text1"/>
          <w:sz w:val="24"/>
          <w:szCs w:val="24"/>
        </w:rPr>
        <w:t>utilizado com a mesma finalidade de avaliar a satisfação dos clientes da Justiça Eleitoral baiana quanto ao atendimento recebido. Ressaltou que a fórmula de cálculo utilizad</w:t>
      </w:r>
      <w:r w:rsidR="00462470">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 xml:space="preserve"> pelo índice difere da fórmula de cálculo apresentada pela Meta específica do PJN. Justificou que a disponibilização, em julho de 2017, do glossário</w:t>
      </w:r>
      <w:r w:rsidR="00462470">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pela Rede de Governança Colaborativa</w:t>
      </w:r>
      <w:r w:rsidR="00462470">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inviabilizou ajustes desta meta específica. </w:t>
      </w:r>
      <w:r w:rsidR="004B20CA">
        <w:rPr>
          <w:rFonts w:ascii="Times New Roman" w:hAnsi="Times New Roman" w:cs="Times New Roman"/>
          <w:color w:val="000000" w:themeColor="text1"/>
          <w:sz w:val="24"/>
          <w:szCs w:val="24"/>
        </w:rPr>
        <w:t>Acrescentou que</w:t>
      </w:r>
      <w:r w:rsidRPr="00775054">
        <w:rPr>
          <w:rFonts w:ascii="Times New Roman" w:hAnsi="Times New Roman" w:cs="Times New Roman"/>
          <w:color w:val="000000" w:themeColor="text1"/>
          <w:sz w:val="24"/>
          <w:szCs w:val="24"/>
        </w:rPr>
        <w:t xml:space="preserve"> a periodicidade quadrimestral, para enviar as informações à Rede de Governança Colaborativa divergiu do </w:t>
      </w:r>
      <w:r w:rsidRPr="00775054">
        <w:rPr>
          <w:rFonts w:ascii="Times New Roman" w:hAnsi="Times New Roman" w:cs="Times New Roman"/>
          <w:color w:val="000000" w:themeColor="text1"/>
          <w:sz w:val="24"/>
          <w:szCs w:val="24"/>
        </w:rPr>
        <w:lastRenderedPageBreak/>
        <w:t>monitoramento trimestral realizado pelo TRE-BA</w:t>
      </w:r>
      <w:r w:rsidR="007B5091" w:rsidRPr="00775054">
        <w:rPr>
          <w:rFonts w:ascii="Times New Roman" w:hAnsi="Times New Roman" w:cs="Times New Roman"/>
          <w:color w:val="000000" w:themeColor="text1"/>
          <w:sz w:val="24"/>
          <w:szCs w:val="24"/>
        </w:rPr>
        <w:t>. Ressaltou, ainda, que</w:t>
      </w:r>
      <w:r w:rsidR="004B20CA">
        <w:rPr>
          <w:rFonts w:ascii="Times New Roman" w:hAnsi="Times New Roman" w:cs="Times New Roman"/>
          <w:color w:val="000000" w:themeColor="text1"/>
          <w:sz w:val="24"/>
          <w:szCs w:val="24"/>
        </w:rPr>
        <w:t>,</w:t>
      </w:r>
      <w:r w:rsidR="007B5091" w:rsidRPr="00775054">
        <w:rPr>
          <w:rFonts w:ascii="Times New Roman" w:hAnsi="Times New Roman" w:cs="Times New Roman"/>
          <w:color w:val="000000" w:themeColor="text1"/>
          <w:sz w:val="24"/>
          <w:szCs w:val="24"/>
        </w:rPr>
        <w:t xml:space="preserve"> no intuito de atender ao quanto determinado pela SCI, ser</w:t>
      </w:r>
      <w:r w:rsidR="004B20CA">
        <w:rPr>
          <w:rFonts w:ascii="Times New Roman" w:hAnsi="Times New Roman" w:cs="Times New Roman"/>
          <w:color w:val="000000" w:themeColor="text1"/>
          <w:sz w:val="24"/>
          <w:szCs w:val="24"/>
        </w:rPr>
        <w:t>iam</w:t>
      </w:r>
      <w:r w:rsidR="007B5091" w:rsidRPr="00775054">
        <w:rPr>
          <w:rFonts w:ascii="Times New Roman" w:hAnsi="Times New Roman" w:cs="Times New Roman"/>
          <w:color w:val="000000" w:themeColor="text1"/>
          <w:sz w:val="24"/>
          <w:szCs w:val="24"/>
        </w:rPr>
        <w:t xml:space="preserve"> realizadas as adequações sugeridas, a partir de 2018, na fórmula do índice de satisfação dos clientes, com a finalidade de maior compatibilidade com a fórmula da Meta específica e que os ajustes ser</w:t>
      </w:r>
      <w:r w:rsidR="004B20CA">
        <w:rPr>
          <w:rFonts w:ascii="Times New Roman" w:hAnsi="Times New Roman" w:cs="Times New Roman"/>
          <w:color w:val="000000" w:themeColor="text1"/>
          <w:sz w:val="24"/>
          <w:szCs w:val="24"/>
        </w:rPr>
        <w:t>iam</w:t>
      </w:r>
      <w:r w:rsidR="007B5091" w:rsidRPr="00775054">
        <w:rPr>
          <w:rFonts w:ascii="Times New Roman" w:hAnsi="Times New Roman" w:cs="Times New Roman"/>
          <w:color w:val="000000" w:themeColor="text1"/>
          <w:sz w:val="24"/>
          <w:szCs w:val="24"/>
        </w:rPr>
        <w:t xml:space="preserve"> validados pelo CGPE.</w:t>
      </w:r>
    </w:p>
    <w:p w:rsidR="002B4F83" w:rsidRDefault="002B4F83" w:rsidP="002B4F8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6/2018 (PAD nº 1.307/2018, Doc. nº 23.874/2018), a Diretora</w:t>
      </w:r>
      <w:r w:rsidR="004B20CA">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Geral informou que a determinação constante da Resolução CNJ nº 198/2014 impõe aos órgãos do Judiciário o alinhamento de seus planos estratégicos à Es</w:t>
      </w:r>
      <w:r w:rsidR="00BD77FD">
        <w:rPr>
          <w:rFonts w:ascii="Times New Roman" w:hAnsi="Times New Roman" w:cs="Times New Roman"/>
          <w:color w:val="000000" w:themeColor="text1"/>
          <w:sz w:val="24"/>
          <w:szCs w:val="24"/>
        </w:rPr>
        <w:t>tratégia do Judiciário. Ressaltou</w:t>
      </w:r>
      <w:r w:rsidRPr="00775054">
        <w:rPr>
          <w:rFonts w:ascii="Times New Roman" w:hAnsi="Times New Roman" w:cs="Times New Roman"/>
          <w:color w:val="000000" w:themeColor="text1"/>
          <w:sz w:val="24"/>
          <w:szCs w:val="24"/>
        </w:rPr>
        <w:t xml:space="preserve">, entretanto, </w:t>
      </w:r>
      <w:r w:rsidR="00BD77FD">
        <w:rPr>
          <w:rFonts w:ascii="Times New Roman" w:hAnsi="Times New Roman" w:cs="Times New Roman"/>
          <w:color w:val="000000" w:themeColor="text1"/>
          <w:sz w:val="24"/>
          <w:szCs w:val="24"/>
        </w:rPr>
        <w:t xml:space="preserve">que </w:t>
      </w:r>
      <w:r w:rsidRPr="00775054">
        <w:rPr>
          <w:rFonts w:ascii="Times New Roman" w:hAnsi="Times New Roman" w:cs="Times New Roman"/>
          <w:color w:val="000000" w:themeColor="text1"/>
          <w:sz w:val="24"/>
          <w:szCs w:val="24"/>
        </w:rPr>
        <w:t xml:space="preserve">o TRE-BA não tem autonomia para alinhar seu Planejamento Estratégico Institucional ao Nacional, posto que </w:t>
      </w:r>
      <w:proofErr w:type="gramStart"/>
      <w:r w:rsidRPr="00775054">
        <w:rPr>
          <w:rFonts w:ascii="Times New Roman" w:hAnsi="Times New Roman" w:cs="Times New Roman"/>
          <w:color w:val="000000" w:themeColor="text1"/>
          <w:sz w:val="24"/>
          <w:szCs w:val="24"/>
        </w:rPr>
        <w:t>depende</w:t>
      </w:r>
      <w:proofErr w:type="gramEnd"/>
      <w:r w:rsidRPr="00775054">
        <w:rPr>
          <w:rFonts w:ascii="Times New Roman" w:hAnsi="Times New Roman" w:cs="Times New Roman"/>
          <w:color w:val="000000" w:themeColor="text1"/>
          <w:sz w:val="24"/>
          <w:szCs w:val="24"/>
        </w:rPr>
        <w:t xml:space="preserve"> de regulamentação a ser baixada pelo TSE. </w:t>
      </w:r>
      <w:proofErr w:type="gramStart"/>
      <w:r w:rsidRPr="00775054">
        <w:rPr>
          <w:rFonts w:ascii="Times New Roman" w:hAnsi="Times New Roman" w:cs="Times New Roman"/>
          <w:color w:val="000000" w:themeColor="text1"/>
          <w:sz w:val="24"/>
          <w:szCs w:val="24"/>
        </w:rPr>
        <w:t>Informou</w:t>
      </w:r>
      <w:proofErr w:type="gramEnd"/>
      <w:r w:rsidRPr="00775054">
        <w:rPr>
          <w:rFonts w:ascii="Times New Roman" w:hAnsi="Times New Roman" w:cs="Times New Roman"/>
          <w:color w:val="000000" w:themeColor="text1"/>
          <w:sz w:val="24"/>
          <w:szCs w:val="24"/>
        </w:rPr>
        <w:t xml:space="preserve"> também, quanto ao Sistema de Governança e Gestão Institucional, que foram criados o Núcleo de Governança e o Grupo de Trabalho de Estrutura e Política de Governança do TRE-BA, com escopo de </w:t>
      </w:r>
      <w:r w:rsidR="00304720" w:rsidRPr="00775054">
        <w:rPr>
          <w:rFonts w:ascii="Times New Roman" w:hAnsi="Times New Roman" w:cs="Times New Roman"/>
          <w:color w:val="000000" w:themeColor="text1"/>
          <w:sz w:val="24"/>
          <w:szCs w:val="24"/>
        </w:rPr>
        <w:t>atender às determinações do CNJ.</w:t>
      </w:r>
    </w:p>
    <w:p w:rsidR="00400321" w:rsidRPr="007D3A03" w:rsidRDefault="00400321" w:rsidP="00C23726">
      <w:pPr>
        <w:numPr>
          <w:ilvl w:val="4"/>
          <w:numId w:val="1"/>
        </w:numPr>
        <w:spacing w:after="0" w:line="240" w:lineRule="auto"/>
        <w:jc w:val="both"/>
        <w:rPr>
          <w:rFonts w:ascii="Times New Roman" w:hAnsi="Times New Roman" w:cs="Times New Roman"/>
          <w:sz w:val="24"/>
          <w:szCs w:val="24"/>
        </w:rPr>
      </w:pPr>
      <w:r w:rsidRPr="007D3A03">
        <w:rPr>
          <w:rFonts w:ascii="Times New Roman" w:hAnsi="Times New Roman" w:cs="Times New Roman"/>
          <w:sz w:val="24"/>
          <w:szCs w:val="24"/>
        </w:rPr>
        <w:t>Em resposta à RDI Circular nº 5/2018 (PAD nº 4.727/2018, Doc. nº 80.064/2018), a COPEG informou, com relação à meta especifica “Identificar e julgar com prioridade as ações que possam importar em não diplomação ou perda de mandato eletivo, fixando-se prazo máximo de julgamento, não podendo ultrapassar 12 meses em todas as instâncias”, o desafio não foi integramente recepcionado, em 2017, pelo PEI do TRE-BA, nos moldes estabelecidos pelo PJN. Esclareceu que a disponibilização do glossário de meta 2017, (</w:t>
      </w:r>
      <w:proofErr w:type="spellStart"/>
      <w:r w:rsidRPr="007D3A03">
        <w:rPr>
          <w:rFonts w:ascii="Times New Roman" w:hAnsi="Times New Roman" w:cs="Times New Roman"/>
          <w:sz w:val="24"/>
          <w:szCs w:val="24"/>
        </w:rPr>
        <w:t>Doc</w:t>
      </w:r>
      <w:proofErr w:type="spellEnd"/>
      <w:r w:rsidRPr="007D3A03">
        <w:rPr>
          <w:rFonts w:ascii="Times New Roman" w:hAnsi="Times New Roman" w:cs="Times New Roman"/>
          <w:sz w:val="24"/>
          <w:szCs w:val="24"/>
        </w:rPr>
        <w:t xml:space="preserve"> n. 203197/2017) apenas em julho de 2017, pela Rede de Governança colaborativa, inviabilizou a integralização do desafio proposto no PEI do TRE-BA e que, além disso, o referido glossário</w:t>
      </w:r>
      <w:r w:rsidR="00C23726" w:rsidRPr="007D3A03">
        <w:rPr>
          <w:rFonts w:ascii="Times New Roman" w:hAnsi="Times New Roman" w:cs="Times New Roman"/>
          <w:sz w:val="24"/>
          <w:szCs w:val="24"/>
        </w:rPr>
        <w:t xml:space="preserve"> </w:t>
      </w:r>
      <w:r w:rsidRPr="007D3A03">
        <w:rPr>
          <w:rFonts w:ascii="Times New Roman" w:hAnsi="Times New Roman" w:cs="Times New Roman"/>
          <w:sz w:val="24"/>
          <w:szCs w:val="24"/>
        </w:rPr>
        <w:t>estabeleceu o prazo de seis meses, na 1ª instância,</w:t>
      </w:r>
      <w:r w:rsidR="00C23726" w:rsidRPr="007D3A03">
        <w:rPr>
          <w:rFonts w:ascii="Times New Roman" w:hAnsi="Times New Roman" w:cs="Times New Roman"/>
          <w:sz w:val="24"/>
          <w:szCs w:val="24"/>
        </w:rPr>
        <w:t xml:space="preserve"> </w:t>
      </w:r>
      <w:r w:rsidRPr="007D3A03">
        <w:rPr>
          <w:rFonts w:ascii="Times New Roman" w:hAnsi="Times New Roman" w:cs="Times New Roman"/>
          <w:sz w:val="24"/>
          <w:szCs w:val="24"/>
        </w:rPr>
        <w:t>para os referidos processos prioritários,</w:t>
      </w:r>
      <w:r w:rsidR="00C23726" w:rsidRPr="007D3A03">
        <w:rPr>
          <w:rFonts w:ascii="Times New Roman" w:hAnsi="Times New Roman" w:cs="Times New Roman"/>
          <w:sz w:val="24"/>
          <w:szCs w:val="24"/>
        </w:rPr>
        <w:t xml:space="preserve"> </w:t>
      </w:r>
      <w:r w:rsidRPr="007D3A03">
        <w:rPr>
          <w:rFonts w:ascii="Times New Roman" w:hAnsi="Times New Roman" w:cs="Times New Roman"/>
          <w:sz w:val="24"/>
          <w:szCs w:val="24"/>
        </w:rPr>
        <w:t>inviabilizando o cumprimento do desafio para</w:t>
      </w:r>
      <w:r w:rsidR="00C23726" w:rsidRPr="007D3A03">
        <w:rPr>
          <w:rFonts w:ascii="Times New Roman" w:hAnsi="Times New Roman" w:cs="Times New Roman"/>
          <w:sz w:val="24"/>
          <w:szCs w:val="24"/>
        </w:rPr>
        <w:t xml:space="preserve"> </w:t>
      </w:r>
      <w:r w:rsidRPr="007D3A03">
        <w:rPr>
          <w:rFonts w:ascii="Times New Roman" w:hAnsi="Times New Roman" w:cs="Times New Roman"/>
          <w:sz w:val="24"/>
          <w:szCs w:val="24"/>
        </w:rPr>
        <w:t>o 1º grau de Jurisdição.</w:t>
      </w:r>
      <w:r w:rsidR="00C23726" w:rsidRPr="007D3A03">
        <w:rPr>
          <w:rFonts w:ascii="Times New Roman" w:hAnsi="Times New Roman" w:cs="Times New Roman"/>
          <w:sz w:val="24"/>
          <w:szCs w:val="24"/>
        </w:rPr>
        <w:t xml:space="preserve"> Sendo mantido no PEI do TRE-BA, em 2017, o Índice de tempo médio de tramitação dos processos de cassação de mandato eletivo, cuja fórmula consiste em aferir a Número de Processos Julgados no prazo de </w:t>
      </w:r>
      <w:proofErr w:type="gramStart"/>
      <w:r w:rsidR="00C23726" w:rsidRPr="007D3A03">
        <w:rPr>
          <w:rFonts w:ascii="Times New Roman" w:hAnsi="Times New Roman" w:cs="Times New Roman"/>
          <w:sz w:val="24"/>
          <w:szCs w:val="24"/>
        </w:rPr>
        <w:t>1</w:t>
      </w:r>
      <w:proofErr w:type="gramEnd"/>
      <w:r w:rsidR="00C23726" w:rsidRPr="007D3A03">
        <w:rPr>
          <w:rFonts w:ascii="Times New Roman" w:hAnsi="Times New Roman" w:cs="Times New Roman"/>
          <w:sz w:val="24"/>
          <w:szCs w:val="24"/>
        </w:rPr>
        <w:t xml:space="preserve"> ano (NPJ1), dividido pelo Número Total de Processo Julgados no ano (NTPJ), multiplicado por cem. Informou, por fim, que, quanto </w:t>
      </w:r>
      <w:proofErr w:type="gramStart"/>
      <w:r w:rsidR="00C23726" w:rsidRPr="007D3A03">
        <w:rPr>
          <w:rFonts w:ascii="Times New Roman" w:hAnsi="Times New Roman" w:cs="Times New Roman"/>
          <w:sz w:val="24"/>
          <w:szCs w:val="24"/>
        </w:rPr>
        <w:t>a</w:t>
      </w:r>
      <w:proofErr w:type="gramEnd"/>
      <w:r w:rsidR="00C23726" w:rsidRPr="007D3A03">
        <w:rPr>
          <w:rFonts w:ascii="Times New Roman" w:hAnsi="Times New Roman" w:cs="Times New Roman"/>
          <w:sz w:val="24"/>
          <w:szCs w:val="24"/>
        </w:rPr>
        <w:t xml:space="preserve"> meta publicar, até 31/12/2017, norma regulamentadora do Sistema de Governança e Gestão para a Justiça Eleitoral, a mesma não foi recepcionada pelo PEI do TRE-BA, tendo em vista que tratou de desafio para todo o Judiciário Eleitoral. Assim, a norma foi elaborada sob a capitania da Assessoria de Gestão Estratégica do TSE, em conjunto com os coordenadores da Rede de Governança Colaborativa da Justiça Eleitoral, entretanto, o normativo não foi publicado pelo TSE até o final de 2017.</w:t>
      </w:r>
    </w:p>
    <w:p w:rsidR="00AE2B73" w:rsidRPr="00775054" w:rsidRDefault="00AE2B73" w:rsidP="00AE2B7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r w:rsidR="00BD77FD">
        <w:rPr>
          <w:rFonts w:ascii="Times New Roman" w:hAnsi="Times New Roman" w:cs="Times New Roman"/>
          <w:i/>
          <w:color w:val="000000" w:themeColor="text1"/>
          <w:sz w:val="24"/>
          <w:szCs w:val="24"/>
        </w:rPr>
        <w:t>:</w:t>
      </w:r>
    </w:p>
    <w:p w:rsidR="00AE2B73" w:rsidRPr="001C1859" w:rsidRDefault="00D515B8" w:rsidP="00D515B8">
      <w:pPr>
        <w:numPr>
          <w:ilvl w:val="4"/>
          <w:numId w:val="1"/>
        </w:numPr>
        <w:spacing w:after="0" w:line="240" w:lineRule="auto"/>
        <w:jc w:val="both"/>
        <w:rPr>
          <w:rFonts w:ascii="Times New Roman" w:hAnsi="Times New Roman" w:cs="Times New Roman"/>
          <w:color w:val="000000" w:themeColor="text1"/>
          <w:sz w:val="24"/>
          <w:szCs w:val="24"/>
        </w:rPr>
      </w:pPr>
      <w:r w:rsidRPr="001C1859">
        <w:rPr>
          <w:rFonts w:ascii="Times New Roman" w:hAnsi="Times New Roman" w:cs="Times New Roman"/>
          <w:color w:val="000000" w:themeColor="text1"/>
          <w:sz w:val="24"/>
          <w:szCs w:val="24"/>
        </w:rPr>
        <w:t>Em que pese</w:t>
      </w:r>
      <w:r w:rsidR="00BD77FD" w:rsidRPr="001C1859">
        <w:rPr>
          <w:rFonts w:ascii="Times New Roman" w:hAnsi="Times New Roman" w:cs="Times New Roman"/>
          <w:color w:val="000000" w:themeColor="text1"/>
          <w:sz w:val="24"/>
          <w:szCs w:val="24"/>
        </w:rPr>
        <w:t>m</w:t>
      </w:r>
      <w:r w:rsidRPr="001C1859">
        <w:rPr>
          <w:rFonts w:ascii="Times New Roman" w:hAnsi="Times New Roman" w:cs="Times New Roman"/>
          <w:color w:val="000000" w:themeColor="text1"/>
          <w:sz w:val="24"/>
          <w:szCs w:val="24"/>
        </w:rPr>
        <w:t xml:space="preserve"> os esclarecimentos efetuados e a demonstração de preocupação da </w:t>
      </w:r>
      <w:r w:rsidR="002B4F83" w:rsidRPr="001C1859">
        <w:rPr>
          <w:rFonts w:ascii="Times New Roman" w:hAnsi="Times New Roman" w:cs="Times New Roman"/>
          <w:color w:val="000000" w:themeColor="text1"/>
          <w:sz w:val="24"/>
          <w:szCs w:val="24"/>
        </w:rPr>
        <w:t>COPEG</w:t>
      </w:r>
      <w:r w:rsidRPr="001C1859">
        <w:rPr>
          <w:rFonts w:ascii="Times New Roman" w:hAnsi="Times New Roman" w:cs="Times New Roman"/>
          <w:color w:val="000000" w:themeColor="text1"/>
          <w:sz w:val="24"/>
          <w:szCs w:val="24"/>
        </w:rPr>
        <w:t xml:space="preserve"> em realizar a adequação dos indicadores estratégicos do TRE-BA às Metas Nacionais e Específicas estabelecidas para o Poder Judiciário,</w:t>
      </w:r>
      <w:r w:rsidR="005A42EA" w:rsidRPr="001C1859">
        <w:rPr>
          <w:rFonts w:ascii="Times New Roman" w:hAnsi="Times New Roman" w:cs="Times New Roman"/>
          <w:color w:val="000000" w:themeColor="text1"/>
          <w:sz w:val="24"/>
          <w:szCs w:val="24"/>
        </w:rPr>
        <w:t xml:space="preserve"> e considerando, ainda, o quanto disposto no art. </w:t>
      </w:r>
      <w:r w:rsidR="00FB48DD" w:rsidRPr="001C1859">
        <w:rPr>
          <w:rFonts w:ascii="Times New Roman" w:hAnsi="Times New Roman" w:cs="Times New Roman"/>
          <w:color w:val="000000" w:themeColor="text1"/>
          <w:sz w:val="24"/>
          <w:szCs w:val="24"/>
        </w:rPr>
        <w:t>3</w:t>
      </w:r>
      <w:r w:rsidR="0043312F" w:rsidRPr="001C1859">
        <w:rPr>
          <w:rFonts w:ascii="Times New Roman" w:hAnsi="Times New Roman" w:cs="Times New Roman"/>
          <w:color w:val="000000" w:themeColor="text1"/>
          <w:sz w:val="24"/>
          <w:szCs w:val="24"/>
        </w:rPr>
        <w:t>º</w:t>
      </w:r>
      <w:r w:rsidR="00BD77FD" w:rsidRPr="001C1859">
        <w:rPr>
          <w:rFonts w:ascii="Times New Roman" w:hAnsi="Times New Roman" w:cs="Times New Roman"/>
          <w:color w:val="000000" w:themeColor="text1"/>
          <w:sz w:val="24"/>
          <w:szCs w:val="24"/>
        </w:rPr>
        <w:t xml:space="preserve">, inciso </w:t>
      </w:r>
      <w:r w:rsidR="00FB48DD" w:rsidRPr="001C1859">
        <w:rPr>
          <w:rFonts w:ascii="Times New Roman" w:hAnsi="Times New Roman" w:cs="Times New Roman"/>
          <w:color w:val="000000" w:themeColor="text1"/>
          <w:sz w:val="24"/>
          <w:szCs w:val="24"/>
        </w:rPr>
        <w:t>III</w:t>
      </w:r>
      <w:r w:rsidR="005A42EA" w:rsidRPr="001C1859">
        <w:rPr>
          <w:rFonts w:ascii="Times New Roman" w:hAnsi="Times New Roman" w:cs="Times New Roman"/>
          <w:color w:val="000000" w:themeColor="text1"/>
          <w:sz w:val="24"/>
          <w:szCs w:val="24"/>
        </w:rPr>
        <w:t>, da Resolução CNJ nº 198/2014</w:t>
      </w:r>
      <w:r w:rsidR="00FB48DD" w:rsidRPr="001C1859">
        <w:rPr>
          <w:rFonts w:ascii="Times New Roman" w:hAnsi="Times New Roman" w:cs="Times New Roman"/>
          <w:color w:val="000000" w:themeColor="text1"/>
          <w:sz w:val="24"/>
          <w:szCs w:val="24"/>
        </w:rPr>
        <w:t>,</w:t>
      </w:r>
      <w:r w:rsidR="005A42EA" w:rsidRPr="001C1859">
        <w:rPr>
          <w:rFonts w:ascii="Times New Roman" w:hAnsi="Times New Roman" w:cs="Times New Roman"/>
          <w:color w:val="000000" w:themeColor="text1"/>
          <w:sz w:val="24"/>
          <w:szCs w:val="24"/>
        </w:rPr>
        <w:t xml:space="preserve"> conclui-se que, </w:t>
      </w:r>
      <w:r w:rsidRPr="001C1859">
        <w:rPr>
          <w:rFonts w:ascii="Times New Roman" w:hAnsi="Times New Roman" w:cs="Times New Roman"/>
          <w:color w:val="000000" w:themeColor="text1"/>
          <w:sz w:val="24"/>
          <w:szCs w:val="24"/>
        </w:rPr>
        <w:t>enquanto não formalizada a</w:t>
      </w:r>
      <w:r w:rsidR="004B20CA" w:rsidRPr="001C1859">
        <w:rPr>
          <w:rFonts w:ascii="Times New Roman" w:hAnsi="Times New Roman" w:cs="Times New Roman"/>
          <w:color w:val="000000" w:themeColor="text1"/>
          <w:sz w:val="24"/>
          <w:szCs w:val="24"/>
        </w:rPr>
        <w:t xml:space="preserve"> </w:t>
      </w:r>
      <w:r w:rsidR="0043312F" w:rsidRPr="001C1859">
        <w:rPr>
          <w:rFonts w:ascii="Times New Roman" w:hAnsi="Times New Roman" w:cs="Times New Roman"/>
          <w:color w:val="000000" w:themeColor="text1"/>
          <w:sz w:val="24"/>
          <w:szCs w:val="24"/>
        </w:rPr>
        <w:t xml:space="preserve">efetiva </w:t>
      </w:r>
      <w:r w:rsidR="004B20CA" w:rsidRPr="001C1859">
        <w:rPr>
          <w:rFonts w:ascii="Times New Roman" w:hAnsi="Times New Roman" w:cs="Times New Roman"/>
          <w:color w:val="000000" w:themeColor="text1"/>
          <w:sz w:val="24"/>
          <w:szCs w:val="24"/>
        </w:rPr>
        <w:t xml:space="preserve">incorporação determinada pelo art. </w:t>
      </w:r>
      <w:r w:rsidR="00FB48DD" w:rsidRPr="001C1859">
        <w:rPr>
          <w:rFonts w:ascii="Times New Roman" w:hAnsi="Times New Roman" w:cs="Times New Roman"/>
          <w:color w:val="000000" w:themeColor="text1"/>
          <w:sz w:val="24"/>
          <w:szCs w:val="24"/>
        </w:rPr>
        <w:t>4</w:t>
      </w:r>
      <w:r w:rsidR="004B20CA" w:rsidRPr="001C1859">
        <w:rPr>
          <w:rFonts w:ascii="Times New Roman" w:hAnsi="Times New Roman" w:cs="Times New Roman"/>
          <w:color w:val="000000" w:themeColor="text1"/>
          <w:sz w:val="24"/>
          <w:szCs w:val="24"/>
        </w:rPr>
        <w:t>,</w:t>
      </w:r>
      <w:r w:rsidR="00FB48DD" w:rsidRPr="001C1859">
        <w:rPr>
          <w:rFonts w:ascii="Times New Roman" w:hAnsi="Times New Roman" w:cs="Times New Roman"/>
          <w:color w:val="000000" w:themeColor="text1"/>
          <w:sz w:val="24"/>
          <w:szCs w:val="24"/>
        </w:rPr>
        <w:t xml:space="preserve"> §</w:t>
      </w:r>
      <w:proofErr w:type="gramStart"/>
      <w:r w:rsidR="00FB48DD" w:rsidRPr="001C1859">
        <w:rPr>
          <w:rFonts w:ascii="Times New Roman" w:hAnsi="Times New Roman" w:cs="Times New Roman"/>
          <w:color w:val="000000" w:themeColor="text1"/>
          <w:sz w:val="24"/>
          <w:szCs w:val="24"/>
        </w:rPr>
        <w:t>1º, inciso</w:t>
      </w:r>
      <w:proofErr w:type="gramEnd"/>
      <w:r w:rsidR="00FB48DD" w:rsidRPr="001C1859">
        <w:rPr>
          <w:rFonts w:ascii="Times New Roman" w:hAnsi="Times New Roman" w:cs="Times New Roman"/>
          <w:color w:val="000000" w:themeColor="text1"/>
          <w:sz w:val="24"/>
          <w:szCs w:val="24"/>
        </w:rPr>
        <w:t xml:space="preserve"> III </w:t>
      </w:r>
      <w:r w:rsidR="005A42EA" w:rsidRPr="001C1859">
        <w:rPr>
          <w:rFonts w:ascii="Times New Roman" w:hAnsi="Times New Roman" w:cs="Times New Roman"/>
          <w:color w:val="000000" w:themeColor="text1"/>
          <w:sz w:val="24"/>
          <w:szCs w:val="24"/>
        </w:rPr>
        <w:t>do sobredito normativo,</w:t>
      </w:r>
      <w:r w:rsidR="004B20CA" w:rsidRPr="001C1859">
        <w:rPr>
          <w:rFonts w:ascii="Times New Roman" w:hAnsi="Times New Roman" w:cs="Times New Roman"/>
          <w:color w:val="000000" w:themeColor="text1"/>
          <w:sz w:val="24"/>
          <w:szCs w:val="24"/>
        </w:rPr>
        <w:t xml:space="preserve"> subsistirá a </w:t>
      </w:r>
      <w:r w:rsidRPr="001C1859">
        <w:rPr>
          <w:rFonts w:ascii="Times New Roman" w:hAnsi="Times New Roman" w:cs="Times New Roman"/>
          <w:color w:val="000000" w:themeColor="text1"/>
          <w:sz w:val="24"/>
          <w:szCs w:val="24"/>
        </w:rPr>
        <w:t>fragilidade ora evidenciada</w:t>
      </w:r>
      <w:r w:rsidR="002B4F83" w:rsidRPr="001C1859">
        <w:rPr>
          <w:rFonts w:ascii="Times New Roman" w:hAnsi="Times New Roman" w:cs="Times New Roman"/>
          <w:color w:val="000000" w:themeColor="text1"/>
          <w:sz w:val="24"/>
          <w:szCs w:val="24"/>
        </w:rPr>
        <w:t>.</w:t>
      </w:r>
    </w:p>
    <w:p w:rsidR="00AE2B73" w:rsidRPr="00775054" w:rsidRDefault="00AE2B73" w:rsidP="00AE2B73">
      <w:pPr>
        <w:pStyle w:val="PargrafodaLista"/>
        <w:numPr>
          <w:ilvl w:val="2"/>
          <w:numId w:val="1"/>
        </w:numPr>
        <w:spacing w:before="120"/>
        <w:jc w:val="both"/>
        <w:rPr>
          <w:b w:val="0"/>
          <w:color w:val="000000" w:themeColor="text1"/>
          <w:sz w:val="24"/>
          <w:szCs w:val="24"/>
          <w:u w:val="single"/>
        </w:rPr>
      </w:pPr>
      <w:bookmarkStart w:id="19" w:name="_Toc511288066"/>
      <w:r w:rsidRPr="00775054">
        <w:rPr>
          <w:b w:val="0"/>
          <w:color w:val="000000" w:themeColor="text1"/>
          <w:sz w:val="24"/>
          <w:szCs w:val="24"/>
          <w:u w:val="single"/>
        </w:rPr>
        <w:lastRenderedPageBreak/>
        <w:t>Vinculação hierárquica da Unidade de Gestão Estratégica à Secretaria do Tribunal</w:t>
      </w:r>
      <w:bookmarkEnd w:id="19"/>
    </w:p>
    <w:p w:rsidR="00AE2B73" w:rsidRPr="00775054" w:rsidRDefault="00AE2B73" w:rsidP="00AE2B7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Situação encontrada:</w:t>
      </w:r>
    </w:p>
    <w:p w:rsidR="00AE2B73" w:rsidRPr="00775054" w:rsidRDefault="00AE2B73" w:rsidP="00AE2B7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O art. 2º da Resolução CNJ nº 49/2007 dispõe que o núcleo de estatística e gestão estratégica, subordinado ao Presidente ou Corregedor dos Tribunais, deverá subsidiar o processo decisório dos magistrados conforme princípios estritamente profissionais, científicos e éticos. Nessa linha de estrutura organizacional, verificou-se que, no Supremo Tribunal Federal (STF), Tribunal Superior do Trabalho (TST), Tribunal Regional Eleitoral de Pernambuco (TRE-PE), Tribunal Regional Eleitoral da Paraíba (TRE-PB), Tribunal Regional Eleitoral de Mato Grosso (TRE-MT) e Tribunal Regional Eleitoral de Roraima (TRE-RR), as Unidades de Gestão Estratégica estão vinculadas hierarquicamente à Presidência dos respectivos Tribunais. A Unida</w:t>
      </w:r>
      <w:r w:rsidR="004B20CA">
        <w:rPr>
          <w:rFonts w:ascii="Times New Roman" w:hAnsi="Times New Roman" w:cs="Times New Roman"/>
          <w:color w:val="000000" w:themeColor="text1"/>
          <w:sz w:val="24"/>
          <w:szCs w:val="24"/>
        </w:rPr>
        <w:t>de de Gestão Estratégica do TRE-</w:t>
      </w:r>
      <w:r w:rsidRPr="00775054">
        <w:rPr>
          <w:rFonts w:ascii="Times New Roman" w:hAnsi="Times New Roman" w:cs="Times New Roman"/>
          <w:color w:val="000000" w:themeColor="text1"/>
          <w:sz w:val="24"/>
          <w:szCs w:val="24"/>
        </w:rPr>
        <w:t xml:space="preserve">BA (COPEG), contudo, nos termos do art. 34 da Resolução Administrativa TRE-BA nº 5/2013, </w:t>
      </w:r>
      <w:r w:rsidR="004B20CA">
        <w:rPr>
          <w:rFonts w:ascii="Times New Roman" w:hAnsi="Times New Roman" w:cs="Times New Roman"/>
          <w:color w:val="000000" w:themeColor="text1"/>
          <w:sz w:val="24"/>
          <w:szCs w:val="24"/>
        </w:rPr>
        <w:t>encontra-se</w:t>
      </w:r>
      <w:r w:rsidRPr="00775054">
        <w:rPr>
          <w:rFonts w:ascii="Times New Roman" w:hAnsi="Times New Roman" w:cs="Times New Roman"/>
          <w:color w:val="000000" w:themeColor="text1"/>
          <w:sz w:val="24"/>
          <w:szCs w:val="24"/>
        </w:rPr>
        <w:t xml:space="preserve"> vinculada hierarquicamente </w:t>
      </w:r>
      <w:r w:rsidR="004B20CA">
        <w:rPr>
          <w:rFonts w:ascii="Times New Roman" w:hAnsi="Times New Roman" w:cs="Times New Roman"/>
          <w:color w:val="000000" w:themeColor="text1"/>
          <w:sz w:val="24"/>
          <w:szCs w:val="24"/>
        </w:rPr>
        <w:t xml:space="preserve">à </w:t>
      </w:r>
      <w:r w:rsidR="006D7FC1" w:rsidRPr="007D3A03">
        <w:rPr>
          <w:rFonts w:ascii="Times New Roman" w:hAnsi="Times New Roman" w:cs="Times New Roman"/>
          <w:sz w:val="24"/>
          <w:szCs w:val="24"/>
        </w:rPr>
        <w:t>Diretoria</w:t>
      </w:r>
      <w:r w:rsidR="004B20CA" w:rsidRPr="007D3A03">
        <w:rPr>
          <w:rFonts w:ascii="Times New Roman" w:hAnsi="Times New Roman" w:cs="Times New Roman"/>
          <w:sz w:val="24"/>
          <w:szCs w:val="24"/>
        </w:rPr>
        <w:t>-</w:t>
      </w:r>
      <w:r w:rsidR="004B20CA">
        <w:rPr>
          <w:rFonts w:ascii="Times New Roman" w:hAnsi="Times New Roman" w:cs="Times New Roman"/>
          <w:color w:val="000000" w:themeColor="text1"/>
          <w:sz w:val="24"/>
          <w:szCs w:val="24"/>
        </w:rPr>
        <w:t>Geral</w:t>
      </w:r>
      <w:r w:rsidRPr="00775054">
        <w:rPr>
          <w:rFonts w:ascii="Times New Roman" w:hAnsi="Times New Roman" w:cs="Times New Roman"/>
          <w:color w:val="000000" w:themeColor="text1"/>
          <w:sz w:val="24"/>
          <w:szCs w:val="24"/>
        </w:rPr>
        <w:t xml:space="preserve"> da Secretaria do Tribunal. Ressalte-se, por fi</w:t>
      </w:r>
      <w:r w:rsidR="004B20CA">
        <w:rPr>
          <w:rFonts w:ascii="Times New Roman" w:hAnsi="Times New Roman" w:cs="Times New Roman"/>
          <w:color w:val="000000" w:themeColor="text1"/>
          <w:sz w:val="24"/>
          <w:szCs w:val="24"/>
        </w:rPr>
        <w:t>m, que o Presidente do Ó</w:t>
      </w:r>
      <w:r w:rsidRPr="00775054">
        <w:rPr>
          <w:rFonts w:ascii="Times New Roman" w:hAnsi="Times New Roman" w:cs="Times New Roman"/>
          <w:color w:val="000000" w:themeColor="text1"/>
          <w:sz w:val="24"/>
          <w:szCs w:val="24"/>
        </w:rPr>
        <w:t xml:space="preserve">rgão, por ocasião de validação da entrevista realizada pela SEAUD, PAD nº 16.210/2017 (Doc. nº 4.915/2018), informou </w:t>
      </w:r>
      <w:r w:rsidR="004B20CA">
        <w:rPr>
          <w:rFonts w:ascii="Times New Roman" w:hAnsi="Times New Roman" w:cs="Times New Roman"/>
          <w:color w:val="000000" w:themeColor="text1"/>
          <w:sz w:val="24"/>
          <w:szCs w:val="24"/>
        </w:rPr>
        <w:t>já haver determinado</w:t>
      </w:r>
      <w:r w:rsidRPr="00775054">
        <w:rPr>
          <w:rFonts w:ascii="Times New Roman" w:hAnsi="Times New Roman" w:cs="Times New Roman"/>
          <w:color w:val="000000" w:themeColor="text1"/>
          <w:sz w:val="24"/>
          <w:szCs w:val="24"/>
        </w:rPr>
        <w:t xml:space="preserve"> à ASSESP, em conjunto com a Diretora</w:t>
      </w:r>
      <w:r w:rsidR="004B20CA">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Gera</w:t>
      </w:r>
      <w:r w:rsidR="00121876" w:rsidRPr="00775054">
        <w:rPr>
          <w:rFonts w:ascii="Times New Roman" w:hAnsi="Times New Roman" w:cs="Times New Roman"/>
          <w:color w:val="000000" w:themeColor="text1"/>
          <w:sz w:val="24"/>
          <w:szCs w:val="24"/>
        </w:rPr>
        <w:t>l</w:t>
      </w:r>
      <w:r w:rsidRPr="00775054">
        <w:rPr>
          <w:rFonts w:ascii="Times New Roman" w:hAnsi="Times New Roman" w:cs="Times New Roman"/>
          <w:color w:val="000000" w:themeColor="text1"/>
          <w:sz w:val="24"/>
          <w:szCs w:val="24"/>
        </w:rPr>
        <w:t>,</w:t>
      </w:r>
      <w:r w:rsidR="00121876"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 xml:space="preserve">a realização de estudo quanto à </w:t>
      </w:r>
      <w:r w:rsidR="004B20CA">
        <w:rPr>
          <w:rFonts w:ascii="Times New Roman" w:hAnsi="Times New Roman" w:cs="Times New Roman"/>
          <w:color w:val="000000" w:themeColor="text1"/>
          <w:sz w:val="24"/>
          <w:szCs w:val="24"/>
        </w:rPr>
        <w:t xml:space="preserve">melhor </w:t>
      </w:r>
      <w:r w:rsidRPr="00775054">
        <w:rPr>
          <w:rFonts w:ascii="Times New Roman" w:hAnsi="Times New Roman" w:cs="Times New Roman"/>
          <w:color w:val="000000" w:themeColor="text1"/>
          <w:sz w:val="24"/>
          <w:szCs w:val="24"/>
        </w:rPr>
        <w:t xml:space="preserve">vinculação da </w:t>
      </w:r>
      <w:r w:rsidR="004B20CA">
        <w:rPr>
          <w:rFonts w:ascii="Times New Roman" w:hAnsi="Times New Roman" w:cs="Times New Roman"/>
          <w:color w:val="000000" w:themeColor="text1"/>
          <w:sz w:val="24"/>
          <w:szCs w:val="24"/>
        </w:rPr>
        <w:t>COPEG</w:t>
      </w:r>
      <w:r w:rsidRPr="00775054">
        <w:rPr>
          <w:rFonts w:ascii="Times New Roman" w:hAnsi="Times New Roman" w:cs="Times New Roman"/>
          <w:color w:val="000000" w:themeColor="text1"/>
          <w:sz w:val="24"/>
          <w:szCs w:val="24"/>
        </w:rPr>
        <w:t>, em observância à Resolução CNJ nº 49/2007</w:t>
      </w:r>
      <w:r w:rsidR="00BD77FD">
        <w:rPr>
          <w:rFonts w:ascii="Times New Roman" w:hAnsi="Times New Roman" w:cs="Times New Roman"/>
          <w:color w:val="000000" w:themeColor="text1"/>
          <w:sz w:val="24"/>
          <w:szCs w:val="24"/>
        </w:rPr>
        <w:t>.</w:t>
      </w:r>
    </w:p>
    <w:p w:rsidR="00AE2B73" w:rsidRPr="00775054" w:rsidRDefault="00AE2B73" w:rsidP="00AE2B7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Critério(s):</w:t>
      </w:r>
    </w:p>
    <w:p w:rsidR="00AE2B73" w:rsidRPr="00775054" w:rsidRDefault="00AE2B73" w:rsidP="00AE2B7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Resolução CNJ nº 49/2007</w:t>
      </w:r>
      <w:r w:rsidR="004B20CA">
        <w:rPr>
          <w:rFonts w:ascii="Times New Roman" w:hAnsi="Times New Roman" w:cs="Times New Roman"/>
          <w:color w:val="000000" w:themeColor="text1"/>
          <w:sz w:val="24"/>
          <w:szCs w:val="24"/>
        </w:rPr>
        <w:t xml:space="preserve">, </w:t>
      </w:r>
      <w:r w:rsidR="004B20CA" w:rsidRPr="00BD77FD">
        <w:rPr>
          <w:rFonts w:ascii="Times New Roman" w:hAnsi="Times New Roman" w:cs="Times New Roman"/>
          <w:sz w:val="24"/>
          <w:szCs w:val="24"/>
        </w:rPr>
        <w:t>art. 2º</w:t>
      </w:r>
      <w:r w:rsidRPr="00775054">
        <w:rPr>
          <w:rFonts w:ascii="Times New Roman" w:hAnsi="Times New Roman" w:cs="Times New Roman"/>
          <w:color w:val="000000" w:themeColor="text1"/>
          <w:sz w:val="24"/>
          <w:szCs w:val="24"/>
        </w:rPr>
        <w:t xml:space="preserve">; Resolução Administrativa TRE-BA nº 5/2013, art. 6º; e </w:t>
      </w:r>
      <w:r w:rsidR="004B20CA" w:rsidRPr="00775054">
        <w:rPr>
          <w:rFonts w:ascii="Times New Roman" w:hAnsi="Times New Roman" w:cs="Times New Roman"/>
          <w:color w:val="000000" w:themeColor="text1"/>
          <w:sz w:val="24"/>
          <w:szCs w:val="24"/>
        </w:rPr>
        <w:t xml:space="preserve">Referencial </w:t>
      </w:r>
      <w:r w:rsidR="004B20CA">
        <w:rPr>
          <w:rFonts w:ascii="Times New Roman" w:hAnsi="Times New Roman" w:cs="Times New Roman"/>
          <w:color w:val="000000" w:themeColor="text1"/>
          <w:sz w:val="24"/>
          <w:szCs w:val="24"/>
        </w:rPr>
        <w:t>B</w:t>
      </w:r>
      <w:r w:rsidR="004B20CA" w:rsidRPr="00775054">
        <w:rPr>
          <w:rFonts w:ascii="Times New Roman" w:hAnsi="Times New Roman" w:cs="Times New Roman"/>
          <w:color w:val="000000" w:themeColor="text1"/>
          <w:sz w:val="24"/>
          <w:szCs w:val="24"/>
        </w:rPr>
        <w:t xml:space="preserve">ásico de </w:t>
      </w:r>
      <w:r w:rsidR="004B20CA">
        <w:rPr>
          <w:rFonts w:ascii="Times New Roman" w:hAnsi="Times New Roman" w:cs="Times New Roman"/>
          <w:color w:val="000000" w:themeColor="text1"/>
          <w:sz w:val="24"/>
          <w:szCs w:val="24"/>
        </w:rPr>
        <w:t>G</w:t>
      </w:r>
      <w:r w:rsidR="004B20CA" w:rsidRPr="00775054">
        <w:rPr>
          <w:rFonts w:ascii="Times New Roman" w:hAnsi="Times New Roman" w:cs="Times New Roman"/>
          <w:color w:val="000000" w:themeColor="text1"/>
          <w:sz w:val="24"/>
          <w:szCs w:val="24"/>
        </w:rPr>
        <w:t xml:space="preserve">overnança, </w:t>
      </w:r>
      <w:r w:rsidR="004B20CA">
        <w:rPr>
          <w:rFonts w:ascii="Times New Roman" w:hAnsi="Times New Roman" w:cs="Times New Roman"/>
          <w:color w:val="000000" w:themeColor="text1"/>
          <w:sz w:val="24"/>
          <w:szCs w:val="24"/>
        </w:rPr>
        <w:t xml:space="preserve">TCU, </w:t>
      </w:r>
      <w:r w:rsidR="004B20CA" w:rsidRPr="00775054">
        <w:rPr>
          <w:rFonts w:ascii="Times New Roman" w:hAnsi="Times New Roman" w:cs="Times New Roman"/>
          <w:color w:val="000000" w:themeColor="text1"/>
          <w:sz w:val="24"/>
          <w:szCs w:val="24"/>
        </w:rPr>
        <w:t>Versão 2 – 2014,</w:t>
      </w:r>
      <w:r w:rsidR="00BD77FD" w:rsidRPr="00775054">
        <w:rPr>
          <w:rFonts w:ascii="Times New Roman" w:hAnsi="Times New Roman" w:cs="Times New Roman"/>
          <w:color w:val="000000" w:themeColor="text1"/>
          <w:sz w:val="24"/>
          <w:szCs w:val="24"/>
        </w:rPr>
        <w:t xml:space="preserve"> </w:t>
      </w:r>
      <w:r w:rsidRPr="00775054">
        <w:rPr>
          <w:rFonts w:ascii="Times New Roman" w:hAnsi="Times New Roman" w:cs="Times New Roman"/>
          <w:color w:val="000000" w:themeColor="text1"/>
          <w:sz w:val="24"/>
          <w:szCs w:val="24"/>
        </w:rPr>
        <w:t xml:space="preserve">Prática </w:t>
      </w:r>
      <w:proofErr w:type="gramStart"/>
      <w:r w:rsidRPr="00775054">
        <w:rPr>
          <w:rFonts w:ascii="Times New Roman" w:hAnsi="Times New Roman" w:cs="Times New Roman"/>
          <w:color w:val="000000" w:themeColor="text1"/>
          <w:sz w:val="24"/>
          <w:szCs w:val="24"/>
        </w:rPr>
        <w:t>L3.</w:t>
      </w:r>
      <w:proofErr w:type="gramEnd"/>
      <w:r w:rsidRPr="00775054">
        <w:rPr>
          <w:rFonts w:ascii="Times New Roman" w:hAnsi="Times New Roman" w:cs="Times New Roman"/>
          <w:color w:val="000000" w:themeColor="text1"/>
          <w:sz w:val="24"/>
          <w:szCs w:val="24"/>
        </w:rPr>
        <w:t>2.</w:t>
      </w:r>
    </w:p>
    <w:p w:rsidR="00AE2B73" w:rsidRPr="00775054" w:rsidRDefault="00AE2B73" w:rsidP="00AE2B7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Causa(s):</w:t>
      </w:r>
    </w:p>
    <w:p w:rsidR="00AE2B73" w:rsidRPr="00775054" w:rsidRDefault="00AE2B73" w:rsidP="00AE2B7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Incipiente cultura organizacional em orientação para resultados</w:t>
      </w:r>
      <w:r w:rsidR="004B20CA">
        <w:rPr>
          <w:rFonts w:ascii="Times New Roman" w:hAnsi="Times New Roman" w:cs="Times New Roman"/>
          <w:color w:val="000000" w:themeColor="text1"/>
          <w:sz w:val="24"/>
          <w:szCs w:val="24"/>
        </w:rPr>
        <w:t>.</w:t>
      </w:r>
    </w:p>
    <w:p w:rsidR="00AE2B73" w:rsidRPr="00775054" w:rsidRDefault="00AE2B73" w:rsidP="00AE2B7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Efeito(s) (real ou potencial):</w:t>
      </w:r>
    </w:p>
    <w:p w:rsidR="00AE2B73" w:rsidRPr="004B20CA" w:rsidRDefault="00AE2B73" w:rsidP="00AE2B73">
      <w:pPr>
        <w:numPr>
          <w:ilvl w:val="4"/>
          <w:numId w:val="1"/>
        </w:numPr>
        <w:spacing w:after="0" w:line="240" w:lineRule="auto"/>
        <w:jc w:val="both"/>
        <w:rPr>
          <w:rFonts w:ascii="Times New Roman" w:hAnsi="Times New Roman" w:cs="Times New Roman"/>
          <w:color w:val="00B050"/>
          <w:sz w:val="24"/>
          <w:szCs w:val="24"/>
        </w:rPr>
      </w:pPr>
      <w:r w:rsidRPr="00775054">
        <w:rPr>
          <w:rFonts w:ascii="Times New Roman" w:hAnsi="Times New Roman" w:cs="Times New Roman"/>
          <w:color w:val="000000" w:themeColor="text1"/>
          <w:sz w:val="24"/>
          <w:szCs w:val="24"/>
        </w:rPr>
        <w:t>Potencial perda de eficiência operacional na execução da estratégia institucional; compromet</w:t>
      </w:r>
      <w:r w:rsidR="004B20CA">
        <w:rPr>
          <w:rFonts w:ascii="Times New Roman" w:hAnsi="Times New Roman" w:cs="Times New Roman"/>
          <w:color w:val="000000" w:themeColor="text1"/>
          <w:sz w:val="24"/>
          <w:szCs w:val="24"/>
        </w:rPr>
        <w:t xml:space="preserve">imento do fluxo de informações </w:t>
      </w:r>
      <w:r w:rsidRPr="00775054">
        <w:rPr>
          <w:rFonts w:ascii="Times New Roman" w:hAnsi="Times New Roman" w:cs="Times New Roman"/>
          <w:color w:val="000000" w:themeColor="text1"/>
          <w:sz w:val="24"/>
          <w:szCs w:val="24"/>
        </w:rPr>
        <w:t>e da tomada de decisão atinentes à estratégia organizacional; não cumprimento ou cumprimento deficiente dos objetivos estratégicos, iniciativas e metas associadas; e execução deficiente do planejamento</w:t>
      </w:r>
      <w:r w:rsidR="004B20CA">
        <w:rPr>
          <w:rFonts w:ascii="Times New Roman" w:hAnsi="Times New Roman" w:cs="Times New Roman"/>
          <w:color w:val="000000" w:themeColor="text1"/>
          <w:sz w:val="24"/>
          <w:szCs w:val="24"/>
        </w:rPr>
        <w:t xml:space="preserve"> </w:t>
      </w:r>
      <w:r w:rsidR="00BD77FD" w:rsidRPr="00BD77FD">
        <w:rPr>
          <w:rFonts w:ascii="Times New Roman" w:hAnsi="Times New Roman" w:cs="Times New Roman"/>
          <w:sz w:val="24"/>
          <w:szCs w:val="24"/>
        </w:rPr>
        <w:t>estratégico</w:t>
      </w:r>
      <w:r w:rsidR="00BD77FD" w:rsidRPr="0043312F">
        <w:rPr>
          <w:rFonts w:ascii="Times New Roman" w:hAnsi="Times New Roman" w:cs="Times New Roman"/>
          <w:sz w:val="24"/>
          <w:szCs w:val="24"/>
        </w:rPr>
        <w:t>.</w:t>
      </w:r>
    </w:p>
    <w:p w:rsidR="00AE2B73" w:rsidRPr="00775054" w:rsidRDefault="00AE2B73" w:rsidP="00AE2B73">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Evidência(s):</w:t>
      </w:r>
    </w:p>
    <w:p w:rsidR="00AE2B73" w:rsidRPr="00775054" w:rsidRDefault="00EA1F7A" w:rsidP="00EA1F7A">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PAD nº 14.848/2017 (Doc. nº 207.238/2017) - Extrato de Entrevista. PAD nº 16.210/2017 (Doc. nº 4.915/2018); e PAD nº 16.210/2017 - (Doc. nº 4.915/2018).</w:t>
      </w:r>
    </w:p>
    <w:p w:rsidR="00EA1F7A" w:rsidRPr="00775054" w:rsidRDefault="00EA1F7A" w:rsidP="00EA1F7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Esclarecimentos dos responsávei</w:t>
      </w:r>
      <w:r w:rsidR="00355E37">
        <w:rPr>
          <w:rFonts w:ascii="Times New Roman" w:hAnsi="Times New Roman" w:cs="Times New Roman"/>
          <w:i/>
          <w:color w:val="000000" w:themeColor="text1"/>
          <w:sz w:val="24"/>
          <w:szCs w:val="24"/>
        </w:rPr>
        <w:t>s</w:t>
      </w:r>
      <w:r w:rsidRPr="00775054">
        <w:rPr>
          <w:rFonts w:ascii="Times New Roman" w:hAnsi="Times New Roman" w:cs="Times New Roman"/>
          <w:i/>
          <w:color w:val="000000" w:themeColor="text1"/>
          <w:sz w:val="24"/>
          <w:szCs w:val="24"/>
        </w:rPr>
        <w:t>:</w:t>
      </w:r>
    </w:p>
    <w:p w:rsidR="00EA1F7A" w:rsidRPr="00775054" w:rsidRDefault="002B4F83" w:rsidP="002B4F83">
      <w:pPr>
        <w:numPr>
          <w:ilvl w:val="4"/>
          <w:numId w:val="1"/>
        </w:numPr>
        <w:spacing w:after="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Em resposta à RDI nº 6/2018 (PAD nº 1.307/2018, D</w:t>
      </w:r>
      <w:r w:rsidR="004B20CA">
        <w:rPr>
          <w:rFonts w:ascii="Times New Roman" w:hAnsi="Times New Roman" w:cs="Times New Roman"/>
          <w:color w:val="000000" w:themeColor="text1"/>
          <w:sz w:val="24"/>
          <w:szCs w:val="24"/>
        </w:rPr>
        <w:t>oc. nº 23.874/2018), a Diretora-</w:t>
      </w:r>
      <w:r w:rsidRPr="00775054">
        <w:rPr>
          <w:rFonts w:ascii="Times New Roman" w:hAnsi="Times New Roman" w:cs="Times New Roman"/>
          <w:color w:val="000000" w:themeColor="text1"/>
          <w:sz w:val="24"/>
          <w:szCs w:val="24"/>
        </w:rPr>
        <w:t>Geral informou que alteração de Regulamento da Secretaria do Tribunal é de competência privativa do Presidente do TRE-BA</w:t>
      </w:r>
      <w:r w:rsidR="00703820" w:rsidRPr="00775054">
        <w:rPr>
          <w:rFonts w:ascii="Times New Roman" w:hAnsi="Times New Roman" w:cs="Times New Roman"/>
          <w:color w:val="000000" w:themeColor="text1"/>
          <w:sz w:val="24"/>
          <w:szCs w:val="24"/>
        </w:rPr>
        <w:t xml:space="preserve"> </w:t>
      </w:r>
      <w:proofErr w:type="gramStart"/>
      <w:r w:rsidR="00703820" w:rsidRPr="00775054">
        <w:rPr>
          <w:rFonts w:ascii="Times New Roman" w:hAnsi="Times New Roman" w:cs="Times New Roman"/>
          <w:color w:val="000000" w:themeColor="text1"/>
          <w:sz w:val="24"/>
          <w:szCs w:val="24"/>
        </w:rPr>
        <w:t>(</w:t>
      </w:r>
      <w:proofErr w:type="spellStart"/>
      <w:r w:rsidR="00703820" w:rsidRPr="00775054">
        <w:rPr>
          <w:rFonts w:ascii="Times New Roman" w:hAnsi="Times New Roman" w:cs="Times New Roman"/>
          <w:color w:val="000000" w:themeColor="text1"/>
          <w:sz w:val="24"/>
          <w:szCs w:val="24"/>
        </w:rPr>
        <w:t>arts</w:t>
      </w:r>
      <w:proofErr w:type="spellEnd"/>
      <w:r w:rsidR="00703820" w:rsidRPr="00775054">
        <w:rPr>
          <w:rFonts w:ascii="Times New Roman" w:hAnsi="Times New Roman" w:cs="Times New Roman"/>
          <w:color w:val="000000" w:themeColor="text1"/>
          <w:sz w:val="24"/>
          <w:szCs w:val="24"/>
        </w:rPr>
        <w:t>.</w:t>
      </w:r>
      <w:proofErr w:type="gramEnd"/>
      <w:r w:rsidR="00703820" w:rsidRPr="00775054">
        <w:rPr>
          <w:rFonts w:ascii="Times New Roman" w:hAnsi="Times New Roman" w:cs="Times New Roman"/>
          <w:color w:val="000000" w:themeColor="text1"/>
          <w:sz w:val="24"/>
          <w:szCs w:val="24"/>
        </w:rPr>
        <w:t xml:space="preserve"> 32, IV e 180, §1º e 2º da Resolução Administrativa nº 1/2017.</w:t>
      </w:r>
    </w:p>
    <w:p w:rsidR="00EA1F7A" w:rsidRPr="00775054" w:rsidRDefault="00EA1F7A" w:rsidP="00EA1F7A">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775054">
        <w:rPr>
          <w:rFonts w:ascii="Times New Roman" w:hAnsi="Times New Roman" w:cs="Times New Roman"/>
          <w:i/>
          <w:color w:val="000000" w:themeColor="text1"/>
          <w:sz w:val="24"/>
          <w:szCs w:val="24"/>
        </w:rPr>
        <w:t>Conclusão da equipe de auditoria:</w:t>
      </w:r>
    </w:p>
    <w:p w:rsidR="00A20D74" w:rsidRPr="004E35EB" w:rsidRDefault="00A20D74" w:rsidP="00703820">
      <w:pPr>
        <w:numPr>
          <w:ilvl w:val="4"/>
          <w:numId w:val="1"/>
        </w:numPr>
        <w:spacing w:after="0" w:line="240" w:lineRule="auto"/>
        <w:jc w:val="both"/>
        <w:rPr>
          <w:rFonts w:ascii="Times New Roman" w:hAnsi="Times New Roman" w:cs="Times New Roman"/>
          <w:color w:val="000000" w:themeColor="text1"/>
          <w:spacing w:val="-2"/>
          <w:sz w:val="24"/>
          <w:szCs w:val="24"/>
        </w:rPr>
      </w:pPr>
      <w:r w:rsidRPr="004E35EB">
        <w:rPr>
          <w:rFonts w:ascii="Times New Roman" w:hAnsi="Times New Roman" w:cs="Times New Roman"/>
          <w:color w:val="000000" w:themeColor="text1"/>
          <w:spacing w:val="-2"/>
          <w:sz w:val="24"/>
          <w:szCs w:val="24"/>
        </w:rPr>
        <w:t xml:space="preserve">Preliminarmente, registre-se superveniência de reestruturação administrativa da Secretaria do TRE-BA, por meio da Resolução Administrativa TRE-BA nº </w:t>
      </w:r>
      <w:r w:rsidR="006A6B99" w:rsidRPr="007D3A03">
        <w:rPr>
          <w:rFonts w:ascii="Times New Roman" w:hAnsi="Times New Roman" w:cs="Times New Roman"/>
          <w:spacing w:val="-2"/>
          <w:sz w:val="24"/>
          <w:szCs w:val="24"/>
        </w:rPr>
        <w:t>12</w:t>
      </w:r>
      <w:r w:rsidRPr="007D3A03">
        <w:rPr>
          <w:rFonts w:ascii="Times New Roman" w:hAnsi="Times New Roman" w:cs="Times New Roman"/>
          <w:spacing w:val="-2"/>
          <w:sz w:val="24"/>
          <w:szCs w:val="24"/>
        </w:rPr>
        <w:t xml:space="preserve">, </w:t>
      </w:r>
      <w:r w:rsidR="00506CE1" w:rsidRPr="007D3A03">
        <w:rPr>
          <w:rFonts w:ascii="Times New Roman" w:hAnsi="Times New Roman" w:cs="Times New Roman"/>
          <w:spacing w:val="-2"/>
          <w:sz w:val="24"/>
          <w:szCs w:val="24"/>
        </w:rPr>
        <w:t xml:space="preserve">de </w:t>
      </w:r>
      <w:r w:rsidR="006A6B99" w:rsidRPr="007D3A03">
        <w:rPr>
          <w:rFonts w:ascii="Times New Roman" w:hAnsi="Times New Roman" w:cs="Times New Roman"/>
          <w:spacing w:val="-2"/>
          <w:sz w:val="24"/>
          <w:szCs w:val="24"/>
        </w:rPr>
        <w:t>30</w:t>
      </w:r>
      <w:r w:rsidR="00506CE1" w:rsidRPr="007D3A03">
        <w:rPr>
          <w:rFonts w:ascii="Times New Roman" w:hAnsi="Times New Roman" w:cs="Times New Roman"/>
          <w:spacing w:val="-2"/>
          <w:sz w:val="24"/>
          <w:szCs w:val="24"/>
        </w:rPr>
        <w:t xml:space="preserve"> de </w:t>
      </w:r>
      <w:r w:rsidR="00506CE1" w:rsidRPr="004E35EB">
        <w:rPr>
          <w:rFonts w:ascii="Times New Roman" w:hAnsi="Times New Roman" w:cs="Times New Roman"/>
          <w:color w:val="000000" w:themeColor="text1"/>
          <w:spacing w:val="-2"/>
          <w:sz w:val="24"/>
          <w:szCs w:val="24"/>
        </w:rPr>
        <w:t xml:space="preserve">abril </w:t>
      </w:r>
      <w:r w:rsidRPr="004E35EB">
        <w:rPr>
          <w:rFonts w:ascii="Times New Roman" w:hAnsi="Times New Roman" w:cs="Times New Roman"/>
          <w:color w:val="000000" w:themeColor="text1"/>
          <w:spacing w:val="-2"/>
          <w:sz w:val="24"/>
          <w:szCs w:val="24"/>
        </w:rPr>
        <w:t>de 2018, que procedeu ao reposicionamento da COPEG, na estrutura administrativa do Órgão, vinculando-a diretamente à Presidência</w:t>
      </w:r>
      <w:r w:rsidR="00506CE1" w:rsidRPr="004E35EB">
        <w:rPr>
          <w:rFonts w:ascii="Times New Roman" w:hAnsi="Times New Roman" w:cs="Times New Roman"/>
          <w:color w:val="000000" w:themeColor="text1"/>
          <w:spacing w:val="-2"/>
          <w:sz w:val="24"/>
          <w:szCs w:val="24"/>
        </w:rPr>
        <w:t>.</w:t>
      </w:r>
    </w:p>
    <w:p w:rsidR="00703820" w:rsidRPr="004E35EB" w:rsidRDefault="00506CE1" w:rsidP="00703820">
      <w:pPr>
        <w:numPr>
          <w:ilvl w:val="4"/>
          <w:numId w:val="1"/>
        </w:numPr>
        <w:spacing w:after="0" w:line="240" w:lineRule="auto"/>
        <w:jc w:val="both"/>
        <w:rPr>
          <w:rFonts w:ascii="Times New Roman" w:hAnsi="Times New Roman" w:cs="Times New Roman"/>
          <w:color w:val="000000" w:themeColor="text1"/>
          <w:sz w:val="24"/>
          <w:szCs w:val="24"/>
        </w:rPr>
      </w:pPr>
      <w:r w:rsidRPr="004E35EB">
        <w:rPr>
          <w:rFonts w:ascii="Times New Roman" w:hAnsi="Times New Roman" w:cs="Times New Roman"/>
          <w:color w:val="000000" w:themeColor="text1"/>
          <w:sz w:val="24"/>
          <w:szCs w:val="24"/>
        </w:rPr>
        <w:t xml:space="preserve">Assim, tendo em vista saneamento da fonte de fragilidade anteriormente evidenciada, conclui-se pela elisão do achado </w:t>
      </w:r>
      <w:proofErr w:type="gramStart"/>
      <w:r w:rsidRPr="004E35EB">
        <w:rPr>
          <w:rFonts w:ascii="Times New Roman" w:hAnsi="Times New Roman" w:cs="Times New Roman"/>
          <w:color w:val="000000" w:themeColor="text1"/>
          <w:sz w:val="24"/>
          <w:szCs w:val="24"/>
        </w:rPr>
        <w:t>sob exame</w:t>
      </w:r>
      <w:proofErr w:type="gramEnd"/>
      <w:r w:rsidR="00703820" w:rsidRPr="004E35EB">
        <w:rPr>
          <w:rFonts w:ascii="Times New Roman" w:hAnsi="Times New Roman" w:cs="Times New Roman"/>
          <w:color w:val="000000" w:themeColor="text1"/>
          <w:sz w:val="24"/>
          <w:szCs w:val="24"/>
        </w:rPr>
        <w:t>.</w:t>
      </w:r>
    </w:p>
    <w:p w:rsidR="00F86DA4" w:rsidRPr="00A3776B" w:rsidRDefault="00F86DA4" w:rsidP="00222C6A">
      <w:pPr>
        <w:pStyle w:val="PargrafodaLista"/>
        <w:spacing w:after="240"/>
        <w:ind w:left="357" w:hanging="357"/>
        <w:rPr>
          <w:color w:val="000000" w:themeColor="text1"/>
          <w:sz w:val="24"/>
          <w:szCs w:val="24"/>
        </w:rPr>
      </w:pPr>
      <w:bookmarkStart w:id="20" w:name="_Toc511288067"/>
      <w:r w:rsidRPr="00A3776B">
        <w:rPr>
          <w:color w:val="000000" w:themeColor="text1"/>
          <w:sz w:val="24"/>
          <w:szCs w:val="24"/>
        </w:rPr>
        <w:lastRenderedPageBreak/>
        <w:t>ACHADO NÃO DECORRENTE DO ESCOPO DA AUDITORIA</w:t>
      </w:r>
      <w:bookmarkEnd w:id="20"/>
    </w:p>
    <w:p w:rsidR="00F86DA4" w:rsidRPr="00A3776B" w:rsidRDefault="00F86DA4" w:rsidP="00A31F42">
      <w:pPr>
        <w:numPr>
          <w:ilvl w:val="1"/>
          <w:numId w:val="1"/>
        </w:numPr>
        <w:spacing w:after="120" w:line="240" w:lineRule="auto"/>
        <w:ind w:left="357" w:hanging="357"/>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 xml:space="preserve">Paralelamente às fragilidades elencadas no item </w:t>
      </w:r>
      <w:proofErr w:type="gramStart"/>
      <w:r w:rsidRPr="00A3776B">
        <w:rPr>
          <w:rFonts w:ascii="Times New Roman" w:hAnsi="Times New Roman" w:cs="Times New Roman"/>
          <w:color w:val="000000" w:themeColor="text1"/>
          <w:sz w:val="24"/>
          <w:szCs w:val="24"/>
        </w:rPr>
        <w:t>2</w:t>
      </w:r>
      <w:proofErr w:type="gramEnd"/>
      <w:r w:rsidRPr="00A3776B">
        <w:rPr>
          <w:rFonts w:ascii="Times New Roman" w:hAnsi="Times New Roman" w:cs="Times New Roman"/>
          <w:color w:val="000000" w:themeColor="text1"/>
          <w:sz w:val="24"/>
          <w:szCs w:val="24"/>
        </w:rPr>
        <w:t xml:space="preserve">, restou, ainda, evidenciada a seguinte situação desconforme não circunscrita ao escopo da auditoria: </w:t>
      </w:r>
    </w:p>
    <w:p w:rsidR="005230A6" w:rsidRPr="00A3776B" w:rsidRDefault="005230A6" w:rsidP="005230A6">
      <w:pPr>
        <w:pStyle w:val="PargrafodaLista"/>
        <w:numPr>
          <w:ilvl w:val="2"/>
          <w:numId w:val="1"/>
        </w:numPr>
        <w:spacing w:before="120"/>
        <w:jc w:val="both"/>
        <w:rPr>
          <w:b w:val="0"/>
          <w:i/>
          <w:color w:val="000000" w:themeColor="text1"/>
          <w:sz w:val="24"/>
          <w:szCs w:val="24"/>
        </w:rPr>
      </w:pPr>
      <w:bookmarkStart w:id="21" w:name="_Toc511288068"/>
      <w:r w:rsidRPr="00A3776B">
        <w:rPr>
          <w:b w:val="0"/>
          <w:color w:val="000000" w:themeColor="text1"/>
          <w:sz w:val="24"/>
          <w:szCs w:val="24"/>
          <w:u w:val="single"/>
        </w:rPr>
        <w:t>Deficiência na periodicidade da realização de Reuniões de Avaliação da Estratégia (</w:t>
      </w:r>
      <w:proofErr w:type="spellStart"/>
      <w:r w:rsidRPr="00A3776B">
        <w:rPr>
          <w:b w:val="0"/>
          <w:color w:val="000000" w:themeColor="text1"/>
          <w:sz w:val="24"/>
          <w:szCs w:val="24"/>
          <w:u w:val="single"/>
        </w:rPr>
        <w:t>RAEs</w:t>
      </w:r>
      <w:proofErr w:type="spellEnd"/>
      <w:r w:rsidRPr="00A3776B">
        <w:rPr>
          <w:b w:val="0"/>
          <w:color w:val="000000" w:themeColor="text1"/>
          <w:sz w:val="24"/>
          <w:szCs w:val="24"/>
          <w:u w:val="single"/>
        </w:rPr>
        <w:t>)</w:t>
      </w:r>
      <w:bookmarkEnd w:id="21"/>
      <w:r w:rsidRPr="00A3776B">
        <w:rPr>
          <w:b w:val="0"/>
          <w:color w:val="000000" w:themeColor="text1"/>
          <w:sz w:val="24"/>
          <w:szCs w:val="24"/>
        </w:rPr>
        <w:t xml:space="preserve"> </w:t>
      </w:r>
    </w:p>
    <w:p w:rsidR="005230A6" w:rsidRPr="00A3776B" w:rsidRDefault="005230A6" w:rsidP="005230A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3776B">
        <w:rPr>
          <w:rFonts w:ascii="Times New Roman" w:hAnsi="Times New Roman" w:cs="Times New Roman"/>
          <w:i/>
          <w:color w:val="000000" w:themeColor="text1"/>
          <w:sz w:val="24"/>
          <w:szCs w:val="24"/>
        </w:rPr>
        <w:t>Situação encontrada:</w:t>
      </w:r>
    </w:p>
    <w:p w:rsidR="005230A6" w:rsidRPr="00A3776B" w:rsidRDefault="005230A6" w:rsidP="005230A6">
      <w:pPr>
        <w:numPr>
          <w:ilvl w:val="4"/>
          <w:numId w:val="1"/>
        </w:numPr>
        <w:spacing w:after="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 xml:space="preserve">No exercício de 2016, evidenciou-se a realização de apenas uma RAE, em 8/9/2016. Verificou-se que, na referida reunião, restou deliberado cronograma para realização de </w:t>
      </w:r>
      <w:proofErr w:type="spellStart"/>
      <w:r w:rsidRPr="00A3776B">
        <w:rPr>
          <w:rFonts w:ascii="Times New Roman" w:hAnsi="Times New Roman" w:cs="Times New Roman"/>
          <w:color w:val="000000" w:themeColor="text1"/>
          <w:sz w:val="24"/>
          <w:szCs w:val="24"/>
        </w:rPr>
        <w:t>RAEs</w:t>
      </w:r>
      <w:proofErr w:type="spellEnd"/>
      <w:r w:rsidRPr="00A3776B">
        <w:rPr>
          <w:rFonts w:ascii="Times New Roman" w:hAnsi="Times New Roman" w:cs="Times New Roman"/>
          <w:color w:val="000000" w:themeColor="text1"/>
          <w:sz w:val="24"/>
          <w:szCs w:val="24"/>
        </w:rPr>
        <w:t xml:space="preserve"> em 2017 nas seguintes datas: 15/5, 16/8 e 16/11. No entanto, no exercício de 2017, também foi realizada apenas uma RAE, em 21/8/2017, apesar da existência de previsão normativa de realização de </w:t>
      </w:r>
      <w:proofErr w:type="spellStart"/>
      <w:r w:rsidRPr="00A3776B">
        <w:rPr>
          <w:rFonts w:ascii="Times New Roman" w:hAnsi="Times New Roman" w:cs="Times New Roman"/>
          <w:color w:val="000000" w:themeColor="text1"/>
          <w:sz w:val="24"/>
          <w:szCs w:val="24"/>
        </w:rPr>
        <w:t>RAEs</w:t>
      </w:r>
      <w:proofErr w:type="spellEnd"/>
      <w:r w:rsidRPr="00A3776B">
        <w:rPr>
          <w:rFonts w:ascii="Times New Roman" w:hAnsi="Times New Roman" w:cs="Times New Roman"/>
          <w:color w:val="000000" w:themeColor="text1"/>
          <w:sz w:val="24"/>
          <w:szCs w:val="24"/>
        </w:rPr>
        <w:t>, pelo menos, quadrimestralmente.</w:t>
      </w:r>
    </w:p>
    <w:p w:rsidR="005230A6" w:rsidRPr="00A3776B" w:rsidRDefault="005230A6" w:rsidP="005230A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3776B">
        <w:rPr>
          <w:rFonts w:ascii="Times New Roman" w:hAnsi="Times New Roman" w:cs="Times New Roman"/>
          <w:i/>
          <w:color w:val="000000" w:themeColor="text1"/>
          <w:sz w:val="24"/>
          <w:szCs w:val="24"/>
        </w:rPr>
        <w:t>Critério(s):</w:t>
      </w:r>
    </w:p>
    <w:p w:rsidR="005230A6" w:rsidRPr="00A3776B" w:rsidRDefault="005230A6" w:rsidP="005230A6">
      <w:pPr>
        <w:numPr>
          <w:ilvl w:val="4"/>
          <w:numId w:val="1"/>
        </w:numPr>
        <w:spacing w:after="0" w:line="240" w:lineRule="auto"/>
        <w:jc w:val="both"/>
        <w:rPr>
          <w:rFonts w:ascii="Times New Roman" w:hAnsi="Times New Roman" w:cs="Times New Roman"/>
          <w:color w:val="000000" w:themeColor="text1"/>
          <w:spacing w:val="-6"/>
          <w:sz w:val="24"/>
          <w:szCs w:val="24"/>
        </w:rPr>
      </w:pPr>
      <w:r w:rsidRPr="00A3776B">
        <w:rPr>
          <w:rFonts w:ascii="Times New Roman" w:hAnsi="Times New Roman" w:cs="Times New Roman"/>
          <w:color w:val="000000" w:themeColor="text1"/>
          <w:spacing w:val="-6"/>
          <w:sz w:val="24"/>
          <w:szCs w:val="24"/>
        </w:rPr>
        <w:t xml:space="preserve">Resolução CNJ nº 198/2014, art. 9º; Resolução Administrativa do TRE-BA nº 14/2015, art. 4º, §1º; Resolução Administrativa TRE-BA nº 5/2013, art. nº 34, III e X; subitem 9.1.1.5, do Acórdão TCU Plenário nº 1.233/2012 e Gerenciamento de Riscos Corporativos Integrado com a Estratégia e </w:t>
      </w:r>
      <w:proofErr w:type="gramStart"/>
      <w:r w:rsidRPr="00A3776B">
        <w:rPr>
          <w:rFonts w:ascii="Times New Roman" w:hAnsi="Times New Roman" w:cs="Times New Roman"/>
          <w:color w:val="000000" w:themeColor="text1"/>
          <w:spacing w:val="-6"/>
          <w:sz w:val="24"/>
          <w:szCs w:val="24"/>
        </w:rPr>
        <w:t>Performance</w:t>
      </w:r>
      <w:proofErr w:type="gramEnd"/>
      <w:r w:rsidRPr="00A3776B">
        <w:rPr>
          <w:rFonts w:ascii="Times New Roman" w:hAnsi="Times New Roman" w:cs="Times New Roman"/>
          <w:color w:val="000000" w:themeColor="text1"/>
          <w:spacing w:val="-6"/>
          <w:sz w:val="24"/>
          <w:szCs w:val="24"/>
        </w:rPr>
        <w:t xml:space="preserve"> do COSO, traduzido por </w:t>
      </w:r>
      <w:proofErr w:type="spellStart"/>
      <w:r w:rsidRPr="00A3776B">
        <w:rPr>
          <w:rFonts w:ascii="Times New Roman" w:hAnsi="Times New Roman" w:cs="Times New Roman"/>
          <w:color w:val="000000" w:themeColor="text1"/>
          <w:spacing w:val="-6"/>
          <w:sz w:val="24"/>
          <w:szCs w:val="24"/>
        </w:rPr>
        <w:t>PwC</w:t>
      </w:r>
      <w:proofErr w:type="spellEnd"/>
      <w:r w:rsidRPr="00A3776B">
        <w:rPr>
          <w:rFonts w:ascii="Times New Roman" w:hAnsi="Times New Roman" w:cs="Times New Roman"/>
          <w:color w:val="000000" w:themeColor="text1"/>
          <w:spacing w:val="-6"/>
          <w:sz w:val="24"/>
          <w:szCs w:val="24"/>
        </w:rPr>
        <w:t>, junho de 2017, Componente e Princípio 15.</w:t>
      </w:r>
    </w:p>
    <w:p w:rsidR="005230A6" w:rsidRPr="00A3776B" w:rsidRDefault="005230A6" w:rsidP="005230A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3776B">
        <w:rPr>
          <w:rFonts w:ascii="Times New Roman" w:hAnsi="Times New Roman" w:cs="Times New Roman"/>
          <w:i/>
          <w:color w:val="000000" w:themeColor="text1"/>
          <w:sz w:val="24"/>
          <w:szCs w:val="24"/>
        </w:rPr>
        <w:t>Causa(s):</w:t>
      </w:r>
    </w:p>
    <w:p w:rsidR="005230A6" w:rsidRPr="00A3776B" w:rsidRDefault="005230A6" w:rsidP="005230A6">
      <w:pPr>
        <w:numPr>
          <w:ilvl w:val="4"/>
          <w:numId w:val="1"/>
        </w:numPr>
        <w:spacing w:after="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Incipiente cultura organizacional em orientação para resultados; e rotatividade de gestores e colaboradores.</w:t>
      </w:r>
    </w:p>
    <w:p w:rsidR="005230A6" w:rsidRPr="00A3776B" w:rsidRDefault="005230A6" w:rsidP="005230A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3776B">
        <w:rPr>
          <w:rFonts w:ascii="Times New Roman" w:hAnsi="Times New Roman" w:cs="Times New Roman"/>
          <w:i/>
          <w:color w:val="000000" w:themeColor="text1"/>
          <w:sz w:val="24"/>
          <w:szCs w:val="24"/>
        </w:rPr>
        <w:t>Efeito(s) (real ou potencial):</w:t>
      </w:r>
    </w:p>
    <w:p w:rsidR="005230A6" w:rsidRPr="00A3776B" w:rsidRDefault="005230A6" w:rsidP="005230A6">
      <w:pPr>
        <w:numPr>
          <w:ilvl w:val="4"/>
          <w:numId w:val="1"/>
        </w:numPr>
        <w:spacing w:after="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Inconformidade com o aparato normativo vigente; ausência, deficiência e/ou intempestividade na adoção de medidas corretivas para integralização da estratégia; aumento de custos e incremento de tempo com execução de projetos e ações inadequados; e dispersão de esforços e recursos na busca da concretização da missão institucional.</w:t>
      </w:r>
    </w:p>
    <w:p w:rsidR="005230A6" w:rsidRPr="00A3776B" w:rsidRDefault="005230A6" w:rsidP="005230A6">
      <w:pPr>
        <w:numPr>
          <w:ilvl w:val="3"/>
          <w:numId w:val="1"/>
        </w:numPr>
        <w:spacing w:after="0" w:line="240" w:lineRule="auto"/>
        <w:ind w:left="1077" w:hanging="1077"/>
        <w:jc w:val="both"/>
        <w:rPr>
          <w:rFonts w:ascii="Times New Roman" w:hAnsi="Times New Roman" w:cs="Times New Roman"/>
          <w:i/>
          <w:color w:val="000000" w:themeColor="text1"/>
          <w:sz w:val="24"/>
          <w:szCs w:val="24"/>
        </w:rPr>
      </w:pPr>
      <w:r w:rsidRPr="00A3776B">
        <w:rPr>
          <w:rFonts w:ascii="Times New Roman" w:hAnsi="Times New Roman" w:cs="Times New Roman"/>
          <w:i/>
          <w:color w:val="000000" w:themeColor="text1"/>
          <w:sz w:val="24"/>
          <w:szCs w:val="24"/>
        </w:rPr>
        <w:t>Evidência(s):</w:t>
      </w:r>
    </w:p>
    <w:p w:rsidR="005230A6" w:rsidRPr="00A3776B" w:rsidRDefault="005230A6" w:rsidP="005230A6">
      <w:pPr>
        <w:numPr>
          <w:ilvl w:val="4"/>
          <w:numId w:val="1"/>
        </w:numPr>
        <w:spacing w:after="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PAD nº 12.027/2017 (Docs. nº 171.447/2017, 171.454/2017 e 171.852/2017).</w:t>
      </w:r>
    </w:p>
    <w:p w:rsidR="00C54A46" w:rsidRDefault="00C54A46" w:rsidP="00222C6A">
      <w:pPr>
        <w:pStyle w:val="PargrafodaLista"/>
        <w:spacing w:after="240"/>
        <w:ind w:left="357" w:hanging="357"/>
        <w:rPr>
          <w:color w:val="000000" w:themeColor="text1"/>
          <w:sz w:val="24"/>
          <w:szCs w:val="24"/>
        </w:rPr>
      </w:pPr>
      <w:bookmarkStart w:id="22" w:name="_Toc511288069"/>
      <w:r>
        <w:rPr>
          <w:color w:val="000000" w:themeColor="text1"/>
          <w:sz w:val="24"/>
          <w:szCs w:val="24"/>
        </w:rPr>
        <w:t>BOAS PRÁTICAS DE GESTÃO</w:t>
      </w:r>
      <w:bookmarkEnd w:id="22"/>
    </w:p>
    <w:p w:rsidR="00C54A46" w:rsidRDefault="00C54A46" w:rsidP="00C54A46">
      <w:pPr>
        <w:numPr>
          <w:ilvl w:val="1"/>
          <w:numId w:val="1"/>
        </w:numPr>
        <w:spacing w:after="120" w:line="240" w:lineRule="auto"/>
        <w:ind w:left="357" w:hanging="357"/>
        <w:jc w:val="both"/>
        <w:rPr>
          <w:rFonts w:ascii="Times New Roman" w:hAnsi="Times New Roman" w:cs="Times New Roman"/>
          <w:sz w:val="24"/>
          <w:szCs w:val="24"/>
        </w:rPr>
      </w:pPr>
      <w:r w:rsidRPr="00C54A46">
        <w:rPr>
          <w:rFonts w:ascii="Times New Roman" w:hAnsi="Times New Roman" w:cs="Times New Roman"/>
          <w:sz w:val="24"/>
          <w:szCs w:val="24"/>
        </w:rPr>
        <w:t xml:space="preserve">A análise do conjunto probatório reunido ao longo da execução do presente procedimento de auditoria evidenciou, ainda, </w:t>
      </w:r>
      <w:proofErr w:type="gramStart"/>
      <w:r w:rsidRPr="00C54A46">
        <w:rPr>
          <w:rFonts w:ascii="Times New Roman" w:hAnsi="Times New Roman" w:cs="Times New Roman"/>
          <w:sz w:val="24"/>
          <w:szCs w:val="24"/>
        </w:rPr>
        <w:t>achados</w:t>
      </w:r>
      <w:proofErr w:type="gramEnd"/>
      <w:r w:rsidRPr="00C54A46">
        <w:rPr>
          <w:rFonts w:ascii="Times New Roman" w:hAnsi="Times New Roman" w:cs="Times New Roman"/>
          <w:sz w:val="24"/>
          <w:szCs w:val="24"/>
        </w:rPr>
        <w:t xml:space="preserve"> positivos, consubstanciados em boas práticas de gestão, merecendo destaque:</w:t>
      </w:r>
    </w:p>
    <w:p w:rsidR="00C54A46" w:rsidRDefault="00C54A46" w:rsidP="00D70A3B">
      <w:pPr>
        <w:numPr>
          <w:ilvl w:val="2"/>
          <w:numId w:val="1"/>
        </w:numPr>
        <w:spacing w:before="120" w:after="120" w:line="240" w:lineRule="auto"/>
        <w:jc w:val="both"/>
        <w:rPr>
          <w:rFonts w:ascii="Times New Roman" w:hAnsi="Times New Roman" w:cs="Times New Roman"/>
          <w:color w:val="000000" w:themeColor="text1"/>
          <w:sz w:val="24"/>
          <w:szCs w:val="24"/>
        </w:rPr>
      </w:pPr>
      <w:r w:rsidRPr="00D70A3B">
        <w:rPr>
          <w:rFonts w:ascii="Times New Roman" w:hAnsi="Times New Roman" w:cs="Times New Roman"/>
          <w:color w:val="000000" w:themeColor="text1"/>
          <w:sz w:val="24"/>
          <w:szCs w:val="24"/>
        </w:rPr>
        <w:t>A sistemática de monitoramento da Estratégia 2016-2021 aprovada na RAE realizada em 8/9/2016, prevendo papéis, responsabilidades e procedimentos voltados ao acompanhamento de indicadores de desempenho e iniciativas estratégicas organizacionais</w:t>
      </w:r>
      <w:r w:rsidRPr="00A3776B">
        <w:rPr>
          <w:rFonts w:ascii="Times New Roman" w:hAnsi="Times New Roman" w:cs="Times New Roman"/>
          <w:color w:val="000000" w:themeColor="text1"/>
          <w:sz w:val="24"/>
          <w:szCs w:val="24"/>
        </w:rPr>
        <w:t xml:space="preserve">. </w:t>
      </w:r>
      <w:r w:rsidR="00816EF5" w:rsidRPr="00A3776B">
        <w:rPr>
          <w:rFonts w:ascii="Times New Roman" w:hAnsi="Times New Roman" w:cs="Times New Roman"/>
          <w:color w:val="000000" w:themeColor="text1"/>
          <w:sz w:val="24"/>
          <w:szCs w:val="24"/>
        </w:rPr>
        <w:t>Esclareça-se que, n</w:t>
      </w:r>
      <w:r w:rsidRPr="00A3776B">
        <w:rPr>
          <w:rFonts w:ascii="Times New Roman" w:hAnsi="Times New Roman" w:cs="Times New Roman"/>
          <w:color w:val="000000" w:themeColor="text1"/>
          <w:sz w:val="24"/>
          <w:szCs w:val="24"/>
        </w:rPr>
        <w:t>a</w:t>
      </w:r>
      <w:r w:rsidR="00D70A3B" w:rsidRPr="00A3776B">
        <w:rPr>
          <w:rFonts w:ascii="Times New Roman" w:hAnsi="Times New Roman" w:cs="Times New Roman"/>
          <w:color w:val="000000" w:themeColor="text1"/>
          <w:sz w:val="24"/>
          <w:szCs w:val="24"/>
        </w:rPr>
        <w:t xml:space="preserve"> </w:t>
      </w:r>
      <w:r w:rsidR="00816EF5" w:rsidRPr="00A3776B">
        <w:rPr>
          <w:rFonts w:ascii="Times New Roman" w:hAnsi="Times New Roman" w:cs="Times New Roman"/>
          <w:color w:val="000000" w:themeColor="text1"/>
          <w:sz w:val="24"/>
          <w:szCs w:val="24"/>
        </w:rPr>
        <w:t xml:space="preserve">referida </w:t>
      </w:r>
      <w:r w:rsidRPr="00A3776B">
        <w:rPr>
          <w:rFonts w:ascii="Times New Roman" w:hAnsi="Times New Roman" w:cs="Times New Roman"/>
          <w:color w:val="000000" w:themeColor="text1"/>
          <w:sz w:val="24"/>
          <w:szCs w:val="24"/>
        </w:rPr>
        <w:t xml:space="preserve">reunião, restou </w:t>
      </w:r>
      <w:r w:rsidRPr="00D70A3B">
        <w:rPr>
          <w:rFonts w:ascii="Times New Roman" w:hAnsi="Times New Roman" w:cs="Times New Roman"/>
          <w:color w:val="000000" w:themeColor="text1"/>
          <w:sz w:val="24"/>
          <w:szCs w:val="24"/>
        </w:rPr>
        <w:t>deliberado que o acompanhamento dos projetos estratégicos seria realizado mensalmente, por meio de PAD específico, pela SEGEPRO e que o monitoramento dos indicadores estratégicos seria ultimado, trimestralmente, pela SESTAT, também por meio de PAD;</w:t>
      </w:r>
    </w:p>
    <w:p w:rsidR="00D70A3B" w:rsidRDefault="00D70A3B" w:rsidP="00D70A3B">
      <w:pPr>
        <w:numPr>
          <w:ilvl w:val="2"/>
          <w:numId w:val="1"/>
        </w:numPr>
        <w:spacing w:before="120" w:after="120" w:line="240" w:lineRule="auto"/>
        <w:jc w:val="both"/>
        <w:rPr>
          <w:rFonts w:ascii="Times New Roman" w:hAnsi="Times New Roman" w:cs="Times New Roman"/>
          <w:color w:val="000000" w:themeColor="text1"/>
          <w:sz w:val="24"/>
          <w:szCs w:val="24"/>
        </w:rPr>
      </w:pPr>
      <w:r w:rsidRPr="00D70A3B">
        <w:rPr>
          <w:rFonts w:ascii="Times New Roman" w:hAnsi="Times New Roman" w:cs="Times New Roman"/>
          <w:color w:val="000000" w:themeColor="text1"/>
          <w:sz w:val="24"/>
          <w:szCs w:val="24"/>
        </w:rPr>
        <w:t xml:space="preserve">Plano de Divulgação da Estratégia, elaborado pela ASCOM, </w:t>
      </w:r>
      <w:r>
        <w:rPr>
          <w:rFonts w:ascii="Times New Roman" w:hAnsi="Times New Roman" w:cs="Times New Roman"/>
          <w:color w:val="000000" w:themeColor="text1"/>
          <w:sz w:val="24"/>
          <w:szCs w:val="24"/>
        </w:rPr>
        <w:t>aguardando apreciação superior</w:t>
      </w:r>
      <w:r w:rsidRPr="00D70A3B">
        <w:rPr>
          <w:rFonts w:ascii="Times New Roman" w:hAnsi="Times New Roman" w:cs="Times New Roman"/>
          <w:color w:val="000000" w:themeColor="text1"/>
          <w:sz w:val="24"/>
          <w:szCs w:val="24"/>
        </w:rPr>
        <w:t xml:space="preserve">, que utilizará ações publicitárias e jornalísticas para tornar amplamente conhecido o PEI 2016-2021 do TRE-BA. </w:t>
      </w:r>
      <w:r w:rsidR="00816EF5" w:rsidRPr="00A3776B">
        <w:rPr>
          <w:rFonts w:ascii="Times New Roman" w:hAnsi="Times New Roman" w:cs="Times New Roman"/>
          <w:color w:val="000000" w:themeColor="text1"/>
          <w:sz w:val="24"/>
          <w:szCs w:val="24"/>
        </w:rPr>
        <w:t xml:space="preserve">Registre-se que, </w:t>
      </w:r>
      <w:r w:rsidR="00816EF5" w:rsidRPr="00A3776B">
        <w:rPr>
          <w:rFonts w:ascii="Times New Roman" w:hAnsi="Times New Roman" w:cs="Times New Roman"/>
          <w:color w:val="000000" w:themeColor="text1"/>
          <w:sz w:val="24"/>
          <w:szCs w:val="24"/>
        </w:rPr>
        <w:lastRenderedPageBreak/>
        <w:t>in</w:t>
      </w:r>
      <w:r w:rsidRPr="00A3776B">
        <w:rPr>
          <w:rFonts w:ascii="Times New Roman" w:hAnsi="Times New Roman" w:cs="Times New Roman"/>
          <w:color w:val="000000" w:themeColor="text1"/>
          <w:sz w:val="24"/>
          <w:szCs w:val="24"/>
        </w:rPr>
        <w:t xml:space="preserve">icialmente, as referidas ações serão dirigidas ao público interno, sendo, em um segundo momento, voltadas à comunidade jurídica relacionada à Justiça Eleitoral e, por fim, direcionadas a toda sociedade. </w:t>
      </w:r>
      <w:r w:rsidR="00816EF5" w:rsidRPr="00A3776B">
        <w:rPr>
          <w:rFonts w:ascii="Times New Roman" w:hAnsi="Times New Roman" w:cs="Times New Roman"/>
          <w:color w:val="000000" w:themeColor="text1"/>
          <w:sz w:val="24"/>
          <w:szCs w:val="24"/>
        </w:rPr>
        <w:t>Esclareça-se que o referido plano p</w:t>
      </w:r>
      <w:r w:rsidRPr="00A3776B">
        <w:rPr>
          <w:rFonts w:ascii="Times New Roman" w:hAnsi="Times New Roman" w:cs="Times New Roman"/>
          <w:color w:val="000000" w:themeColor="text1"/>
          <w:sz w:val="24"/>
          <w:szCs w:val="24"/>
        </w:rPr>
        <w:t xml:space="preserve">ossui como objetivo específico disseminar e ampliar o conhecimento sobre as diretrizes, metodologias, indicadores e metas. Além disso, </w:t>
      </w:r>
      <w:proofErr w:type="gramStart"/>
      <w:r w:rsidRPr="00A3776B">
        <w:rPr>
          <w:rFonts w:ascii="Times New Roman" w:hAnsi="Times New Roman" w:cs="Times New Roman"/>
          <w:color w:val="000000" w:themeColor="text1"/>
          <w:sz w:val="24"/>
          <w:szCs w:val="24"/>
        </w:rPr>
        <w:t>propõe,</w:t>
      </w:r>
      <w:proofErr w:type="gramEnd"/>
      <w:r w:rsidRPr="00A3776B">
        <w:rPr>
          <w:rFonts w:ascii="Times New Roman" w:hAnsi="Times New Roman" w:cs="Times New Roman"/>
          <w:color w:val="000000" w:themeColor="text1"/>
          <w:sz w:val="24"/>
          <w:szCs w:val="24"/>
        </w:rPr>
        <w:t xml:space="preserve"> previamente à implantação das ações, realização de pesquisa institucional para mensurar o grau de conhecimento do público interno, bem como </w:t>
      </w:r>
      <w:r w:rsidR="00816EF5" w:rsidRPr="00A3776B">
        <w:rPr>
          <w:rFonts w:ascii="Times New Roman" w:hAnsi="Times New Roman" w:cs="Times New Roman"/>
          <w:color w:val="000000" w:themeColor="text1"/>
          <w:sz w:val="24"/>
          <w:szCs w:val="24"/>
        </w:rPr>
        <w:t xml:space="preserve">efetivação de </w:t>
      </w:r>
      <w:r w:rsidRPr="00D70A3B">
        <w:rPr>
          <w:rFonts w:ascii="Times New Roman" w:hAnsi="Times New Roman" w:cs="Times New Roman"/>
          <w:color w:val="000000" w:themeColor="text1"/>
          <w:sz w:val="24"/>
          <w:szCs w:val="24"/>
        </w:rPr>
        <w:t>nova pesquisa após 12 meses da implantação das ações de comunicação.</w:t>
      </w:r>
    </w:p>
    <w:p w:rsidR="00DE202A" w:rsidRDefault="00DE202A" w:rsidP="00D70A3B">
      <w:pPr>
        <w:numPr>
          <w:ilvl w:val="2"/>
          <w:numId w:val="1"/>
        </w:numPr>
        <w:spacing w:before="120"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Manual Metodológico de Gerenciamento de Projetos, aprovado pela Portaria </w:t>
      </w:r>
      <w:r w:rsidR="00A3776B">
        <w:rPr>
          <w:rFonts w:ascii="Times New Roman" w:hAnsi="Times New Roman" w:cs="Times New Roman"/>
          <w:color w:val="000000" w:themeColor="text1"/>
          <w:sz w:val="24"/>
          <w:szCs w:val="24"/>
        </w:rPr>
        <w:t xml:space="preserve">da Presidência </w:t>
      </w:r>
      <w:r>
        <w:rPr>
          <w:rFonts w:ascii="Times New Roman" w:hAnsi="Times New Roman" w:cs="Times New Roman"/>
          <w:color w:val="000000" w:themeColor="text1"/>
          <w:sz w:val="24"/>
          <w:szCs w:val="24"/>
        </w:rPr>
        <w:t>nº 335, de agosto de 2014, que consiste na definição de procedimentos, técnicas e formulários para conduzir o gerenciamento e acompanhamento dos projetos estratégicos institu</w:t>
      </w:r>
      <w:r w:rsidR="00B436E8">
        <w:rPr>
          <w:rFonts w:ascii="Times New Roman" w:hAnsi="Times New Roman" w:cs="Times New Roman"/>
          <w:color w:val="000000" w:themeColor="text1"/>
          <w:sz w:val="24"/>
          <w:szCs w:val="24"/>
        </w:rPr>
        <w:t>cionais.</w:t>
      </w:r>
    </w:p>
    <w:p w:rsidR="00486F61" w:rsidRPr="00A3776B" w:rsidRDefault="00486F61" w:rsidP="00D70A3B">
      <w:pPr>
        <w:numPr>
          <w:ilvl w:val="2"/>
          <w:numId w:val="1"/>
        </w:numPr>
        <w:spacing w:before="120" w:after="12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Projeto Gestão por Competências e Dimensionamento da Força de Trabalho realizado</w:t>
      </w:r>
      <w:r w:rsidR="0043312F" w:rsidRPr="00A3776B">
        <w:rPr>
          <w:rFonts w:ascii="Times New Roman" w:hAnsi="Times New Roman" w:cs="Times New Roman"/>
          <w:color w:val="000000" w:themeColor="text1"/>
          <w:sz w:val="24"/>
          <w:szCs w:val="24"/>
        </w:rPr>
        <w:t>, em caráter piloto,</w:t>
      </w:r>
      <w:r w:rsidRPr="00A3776B">
        <w:rPr>
          <w:rFonts w:ascii="Times New Roman" w:hAnsi="Times New Roman" w:cs="Times New Roman"/>
          <w:color w:val="000000" w:themeColor="text1"/>
          <w:sz w:val="24"/>
          <w:szCs w:val="24"/>
        </w:rPr>
        <w:t xml:space="preserve"> na </w:t>
      </w:r>
      <w:r w:rsidR="00816EF5" w:rsidRPr="00A3776B">
        <w:rPr>
          <w:rFonts w:ascii="Times New Roman" w:hAnsi="Times New Roman" w:cs="Times New Roman"/>
          <w:color w:val="000000" w:themeColor="text1"/>
          <w:sz w:val="24"/>
          <w:szCs w:val="24"/>
        </w:rPr>
        <w:t>COPEG, com vistas a dimensionar o perfil quantitativo e qualitativo da força de trabalho necessária à asseguração das entregas da Unidade.</w:t>
      </w:r>
    </w:p>
    <w:p w:rsidR="003A1E77" w:rsidRPr="00A3776B" w:rsidRDefault="00486F61" w:rsidP="003A1E77">
      <w:pPr>
        <w:numPr>
          <w:ilvl w:val="2"/>
          <w:numId w:val="1"/>
        </w:numPr>
        <w:spacing w:before="120"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Estruturação da Unidade de Gestão Estratégica por meio da Resolução Administrativa nº 5, de 28 de maio de 2013</w:t>
      </w:r>
      <w:r w:rsidR="00816EF5">
        <w:rPr>
          <w:rFonts w:ascii="Times New Roman" w:hAnsi="Times New Roman" w:cs="Times New Roman"/>
          <w:color w:val="000000" w:themeColor="text1"/>
          <w:sz w:val="24"/>
          <w:szCs w:val="24"/>
        </w:rPr>
        <w:t xml:space="preserve">, </w:t>
      </w:r>
      <w:r w:rsidR="00816EF5" w:rsidRPr="00A3776B">
        <w:rPr>
          <w:rFonts w:ascii="Times New Roman" w:hAnsi="Times New Roman" w:cs="Times New Roman"/>
          <w:color w:val="000000" w:themeColor="text1"/>
          <w:sz w:val="24"/>
          <w:szCs w:val="24"/>
        </w:rPr>
        <w:t xml:space="preserve">que assegurou significativa ampliação da estrutura organizacional anteriormente vigente – Assessoria, sem desdobramento em núcleos ou seções </w:t>
      </w:r>
      <w:r w:rsidR="0043312F" w:rsidRPr="00A3776B">
        <w:rPr>
          <w:rFonts w:ascii="Times New Roman" w:hAnsi="Times New Roman" w:cs="Times New Roman"/>
          <w:color w:val="000000" w:themeColor="text1"/>
          <w:sz w:val="24"/>
          <w:szCs w:val="24"/>
        </w:rPr>
        <w:t>–</w:t>
      </w:r>
      <w:r w:rsidR="00816EF5" w:rsidRPr="00A3776B">
        <w:rPr>
          <w:rFonts w:ascii="Times New Roman" w:hAnsi="Times New Roman" w:cs="Times New Roman"/>
          <w:color w:val="000000" w:themeColor="text1"/>
          <w:sz w:val="24"/>
          <w:szCs w:val="24"/>
        </w:rPr>
        <w:t>, alçando-a a Coordenadoria integrada por cinco unidades operacionais.</w:t>
      </w:r>
    </w:p>
    <w:p w:rsidR="00566468" w:rsidRPr="00775054" w:rsidRDefault="00B2379D" w:rsidP="00222C6A">
      <w:pPr>
        <w:pStyle w:val="PargrafodaLista"/>
        <w:spacing w:after="240"/>
        <w:ind w:left="357" w:hanging="357"/>
        <w:rPr>
          <w:color w:val="000000" w:themeColor="text1"/>
          <w:sz w:val="24"/>
          <w:szCs w:val="24"/>
        </w:rPr>
      </w:pPr>
      <w:bookmarkStart w:id="23" w:name="_Toc511288070"/>
      <w:r w:rsidRPr="00775054">
        <w:rPr>
          <w:color w:val="000000" w:themeColor="text1"/>
          <w:sz w:val="24"/>
          <w:szCs w:val="24"/>
        </w:rPr>
        <w:t>CONCLUSÕES</w:t>
      </w:r>
      <w:bookmarkEnd w:id="23"/>
    </w:p>
    <w:p w:rsidR="00FD401D" w:rsidRPr="00A3776B" w:rsidRDefault="00551B6F" w:rsidP="007C6F2A">
      <w:pPr>
        <w:numPr>
          <w:ilvl w:val="1"/>
          <w:numId w:val="1"/>
        </w:numPr>
        <w:spacing w:after="12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 xml:space="preserve">A gestão </w:t>
      </w:r>
      <w:r w:rsidR="00A20761" w:rsidRPr="00A3776B">
        <w:rPr>
          <w:rFonts w:ascii="Times New Roman" w:hAnsi="Times New Roman" w:cs="Times New Roman"/>
          <w:color w:val="000000" w:themeColor="text1"/>
          <w:sz w:val="24"/>
          <w:szCs w:val="24"/>
        </w:rPr>
        <w:t>do planejamento</w:t>
      </w:r>
      <w:r w:rsidRPr="00A3776B">
        <w:rPr>
          <w:rFonts w:ascii="Times New Roman" w:hAnsi="Times New Roman" w:cs="Times New Roman"/>
          <w:color w:val="000000" w:themeColor="text1"/>
          <w:sz w:val="24"/>
          <w:szCs w:val="24"/>
        </w:rPr>
        <w:t xml:space="preserve"> </w:t>
      </w:r>
      <w:r w:rsidR="00A20761" w:rsidRPr="00A3776B">
        <w:rPr>
          <w:rFonts w:ascii="Times New Roman" w:hAnsi="Times New Roman" w:cs="Times New Roman"/>
          <w:color w:val="000000" w:themeColor="text1"/>
          <w:sz w:val="24"/>
          <w:szCs w:val="24"/>
        </w:rPr>
        <w:t>estratégico</w:t>
      </w:r>
      <w:r w:rsidRPr="00A3776B">
        <w:rPr>
          <w:rFonts w:ascii="Times New Roman" w:hAnsi="Times New Roman" w:cs="Times New Roman"/>
          <w:color w:val="000000" w:themeColor="text1"/>
          <w:sz w:val="24"/>
          <w:szCs w:val="24"/>
        </w:rPr>
        <w:t xml:space="preserve"> </w:t>
      </w:r>
      <w:r w:rsidR="00A20761" w:rsidRPr="00A3776B">
        <w:rPr>
          <w:rFonts w:ascii="Times New Roman" w:hAnsi="Times New Roman" w:cs="Times New Roman"/>
          <w:color w:val="000000" w:themeColor="text1"/>
          <w:sz w:val="24"/>
          <w:szCs w:val="24"/>
        </w:rPr>
        <w:t xml:space="preserve">é o processo pelo qual o TRE-BA formula sua estratégia e </w:t>
      </w:r>
      <w:proofErr w:type="gramStart"/>
      <w:r w:rsidR="00A20761" w:rsidRPr="00A3776B">
        <w:rPr>
          <w:rFonts w:ascii="Times New Roman" w:hAnsi="Times New Roman" w:cs="Times New Roman"/>
          <w:color w:val="000000" w:themeColor="text1"/>
          <w:sz w:val="24"/>
          <w:szCs w:val="24"/>
        </w:rPr>
        <w:t>implementa</w:t>
      </w:r>
      <w:proofErr w:type="gramEnd"/>
      <w:r w:rsidR="00A20761" w:rsidRPr="00A3776B">
        <w:rPr>
          <w:rFonts w:ascii="Times New Roman" w:hAnsi="Times New Roman" w:cs="Times New Roman"/>
          <w:color w:val="000000" w:themeColor="text1"/>
          <w:sz w:val="24"/>
          <w:szCs w:val="24"/>
        </w:rPr>
        <w:t xml:space="preserve"> ações que possibilitam a efetiva execução dos seus objetivos. Tem como propósito gerar uma equipe de trabalho alinhada, com </w:t>
      </w:r>
      <w:r w:rsidR="00BD77FD" w:rsidRPr="00A3776B">
        <w:rPr>
          <w:rFonts w:ascii="Times New Roman" w:hAnsi="Times New Roman" w:cs="Times New Roman"/>
          <w:color w:val="000000" w:themeColor="text1"/>
          <w:sz w:val="24"/>
          <w:szCs w:val="24"/>
        </w:rPr>
        <w:t>compromissos</w:t>
      </w:r>
      <w:r w:rsidR="00A20761" w:rsidRPr="00A3776B">
        <w:rPr>
          <w:rFonts w:ascii="Times New Roman" w:hAnsi="Times New Roman" w:cs="Times New Roman"/>
          <w:color w:val="000000" w:themeColor="text1"/>
          <w:sz w:val="24"/>
          <w:szCs w:val="24"/>
        </w:rPr>
        <w:t xml:space="preserve"> comuns, gerenciada por meio de metas e indicadores para atingir o </w:t>
      </w:r>
      <w:r w:rsidR="00BD77FD" w:rsidRPr="00A3776B">
        <w:rPr>
          <w:rFonts w:ascii="Times New Roman" w:hAnsi="Times New Roman" w:cs="Times New Roman"/>
          <w:color w:val="000000" w:themeColor="text1"/>
          <w:sz w:val="24"/>
          <w:szCs w:val="24"/>
        </w:rPr>
        <w:t>resultado</w:t>
      </w:r>
      <w:r w:rsidR="00A20761" w:rsidRPr="00A3776B">
        <w:rPr>
          <w:rFonts w:ascii="Times New Roman" w:hAnsi="Times New Roman" w:cs="Times New Roman"/>
          <w:color w:val="000000" w:themeColor="text1"/>
          <w:sz w:val="24"/>
          <w:szCs w:val="24"/>
        </w:rPr>
        <w:t xml:space="preserve"> desejado. </w:t>
      </w:r>
      <w:r w:rsidR="00BD77FD" w:rsidRPr="00A3776B">
        <w:rPr>
          <w:rFonts w:ascii="Times New Roman" w:hAnsi="Times New Roman" w:cs="Times New Roman"/>
          <w:color w:val="000000" w:themeColor="text1"/>
          <w:sz w:val="24"/>
          <w:szCs w:val="24"/>
        </w:rPr>
        <w:t>Ness</w:t>
      </w:r>
      <w:r w:rsidR="0066478D" w:rsidRPr="00A3776B">
        <w:rPr>
          <w:rFonts w:ascii="Times New Roman" w:hAnsi="Times New Roman" w:cs="Times New Roman"/>
          <w:color w:val="000000" w:themeColor="text1"/>
          <w:sz w:val="24"/>
          <w:szCs w:val="24"/>
        </w:rPr>
        <w:t xml:space="preserve">e sentido, </w:t>
      </w:r>
      <w:r w:rsidR="00C40207" w:rsidRPr="00A3776B">
        <w:rPr>
          <w:rFonts w:ascii="Times New Roman" w:hAnsi="Times New Roman" w:cs="Times New Roman"/>
          <w:color w:val="000000" w:themeColor="text1"/>
          <w:sz w:val="24"/>
          <w:szCs w:val="24"/>
        </w:rPr>
        <w:t>a estruturação de aspectos de governança e gestão associados apresenta-se como pressuposto de extrema relevância</w:t>
      </w:r>
      <w:r w:rsidR="003A1E77" w:rsidRPr="00A3776B">
        <w:rPr>
          <w:rFonts w:ascii="Times New Roman" w:hAnsi="Times New Roman" w:cs="Times New Roman"/>
          <w:color w:val="000000" w:themeColor="text1"/>
          <w:sz w:val="24"/>
          <w:szCs w:val="24"/>
        </w:rPr>
        <w:t xml:space="preserve"> para o sucesso da estratégia organizacional</w:t>
      </w:r>
      <w:r w:rsidR="00C40207" w:rsidRPr="00A3776B">
        <w:rPr>
          <w:rFonts w:ascii="Times New Roman" w:hAnsi="Times New Roman" w:cs="Times New Roman"/>
          <w:color w:val="000000" w:themeColor="text1"/>
          <w:sz w:val="24"/>
          <w:szCs w:val="24"/>
        </w:rPr>
        <w:t>,</w:t>
      </w:r>
      <w:r w:rsidR="00CC21D4" w:rsidRPr="00A3776B">
        <w:rPr>
          <w:rFonts w:ascii="Times New Roman" w:hAnsi="Times New Roman" w:cs="Times New Roman"/>
          <w:color w:val="000000" w:themeColor="text1"/>
          <w:sz w:val="24"/>
          <w:szCs w:val="24"/>
        </w:rPr>
        <w:t xml:space="preserve"> uma vez </w:t>
      </w:r>
      <w:r w:rsidR="0066478D" w:rsidRPr="00A3776B">
        <w:rPr>
          <w:rFonts w:ascii="Times New Roman" w:hAnsi="Times New Roman" w:cs="Times New Roman"/>
          <w:color w:val="000000" w:themeColor="text1"/>
          <w:sz w:val="24"/>
          <w:szCs w:val="24"/>
        </w:rPr>
        <w:t>qu</w:t>
      </w:r>
      <w:r w:rsidR="00CC21D4" w:rsidRPr="00A3776B">
        <w:rPr>
          <w:rFonts w:ascii="Times New Roman" w:hAnsi="Times New Roman" w:cs="Times New Roman"/>
          <w:color w:val="000000" w:themeColor="text1"/>
          <w:sz w:val="24"/>
          <w:szCs w:val="24"/>
        </w:rPr>
        <w:t xml:space="preserve">e </w:t>
      </w:r>
      <w:r w:rsidR="0066478D" w:rsidRPr="00A3776B">
        <w:rPr>
          <w:rFonts w:ascii="Times New Roman" w:hAnsi="Times New Roman" w:cs="Times New Roman"/>
          <w:color w:val="000000" w:themeColor="text1"/>
          <w:sz w:val="24"/>
          <w:szCs w:val="24"/>
        </w:rPr>
        <w:t>est</w:t>
      </w:r>
      <w:r w:rsidR="00BD77FD" w:rsidRPr="00A3776B">
        <w:rPr>
          <w:rFonts w:ascii="Times New Roman" w:hAnsi="Times New Roman" w:cs="Times New Roman"/>
          <w:color w:val="000000" w:themeColor="text1"/>
          <w:sz w:val="24"/>
          <w:szCs w:val="24"/>
        </w:rPr>
        <w:t>á</w:t>
      </w:r>
      <w:r w:rsidR="00CC21D4" w:rsidRPr="00A3776B">
        <w:rPr>
          <w:rFonts w:ascii="Times New Roman" w:hAnsi="Times New Roman" w:cs="Times New Roman"/>
          <w:color w:val="000000" w:themeColor="text1"/>
          <w:sz w:val="24"/>
          <w:szCs w:val="24"/>
        </w:rPr>
        <w:t xml:space="preserve"> </w:t>
      </w:r>
      <w:r w:rsidR="00C319A0" w:rsidRPr="00A3776B">
        <w:rPr>
          <w:rFonts w:ascii="Times New Roman" w:hAnsi="Times New Roman" w:cs="Times New Roman"/>
          <w:color w:val="000000" w:themeColor="text1"/>
          <w:sz w:val="24"/>
          <w:szCs w:val="24"/>
        </w:rPr>
        <w:t>diretamente</w:t>
      </w:r>
      <w:r w:rsidRPr="00A3776B">
        <w:rPr>
          <w:rFonts w:ascii="Times New Roman" w:hAnsi="Times New Roman" w:cs="Times New Roman"/>
          <w:color w:val="000000" w:themeColor="text1"/>
          <w:sz w:val="24"/>
          <w:szCs w:val="24"/>
        </w:rPr>
        <w:t xml:space="preserve"> relacionad</w:t>
      </w:r>
      <w:r w:rsidR="00BD77FD" w:rsidRPr="00A3776B">
        <w:rPr>
          <w:rFonts w:ascii="Times New Roman" w:hAnsi="Times New Roman" w:cs="Times New Roman"/>
          <w:color w:val="000000" w:themeColor="text1"/>
          <w:sz w:val="24"/>
          <w:szCs w:val="24"/>
        </w:rPr>
        <w:t>a</w:t>
      </w:r>
      <w:r w:rsidRPr="00A3776B">
        <w:rPr>
          <w:rFonts w:ascii="Times New Roman" w:hAnsi="Times New Roman" w:cs="Times New Roman"/>
          <w:color w:val="000000" w:themeColor="text1"/>
          <w:sz w:val="24"/>
          <w:szCs w:val="24"/>
        </w:rPr>
        <w:t xml:space="preserve"> com o</w:t>
      </w:r>
      <w:r w:rsidR="00CC21D4" w:rsidRPr="00A3776B">
        <w:rPr>
          <w:rFonts w:ascii="Times New Roman" w:hAnsi="Times New Roman" w:cs="Times New Roman"/>
          <w:color w:val="000000" w:themeColor="text1"/>
          <w:sz w:val="24"/>
          <w:szCs w:val="24"/>
        </w:rPr>
        <w:t xml:space="preserve"> </w:t>
      </w:r>
      <w:r w:rsidR="00C319A0" w:rsidRPr="00A3776B">
        <w:rPr>
          <w:rFonts w:ascii="Times New Roman" w:hAnsi="Times New Roman" w:cs="Times New Roman"/>
          <w:color w:val="000000" w:themeColor="text1"/>
          <w:sz w:val="24"/>
          <w:szCs w:val="24"/>
        </w:rPr>
        <w:t xml:space="preserve">cumprimento da missão </w:t>
      </w:r>
      <w:r w:rsidR="003A1E77" w:rsidRPr="00A3776B">
        <w:rPr>
          <w:rFonts w:ascii="Times New Roman" w:hAnsi="Times New Roman" w:cs="Times New Roman"/>
          <w:color w:val="000000" w:themeColor="text1"/>
          <w:sz w:val="24"/>
          <w:szCs w:val="24"/>
        </w:rPr>
        <w:t>e alcance da visão de futuro definidas</w:t>
      </w:r>
      <w:r w:rsidR="00C319A0" w:rsidRPr="00A3776B">
        <w:rPr>
          <w:rFonts w:ascii="Times New Roman" w:hAnsi="Times New Roman" w:cs="Times New Roman"/>
          <w:color w:val="000000" w:themeColor="text1"/>
          <w:sz w:val="24"/>
          <w:szCs w:val="24"/>
        </w:rPr>
        <w:t>.</w:t>
      </w:r>
    </w:p>
    <w:p w:rsidR="00FD401D" w:rsidRDefault="00C40207" w:rsidP="000E4502">
      <w:pPr>
        <w:numPr>
          <w:ilvl w:val="1"/>
          <w:numId w:val="1"/>
        </w:numPr>
        <w:spacing w:after="120" w:line="240" w:lineRule="auto"/>
        <w:jc w:val="both"/>
        <w:rPr>
          <w:rFonts w:ascii="Times New Roman" w:hAnsi="Times New Roman" w:cs="Times New Roman"/>
          <w:color w:val="000000" w:themeColor="text1"/>
          <w:sz w:val="24"/>
          <w:szCs w:val="24"/>
        </w:rPr>
      </w:pPr>
      <w:r w:rsidRPr="00A3776B">
        <w:rPr>
          <w:rFonts w:ascii="Times New Roman" w:hAnsi="Times New Roman" w:cs="Times New Roman"/>
          <w:color w:val="000000" w:themeColor="text1"/>
          <w:sz w:val="24"/>
          <w:szCs w:val="24"/>
        </w:rPr>
        <w:t>Assim,</w:t>
      </w:r>
      <w:r>
        <w:rPr>
          <w:rFonts w:ascii="Times New Roman" w:hAnsi="Times New Roman" w:cs="Times New Roman"/>
          <w:color w:val="000000" w:themeColor="text1"/>
          <w:sz w:val="24"/>
          <w:szCs w:val="24"/>
        </w:rPr>
        <w:t xml:space="preserve"> </w:t>
      </w:r>
      <w:r w:rsidR="00C319A0" w:rsidRPr="00775054">
        <w:rPr>
          <w:rFonts w:ascii="Times New Roman" w:hAnsi="Times New Roman" w:cs="Times New Roman"/>
          <w:color w:val="000000" w:themeColor="text1"/>
          <w:sz w:val="24"/>
          <w:szCs w:val="24"/>
        </w:rPr>
        <w:t>analisadas as fontes de informação selecionadas e interpretados os resultados dos testes aplicados ao longo do presente procedimento de auditoria, concluiu-se pela:</w:t>
      </w:r>
      <w:r w:rsidR="00941D55" w:rsidRPr="00775054">
        <w:rPr>
          <w:rFonts w:ascii="Times New Roman" w:hAnsi="Times New Roman" w:cs="Times New Roman"/>
          <w:color w:val="000000" w:themeColor="text1"/>
          <w:sz w:val="24"/>
          <w:szCs w:val="24"/>
        </w:rPr>
        <w:t xml:space="preserve"> </w:t>
      </w:r>
      <w:r w:rsidR="00487549" w:rsidRPr="00C75CD1">
        <w:rPr>
          <w:rFonts w:ascii="Times New Roman" w:hAnsi="Times New Roman" w:cs="Times New Roman"/>
          <w:color w:val="000000" w:themeColor="text1"/>
          <w:sz w:val="24"/>
          <w:szCs w:val="24"/>
        </w:rPr>
        <w:t>insuficiência</w:t>
      </w:r>
      <w:r w:rsidR="00941D55" w:rsidRPr="00C75CD1">
        <w:rPr>
          <w:rFonts w:ascii="Times New Roman" w:hAnsi="Times New Roman" w:cs="Times New Roman"/>
          <w:color w:val="000000" w:themeColor="text1"/>
          <w:sz w:val="24"/>
          <w:szCs w:val="24"/>
        </w:rPr>
        <w:t xml:space="preserve"> na disseminação do Código d</w:t>
      </w:r>
      <w:r w:rsidR="00370A8F" w:rsidRPr="00C75CD1">
        <w:rPr>
          <w:rFonts w:ascii="Times New Roman" w:hAnsi="Times New Roman" w:cs="Times New Roman"/>
          <w:color w:val="000000" w:themeColor="text1"/>
          <w:sz w:val="24"/>
          <w:szCs w:val="24"/>
        </w:rPr>
        <w:t>e Ética</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w:t>
      </w:r>
      <w:r w:rsidR="00370A8F" w:rsidRPr="008F6E60">
        <w:rPr>
          <w:rFonts w:ascii="Times New Roman" w:hAnsi="Times New Roman" w:cs="Times New Roman"/>
          <w:color w:val="000000" w:themeColor="text1"/>
          <w:sz w:val="24"/>
          <w:szCs w:val="24"/>
        </w:rPr>
        <w:t xml:space="preserve">deficiência </w:t>
      </w:r>
      <w:r w:rsidR="004B19D4" w:rsidRPr="008F6E60">
        <w:rPr>
          <w:rFonts w:ascii="Times New Roman" w:hAnsi="Times New Roman" w:cs="Times New Roman"/>
          <w:color w:val="000000" w:themeColor="text1"/>
          <w:sz w:val="24"/>
          <w:szCs w:val="24"/>
        </w:rPr>
        <w:t xml:space="preserve">utilização </w:t>
      </w:r>
      <w:r w:rsidR="00370A8F" w:rsidRPr="00C75CD1">
        <w:rPr>
          <w:rFonts w:ascii="Times New Roman" w:hAnsi="Times New Roman" w:cs="Times New Roman"/>
          <w:color w:val="000000" w:themeColor="text1"/>
          <w:sz w:val="24"/>
          <w:szCs w:val="24"/>
        </w:rPr>
        <w:t xml:space="preserve">de critérios para seleção de líderes envolvidos na gestão da execução da </w:t>
      </w:r>
      <w:r w:rsidR="004B19D4">
        <w:rPr>
          <w:rFonts w:ascii="Times New Roman" w:hAnsi="Times New Roman" w:cs="Times New Roman"/>
          <w:color w:val="000000" w:themeColor="text1"/>
          <w:sz w:val="24"/>
          <w:szCs w:val="24"/>
        </w:rPr>
        <w:t>e</w:t>
      </w:r>
      <w:r w:rsidR="00370A8F" w:rsidRPr="00C75CD1">
        <w:rPr>
          <w:rFonts w:ascii="Times New Roman" w:hAnsi="Times New Roman" w:cs="Times New Roman"/>
          <w:color w:val="000000" w:themeColor="text1"/>
          <w:sz w:val="24"/>
          <w:szCs w:val="24"/>
        </w:rPr>
        <w:t>stratégica</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cumprimento insuficiente de sistemática de monitoramento da </w:t>
      </w:r>
      <w:r w:rsidR="00487549" w:rsidRPr="00C75CD1">
        <w:rPr>
          <w:rFonts w:ascii="Times New Roman" w:hAnsi="Times New Roman" w:cs="Times New Roman"/>
          <w:color w:val="000000" w:themeColor="text1"/>
          <w:sz w:val="24"/>
          <w:szCs w:val="24"/>
        </w:rPr>
        <w:t>e</w:t>
      </w:r>
      <w:r w:rsidR="00370A8F" w:rsidRPr="00C75CD1">
        <w:rPr>
          <w:rFonts w:ascii="Times New Roman" w:hAnsi="Times New Roman" w:cs="Times New Roman"/>
          <w:color w:val="000000" w:themeColor="text1"/>
          <w:sz w:val="24"/>
          <w:szCs w:val="24"/>
        </w:rPr>
        <w:t>stratégia</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insuficiência no cumprimento das obrigações de </w:t>
      </w:r>
      <w:proofErr w:type="spellStart"/>
      <w:r w:rsidR="00370A8F" w:rsidRPr="00C75CD1">
        <w:rPr>
          <w:rFonts w:ascii="Times New Roman" w:hAnsi="Times New Roman" w:cs="Times New Roman"/>
          <w:i/>
          <w:color w:val="000000" w:themeColor="text1"/>
          <w:sz w:val="24"/>
          <w:szCs w:val="24"/>
        </w:rPr>
        <w:t>accountability</w:t>
      </w:r>
      <w:proofErr w:type="spellEnd"/>
      <w:r w:rsidR="002C000A">
        <w:rPr>
          <w:rFonts w:ascii="Times New Roman" w:hAnsi="Times New Roman" w:cs="Times New Roman"/>
          <w:i/>
          <w:color w:val="000000" w:themeColor="text1"/>
          <w:sz w:val="24"/>
          <w:szCs w:val="24"/>
        </w:rPr>
        <w:t>;</w:t>
      </w:r>
      <w:r w:rsidR="00370A8F" w:rsidRPr="00C75CD1">
        <w:rPr>
          <w:rFonts w:ascii="Times New Roman" w:hAnsi="Times New Roman" w:cs="Times New Roman"/>
          <w:color w:val="000000" w:themeColor="text1"/>
          <w:sz w:val="24"/>
          <w:szCs w:val="24"/>
        </w:rPr>
        <w:t xml:space="preserve"> deficiência no gerenciamento de riscos associados à gestão da execução da </w:t>
      </w:r>
      <w:r w:rsidR="002C000A">
        <w:rPr>
          <w:rFonts w:ascii="Times New Roman" w:hAnsi="Times New Roman" w:cs="Times New Roman"/>
          <w:color w:val="000000" w:themeColor="text1"/>
          <w:sz w:val="24"/>
          <w:szCs w:val="24"/>
        </w:rPr>
        <w:t>estratégia;</w:t>
      </w:r>
      <w:r w:rsidR="00370A8F" w:rsidRPr="00C75CD1">
        <w:rPr>
          <w:rFonts w:ascii="Times New Roman" w:hAnsi="Times New Roman" w:cs="Times New Roman"/>
          <w:color w:val="000000" w:themeColor="text1"/>
          <w:sz w:val="24"/>
          <w:szCs w:val="24"/>
        </w:rPr>
        <w:t xml:space="preserve"> capacitação insuficiente de servidores envolvidos na execução de projetos estratégicos</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insuficiência de ferramenta </w:t>
      </w:r>
      <w:r w:rsidR="00370A8F" w:rsidRPr="002C000A">
        <w:rPr>
          <w:rFonts w:ascii="Times New Roman" w:hAnsi="Times New Roman" w:cs="Times New Roman"/>
          <w:sz w:val="24"/>
          <w:szCs w:val="24"/>
        </w:rPr>
        <w:t xml:space="preserve">para </w:t>
      </w:r>
      <w:r w:rsidR="00370A8F" w:rsidRPr="00C75CD1">
        <w:rPr>
          <w:rFonts w:ascii="Times New Roman" w:hAnsi="Times New Roman" w:cs="Times New Roman"/>
          <w:color w:val="000000" w:themeColor="text1"/>
          <w:sz w:val="24"/>
          <w:szCs w:val="24"/>
        </w:rPr>
        <w:t>monitoramento de projetos estratégicos</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deficiência na comunicação da </w:t>
      </w:r>
      <w:r w:rsidR="00487549" w:rsidRPr="00C75CD1">
        <w:rPr>
          <w:rFonts w:ascii="Times New Roman" w:hAnsi="Times New Roman" w:cs="Times New Roman"/>
          <w:color w:val="000000" w:themeColor="text1"/>
          <w:sz w:val="24"/>
          <w:szCs w:val="24"/>
        </w:rPr>
        <w:t>e</w:t>
      </w:r>
      <w:r w:rsidR="00370A8F" w:rsidRPr="00C75CD1">
        <w:rPr>
          <w:rFonts w:ascii="Times New Roman" w:hAnsi="Times New Roman" w:cs="Times New Roman"/>
          <w:color w:val="000000" w:themeColor="text1"/>
          <w:sz w:val="24"/>
          <w:szCs w:val="24"/>
        </w:rPr>
        <w:t>stratégia</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deficiência no desdobramento da </w:t>
      </w:r>
      <w:r w:rsidR="00487549" w:rsidRPr="00C75CD1">
        <w:rPr>
          <w:rFonts w:ascii="Times New Roman" w:hAnsi="Times New Roman" w:cs="Times New Roman"/>
          <w:color w:val="000000" w:themeColor="text1"/>
          <w:sz w:val="24"/>
          <w:szCs w:val="24"/>
        </w:rPr>
        <w:t>e</w:t>
      </w:r>
      <w:r w:rsidR="00370A8F" w:rsidRPr="00C75CD1">
        <w:rPr>
          <w:rFonts w:ascii="Times New Roman" w:hAnsi="Times New Roman" w:cs="Times New Roman"/>
          <w:color w:val="000000" w:themeColor="text1"/>
          <w:sz w:val="24"/>
          <w:szCs w:val="24"/>
        </w:rPr>
        <w:t>stratégia</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deficiência no gerenciamento dos projetos estratégicos</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insuficiência na formalização da documentação de projetos estratégicos</w:t>
      </w:r>
      <w:r w:rsidR="002C000A">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deficiência na formulação de planos de gestão para cumprimento da </w:t>
      </w:r>
      <w:r w:rsidR="00487549" w:rsidRPr="008F6E60">
        <w:rPr>
          <w:rFonts w:ascii="Times New Roman" w:hAnsi="Times New Roman" w:cs="Times New Roman"/>
          <w:color w:val="000000" w:themeColor="text1"/>
          <w:sz w:val="24"/>
          <w:szCs w:val="24"/>
        </w:rPr>
        <w:t>e</w:t>
      </w:r>
      <w:r w:rsidR="00370A8F" w:rsidRPr="008F6E60">
        <w:rPr>
          <w:rFonts w:ascii="Times New Roman" w:hAnsi="Times New Roman" w:cs="Times New Roman"/>
          <w:color w:val="000000" w:themeColor="text1"/>
          <w:sz w:val="24"/>
          <w:szCs w:val="24"/>
        </w:rPr>
        <w:t>stratégia</w:t>
      </w:r>
      <w:r w:rsidR="002C000A" w:rsidRPr="008F6E60">
        <w:rPr>
          <w:rFonts w:ascii="Times New Roman" w:hAnsi="Times New Roman" w:cs="Times New Roman"/>
          <w:color w:val="000000" w:themeColor="text1"/>
          <w:sz w:val="24"/>
          <w:szCs w:val="24"/>
        </w:rPr>
        <w:t>;</w:t>
      </w:r>
      <w:r w:rsidR="00370A8F" w:rsidRPr="008F6E60">
        <w:rPr>
          <w:rFonts w:ascii="Times New Roman" w:hAnsi="Times New Roman" w:cs="Times New Roman"/>
          <w:color w:val="000000" w:themeColor="text1"/>
          <w:sz w:val="24"/>
          <w:szCs w:val="24"/>
        </w:rPr>
        <w:t xml:space="preserve"> </w:t>
      </w:r>
      <w:r w:rsidR="002C000A" w:rsidRPr="008F6E60">
        <w:rPr>
          <w:rFonts w:ascii="Times New Roman" w:hAnsi="Times New Roman" w:cs="Times New Roman"/>
          <w:color w:val="000000" w:themeColor="text1"/>
          <w:sz w:val="24"/>
          <w:szCs w:val="24"/>
        </w:rPr>
        <w:t xml:space="preserve">insuficiência </w:t>
      </w:r>
      <w:r w:rsidR="00370A8F" w:rsidRPr="008F6E60">
        <w:rPr>
          <w:rFonts w:ascii="Times New Roman" w:hAnsi="Times New Roman" w:cs="Times New Roman"/>
          <w:color w:val="000000" w:themeColor="text1"/>
          <w:sz w:val="24"/>
          <w:szCs w:val="24"/>
        </w:rPr>
        <w:t xml:space="preserve">na </w:t>
      </w:r>
      <w:r w:rsidR="00370A8F" w:rsidRPr="00C75CD1">
        <w:rPr>
          <w:rFonts w:ascii="Times New Roman" w:hAnsi="Times New Roman" w:cs="Times New Roman"/>
          <w:color w:val="000000" w:themeColor="text1"/>
          <w:sz w:val="24"/>
          <w:szCs w:val="24"/>
        </w:rPr>
        <w:t>formulação de indicadores estratégicos</w:t>
      </w:r>
      <w:r w:rsidR="002C000A">
        <w:rPr>
          <w:rFonts w:ascii="Times New Roman" w:hAnsi="Times New Roman" w:cs="Times New Roman"/>
          <w:color w:val="000000" w:themeColor="text1"/>
          <w:sz w:val="24"/>
          <w:szCs w:val="24"/>
        </w:rPr>
        <w:t>; e</w:t>
      </w:r>
      <w:r w:rsidR="00370A8F" w:rsidRPr="00C75CD1">
        <w:rPr>
          <w:rFonts w:ascii="Times New Roman" w:hAnsi="Times New Roman" w:cs="Times New Roman"/>
          <w:color w:val="000000" w:themeColor="text1"/>
          <w:sz w:val="24"/>
          <w:szCs w:val="24"/>
        </w:rPr>
        <w:t xml:space="preserve"> insufici</w:t>
      </w:r>
      <w:r w:rsidR="00487549" w:rsidRPr="00C75CD1">
        <w:rPr>
          <w:rFonts w:ascii="Times New Roman" w:hAnsi="Times New Roman" w:cs="Times New Roman"/>
          <w:color w:val="000000" w:themeColor="text1"/>
          <w:sz w:val="24"/>
          <w:szCs w:val="24"/>
        </w:rPr>
        <w:t>ente incorporação das Metas Nacionais do Poder Judiciário à estratégia</w:t>
      </w:r>
      <w:r w:rsidR="00211796">
        <w:rPr>
          <w:rFonts w:ascii="Times New Roman" w:hAnsi="Times New Roman" w:cs="Times New Roman"/>
          <w:color w:val="000000" w:themeColor="text1"/>
          <w:sz w:val="24"/>
          <w:szCs w:val="24"/>
        </w:rPr>
        <w:t>.</w:t>
      </w:r>
      <w:r w:rsidR="00370A8F" w:rsidRPr="00C75CD1">
        <w:rPr>
          <w:rFonts w:ascii="Times New Roman" w:hAnsi="Times New Roman" w:cs="Times New Roman"/>
          <w:color w:val="000000" w:themeColor="text1"/>
          <w:sz w:val="24"/>
          <w:szCs w:val="24"/>
        </w:rPr>
        <w:t xml:space="preserve"> </w:t>
      </w:r>
    </w:p>
    <w:p w:rsidR="005569F7" w:rsidRPr="007D3A03" w:rsidRDefault="005569F7" w:rsidP="00600906">
      <w:pPr>
        <w:numPr>
          <w:ilvl w:val="1"/>
          <w:numId w:val="1"/>
        </w:numPr>
        <w:spacing w:after="120" w:line="240" w:lineRule="auto"/>
        <w:jc w:val="both"/>
        <w:rPr>
          <w:rFonts w:ascii="Times New Roman" w:hAnsi="Times New Roman" w:cs="Times New Roman"/>
          <w:sz w:val="24"/>
          <w:szCs w:val="24"/>
        </w:rPr>
      </w:pPr>
      <w:r w:rsidRPr="00600906">
        <w:rPr>
          <w:rFonts w:ascii="Times New Roman" w:hAnsi="Times New Roman" w:cs="Times New Roman"/>
          <w:color w:val="000000" w:themeColor="text1"/>
          <w:sz w:val="24"/>
          <w:szCs w:val="24"/>
        </w:rPr>
        <w:lastRenderedPageBreak/>
        <w:t xml:space="preserve">Necessário consignar ainda que, </w:t>
      </w:r>
      <w:r w:rsidR="002C000A" w:rsidRPr="008F6E60">
        <w:rPr>
          <w:rFonts w:ascii="Times New Roman" w:hAnsi="Times New Roman" w:cs="Times New Roman"/>
          <w:color w:val="000000" w:themeColor="text1"/>
          <w:sz w:val="24"/>
          <w:szCs w:val="24"/>
        </w:rPr>
        <w:t xml:space="preserve">observadas </w:t>
      </w:r>
      <w:r w:rsidRPr="008F6E60">
        <w:rPr>
          <w:rFonts w:ascii="Times New Roman" w:hAnsi="Times New Roman" w:cs="Times New Roman"/>
          <w:color w:val="000000" w:themeColor="text1"/>
          <w:sz w:val="24"/>
          <w:szCs w:val="24"/>
        </w:rPr>
        <w:t xml:space="preserve">ações </w:t>
      </w:r>
      <w:r w:rsidRPr="00600906">
        <w:rPr>
          <w:rFonts w:ascii="Times New Roman" w:hAnsi="Times New Roman" w:cs="Times New Roman"/>
          <w:color w:val="000000" w:themeColor="text1"/>
          <w:sz w:val="24"/>
          <w:szCs w:val="24"/>
        </w:rPr>
        <w:t xml:space="preserve">executadas pelos gestores objeto </w:t>
      </w:r>
      <w:proofErr w:type="gramStart"/>
      <w:r w:rsidRPr="00600906">
        <w:rPr>
          <w:rFonts w:ascii="Times New Roman" w:hAnsi="Times New Roman" w:cs="Times New Roman"/>
          <w:color w:val="000000" w:themeColor="text1"/>
          <w:sz w:val="24"/>
          <w:szCs w:val="24"/>
        </w:rPr>
        <w:t>da presente</w:t>
      </w:r>
      <w:proofErr w:type="gramEnd"/>
      <w:r w:rsidRPr="00600906">
        <w:rPr>
          <w:rFonts w:ascii="Times New Roman" w:hAnsi="Times New Roman" w:cs="Times New Roman"/>
          <w:color w:val="000000" w:themeColor="text1"/>
          <w:sz w:val="24"/>
          <w:szCs w:val="24"/>
        </w:rPr>
        <w:t xml:space="preserve"> avaliação, verificou-se a implementação de avanços tendentes a aperfeiçoar o processo auditado, notadamente: atualização</w:t>
      </w:r>
      <w:r w:rsidR="00600906">
        <w:rPr>
          <w:rFonts w:ascii="Times New Roman" w:hAnsi="Times New Roman" w:cs="Times New Roman"/>
          <w:color w:val="000000" w:themeColor="text1"/>
          <w:sz w:val="24"/>
          <w:szCs w:val="24"/>
        </w:rPr>
        <w:t>, pela COPEG,</w:t>
      </w:r>
      <w:r w:rsidRPr="00600906">
        <w:rPr>
          <w:rFonts w:ascii="Times New Roman" w:hAnsi="Times New Roman" w:cs="Times New Roman"/>
          <w:color w:val="000000" w:themeColor="text1"/>
          <w:sz w:val="24"/>
          <w:szCs w:val="24"/>
        </w:rPr>
        <w:t xml:space="preserve"> do Portal da Estratégia, disponibilizando o Manual de Metodologia de Gerenciamento de Projetos e dos </w:t>
      </w:r>
      <w:r w:rsidR="003E4554" w:rsidRPr="00600906">
        <w:rPr>
          <w:rFonts w:ascii="Times New Roman" w:hAnsi="Times New Roman" w:cs="Times New Roman"/>
          <w:color w:val="000000" w:themeColor="text1"/>
          <w:sz w:val="24"/>
          <w:szCs w:val="24"/>
        </w:rPr>
        <w:t xml:space="preserve">respectivos </w:t>
      </w:r>
      <w:r w:rsidRPr="00600906">
        <w:rPr>
          <w:rFonts w:ascii="Times New Roman" w:hAnsi="Times New Roman" w:cs="Times New Roman"/>
          <w:color w:val="000000" w:themeColor="text1"/>
          <w:sz w:val="24"/>
          <w:szCs w:val="24"/>
        </w:rPr>
        <w:t>formulários</w:t>
      </w:r>
      <w:r w:rsidR="003E4554" w:rsidRPr="00600906">
        <w:rPr>
          <w:rFonts w:ascii="Times New Roman" w:hAnsi="Times New Roman" w:cs="Times New Roman"/>
          <w:color w:val="000000" w:themeColor="text1"/>
          <w:sz w:val="24"/>
          <w:szCs w:val="24"/>
        </w:rPr>
        <w:t xml:space="preserve"> (PGP, RAP, TAP e TEP); inclusão</w:t>
      </w:r>
      <w:r w:rsidR="00600906">
        <w:rPr>
          <w:rFonts w:ascii="Times New Roman" w:hAnsi="Times New Roman" w:cs="Times New Roman"/>
          <w:color w:val="000000" w:themeColor="text1"/>
          <w:sz w:val="24"/>
          <w:szCs w:val="24"/>
        </w:rPr>
        <w:t xml:space="preserve">, pela Ouvidoria, </w:t>
      </w:r>
      <w:r w:rsidR="003E4554" w:rsidRPr="00600906">
        <w:rPr>
          <w:rFonts w:ascii="Times New Roman" w:hAnsi="Times New Roman" w:cs="Times New Roman"/>
          <w:color w:val="000000" w:themeColor="text1"/>
          <w:sz w:val="24"/>
          <w:szCs w:val="24"/>
        </w:rPr>
        <w:t>da Seção de Protocolo como unidade participante da pesquisa de satisfação dos clientes da Justiça Eleitoral</w:t>
      </w:r>
      <w:r w:rsidR="008629D5">
        <w:rPr>
          <w:rFonts w:ascii="Times New Roman" w:hAnsi="Times New Roman" w:cs="Times New Roman"/>
          <w:color w:val="000000" w:themeColor="text1"/>
          <w:sz w:val="24"/>
          <w:szCs w:val="24"/>
        </w:rPr>
        <w:t xml:space="preserve">; </w:t>
      </w:r>
      <w:r w:rsidR="00733CE9" w:rsidRPr="007D3A03">
        <w:rPr>
          <w:rFonts w:ascii="Times New Roman" w:hAnsi="Times New Roman" w:cs="Times New Roman"/>
          <w:sz w:val="24"/>
          <w:szCs w:val="24"/>
        </w:rPr>
        <w:t xml:space="preserve">apresentação de </w:t>
      </w:r>
      <w:r w:rsidR="00B1318F" w:rsidRPr="007D3A03">
        <w:rPr>
          <w:rFonts w:ascii="Times New Roman" w:hAnsi="Times New Roman" w:cs="Times New Roman"/>
          <w:sz w:val="24"/>
          <w:szCs w:val="24"/>
        </w:rPr>
        <w:t xml:space="preserve">minuta de </w:t>
      </w:r>
      <w:r w:rsidR="008629D5" w:rsidRPr="007D3A03">
        <w:rPr>
          <w:rFonts w:ascii="Times New Roman" w:hAnsi="Times New Roman" w:cs="Times New Roman"/>
          <w:sz w:val="24"/>
          <w:szCs w:val="24"/>
        </w:rPr>
        <w:t xml:space="preserve">normativo </w:t>
      </w:r>
      <w:r w:rsidR="006A6B99" w:rsidRPr="007D3A03">
        <w:rPr>
          <w:rFonts w:ascii="Times New Roman" w:hAnsi="Times New Roman" w:cs="Times New Roman"/>
          <w:sz w:val="24"/>
          <w:szCs w:val="24"/>
        </w:rPr>
        <w:t>regulamentando a</w:t>
      </w:r>
      <w:r w:rsidR="008629D5" w:rsidRPr="007D3A03">
        <w:rPr>
          <w:rFonts w:ascii="Times New Roman" w:hAnsi="Times New Roman" w:cs="Times New Roman"/>
          <w:sz w:val="24"/>
          <w:szCs w:val="24"/>
        </w:rPr>
        <w:t xml:space="preserve"> Lei nº 13.460/2017</w:t>
      </w:r>
      <w:r w:rsidR="007D3A03" w:rsidRPr="007D3A03">
        <w:rPr>
          <w:rFonts w:ascii="Times New Roman" w:hAnsi="Times New Roman" w:cs="Times New Roman"/>
          <w:sz w:val="24"/>
          <w:szCs w:val="24"/>
        </w:rPr>
        <w:t xml:space="preserve">, </w:t>
      </w:r>
      <w:r w:rsidR="00733CE9" w:rsidRPr="007D3A03">
        <w:rPr>
          <w:rFonts w:ascii="Times New Roman" w:hAnsi="Times New Roman" w:cs="Times New Roman"/>
          <w:sz w:val="24"/>
          <w:szCs w:val="24"/>
        </w:rPr>
        <w:t xml:space="preserve">no âmbito organizacional, pela comissão designada por meio da Portaria da Presidência nº 160, de 26 de março de </w:t>
      </w:r>
      <w:r w:rsidR="00733CE9" w:rsidRPr="00911A23">
        <w:rPr>
          <w:rFonts w:ascii="Times New Roman" w:hAnsi="Times New Roman" w:cs="Times New Roman"/>
          <w:sz w:val="24"/>
          <w:szCs w:val="24"/>
        </w:rPr>
        <w:t>2018</w:t>
      </w:r>
      <w:r w:rsidR="006A6B99" w:rsidRPr="00911A23">
        <w:rPr>
          <w:rFonts w:ascii="Times New Roman" w:hAnsi="Times New Roman" w:cs="Times New Roman"/>
          <w:sz w:val="24"/>
          <w:szCs w:val="24"/>
        </w:rPr>
        <w:t>;</w:t>
      </w:r>
      <w:r w:rsidR="000503A7" w:rsidRPr="00911A23">
        <w:rPr>
          <w:rFonts w:ascii="Times New Roman" w:hAnsi="Times New Roman" w:cs="Times New Roman"/>
          <w:sz w:val="24"/>
          <w:szCs w:val="24"/>
        </w:rPr>
        <w:t xml:space="preserve"> e </w:t>
      </w:r>
      <w:r w:rsidR="006A6B99" w:rsidRPr="007D3A03">
        <w:rPr>
          <w:rFonts w:ascii="Times New Roman" w:hAnsi="Times New Roman" w:cs="Times New Roman"/>
          <w:sz w:val="24"/>
          <w:szCs w:val="24"/>
        </w:rPr>
        <w:t xml:space="preserve">formalização do Plano de Comunicação da Estratégia </w:t>
      </w:r>
      <w:r w:rsidR="00733CE9" w:rsidRPr="007D3A03">
        <w:rPr>
          <w:rFonts w:ascii="Times New Roman" w:hAnsi="Times New Roman" w:cs="Times New Roman"/>
          <w:sz w:val="24"/>
          <w:szCs w:val="24"/>
        </w:rPr>
        <w:t xml:space="preserve">2016-2021 </w:t>
      </w:r>
      <w:r w:rsidR="006A6B99" w:rsidRPr="007D3A03">
        <w:rPr>
          <w:rFonts w:ascii="Times New Roman" w:hAnsi="Times New Roman" w:cs="Times New Roman"/>
          <w:sz w:val="24"/>
          <w:szCs w:val="24"/>
        </w:rPr>
        <w:t>do TRE-BA</w:t>
      </w:r>
      <w:r w:rsidR="000B69EA" w:rsidRPr="007D3A03">
        <w:rPr>
          <w:rFonts w:ascii="Times New Roman" w:hAnsi="Times New Roman" w:cs="Times New Roman"/>
          <w:sz w:val="24"/>
          <w:szCs w:val="24"/>
        </w:rPr>
        <w:t>.</w:t>
      </w:r>
      <w:r w:rsidR="000503A7" w:rsidRPr="007D3A03">
        <w:rPr>
          <w:rFonts w:ascii="Times New Roman" w:hAnsi="Times New Roman" w:cs="Times New Roman"/>
          <w:sz w:val="24"/>
          <w:szCs w:val="24"/>
        </w:rPr>
        <w:t xml:space="preserve">  </w:t>
      </w:r>
      <w:r w:rsidRPr="007D3A03">
        <w:rPr>
          <w:rFonts w:ascii="Times New Roman" w:hAnsi="Times New Roman" w:cs="Times New Roman"/>
          <w:sz w:val="24"/>
          <w:szCs w:val="24"/>
        </w:rPr>
        <w:t xml:space="preserve">  </w:t>
      </w:r>
    </w:p>
    <w:p w:rsidR="00416FBB" w:rsidRPr="00A918F7" w:rsidRDefault="00C22113" w:rsidP="00A918F7">
      <w:pPr>
        <w:numPr>
          <w:ilvl w:val="1"/>
          <w:numId w:val="1"/>
        </w:numPr>
        <w:spacing w:after="120" w:line="240" w:lineRule="auto"/>
        <w:jc w:val="both"/>
        <w:rPr>
          <w:rFonts w:ascii="Times New Roman" w:hAnsi="Times New Roman" w:cs="Times New Roman"/>
          <w:color w:val="000000" w:themeColor="text1"/>
          <w:sz w:val="24"/>
          <w:szCs w:val="24"/>
        </w:rPr>
      </w:pPr>
      <w:r w:rsidRPr="00A918F7">
        <w:rPr>
          <w:rFonts w:ascii="Times New Roman" w:hAnsi="Times New Roman" w:cs="Times New Roman"/>
          <w:color w:val="000000" w:themeColor="text1"/>
          <w:sz w:val="24"/>
          <w:szCs w:val="24"/>
        </w:rPr>
        <w:t xml:space="preserve">Assim, </w:t>
      </w:r>
      <w:r w:rsidR="00600906" w:rsidRPr="00A918F7">
        <w:rPr>
          <w:rFonts w:ascii="Times New Roman" w:hAnsi="Times New Roman" w:cs="Times New Roman"/>
          <w:color w:val="000000" w:themeColor="text1"/>
          <w:sz w:val="24"/>
          <w:szCs w:val="24"/>
        </w:rPr>
        <w:t>espera-se que os encaminhamentos propostos em seção delineada na sequência auxiliem a Alta Administração e demais áreas envolvidas no processo de execução da estratégia</w:t>
      </w:r>
      <w:r w:rsidR="00A918F7" w:rsidRPr="00A918F7">
        <w:rPr>
          <w:rFonts w:ascii="Times New Roman" w:hAnsi="Times New Roman" w:cs="Times New Roman"/>
          <w:color w:val="000000" w:themeColor="text1"/>
          <w:sz w:val="24"/>
          <w:szCs w:val="24"/>
        </w:rPr>
        <w:t xml:space="preserve"> organizacional a sanear as fragilidades ora evidenciadas e ainda subsistentes, bem como assegurar a realização, na prática, da missão deste Regional</w:t>
      </w:r>
      <w:r w:rsidR="00C74BFF" w:rsidRPr="00A918F7">
        <w:rPr>
          <w:rFonts w:ascii="Times New Roman" w:hAnsi="Times New Roman" w:cs="Times New Roman"/>
          <w:color w:val="000000" w:themeColor="text1"/>
          <w:sz w:val="24"/>
          <w:szCs w:val="24"/>
        </w:rPr>
        <w:t>.</w:t>
      </w:r>
      <w:r w:rsidR="0025238C" w:rsidRPr="00A918F7">
        <w:rPr>
          <w:rFonts w:ascii="Times New Roman" w:hAnsi="Times New Roman" w:cs="Times New Roman"/>
          <w:color w:val="000000" w:themeColor="text1"/>
          <w:sz w:val="24"/>
          <w:szCs w:val="24"/>
        </w:rPr>
        <w:t xml:space="preserve"> </w:t>
      </w:r>
    </w:p>
    <w:p w:rsidR="00EC46B1" w:rsidRPr="006A4542" w:rsidRDefault="00EC46B1" w:rsidP="00C22113">
      <w:pPr>
        <w:pStyle w:val="PargrafodaLista"/>
        <w:spacing w:after="240"/>
        <w:ind w:left="357" w:hanging="357"/>
        <w:rPr>
          <w:sz w:val="24"/>
          <w:szCs w:val="24"/>
        </w:rPr>
      </w:pPr>
      <w:bookmarkStart w:id="24" w:name="_Toc469339942"/>
      <w:bookmarkStart w:id="25" w:name="_Toc511288071"/>
      <w:r w:rsidRPr="006A4542">
        <w:rPr>
          <w:sz w:val="24"/>
          <w:szCs w:val="24"/>
        </w:rPr>
        <w:t>PROPOSTAS DE ENCAMINHAMENTO</w:t>
      </w:r>
      <w:bookmarkEnd w:id="24"/>
      <w:bookmarkEnd w:id="25"/>
    </w:p>
    <w:p w:rsidR="009E794C" w:rsidRPr="00775054" w:rsidRDefault="00EC46B1" w:rsidP="00414DB8">
      <w:pPr>
        <w:numPr>
          <w:ilvl w:val="1"/>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No tocante às vulnerabilidades evidenciadas no item </w:t>
      </w:r>
      <w:proofErr w:type="gramStart"/>
      <w:r w:rsidRPr="00775054">
        <w:rPr>
          <w:rFonts w:ascii="Times New Roman" w:hAnsi="Times New Roman" w:cs="Times New Roman"/>
          <w:color w:val="000000" w:themeColor="text1"/>
          <w:sz w:val="24"/>
          <w:szCs w:val="24"/>
        </w:rPr>
        <w:t>2</w:t>
      </w:r>
      <w:proofErr w:type="gramEnd"/>
      <w:r w:rsidRPr="00775054">
        <w:rPr>
          <w:rFonts w:ascii="Times New Roman" w:hAnsi="Times New Roman" w:cs="Times New Roman"/>
          <w:color w:val="000000" w:themeColor="text1"/>
          <w:sz w:val="24"/>
          <w:szCs w:val="24"/>
        </w:rPr>
        <w:t>, submete-se ao exame superior, visando posterior apreciação pela Presidência desta Casa, as seguintes propostas de encaminhamento:</w:t>
      </w:r>
    </w:p>
    <w:p w:rsidR="0025238C" w:rsidRPr="006D7FC1" w:rsidRDefault="002958B9" w:rsidP="00245C41">
      <w:pPr>
        <w:numPr>
          <w:ilvl w:val="2"/>
          <w:numId w:val="1"/>
        </w:numPr>
        <w:spacing w:after="120" w:line="240" w:lineRule="auto"/>
        <w:jc w:val="both"/>
        <w:rPr>
          <w:rFonts w:ascii="Times New Roman" w:hAnsi="Times New Roman" w:cs="Times New Roman"/>
          <w:i/>
          <w:strike/>
          <w:color w:val="006600"/>
          <w:sz w:val="24"/>
          <w:szCs w:val="24"/>
        </w:rPr>
      </w:pPr>
      <w:r>
        <w:rPr>
          <w:rFonts w:ascii="Times New Roman" w:hAnsi="Times New Roman" w:cs="Times New Roman"/>
          <w:color w:val="000000" w:themeColor="text1"/>
          <w:sz w:val="24"/>
          <w:szCs w:val="24"/>
        </w:rPr>
        <w:t>Recomendar a</w:t>
      </w:r>
      <w:r w:rsidR="008F6E60" w:rsidRPr="008F6E60">
        <w:rPr>
          <w:rFonts w:ascii="Times New Roman" w:hAnsi="Times New Roman" w:cs="Times New Roman"/>
          <w:color w:val="000000" w:themeColor="text1"/>
          <w:sz w:val="24"/>
          <w:szCs w:val="24"/>
        </w:rPr>
        <w:t>o</w:t>
      </w:r>
      <w:r w:rsidR="002C000A" w:rsidRPr="008F6E60">
        <w:rPr>
          <w:rFonts w:ascii="Times New Roman" w:hAnsi="Times New Roman" w:cs="Times New Roman"/>
          <w:color w:val="000000" w:themeColor="text1"/>
          <w:sz w:val="24"/>
          <w:szCs w:val="24"/>
        </w:rPr>
        <w:t xml:space="preserve"> Presidente </w:t>
      </w:r>
      <w:r w:rsidR="000D7979" w:rsidRPr="008F6E60">
        <w:rPr>
          <w:rFonts w:ascii="Times New Roman" w:hAnsi="Times New Roman" w:cs="Times New Roman"/>
          <w:color w:val="000000" w:themeColor="text1"/>
          <w:sz w:val="24"/>
          <w:szCs w:val="24"/>
        </w:rPr>
        <w:t xml:space="preserve">da Comissão </w:t>
      </w:r>
      <w:r w:rsidR="002C000A" w:rsidRPr="008F6E60">
        <w:rPr>
          <w:rFonts w:ascii="Times New Roman" w:hAnsi="Times New Roman" w:cs="Times New Roman"/>
          <w:color w:val="000000" w:themeColor="text1"/>
          <w:sz w:val="24"/>
          <w:szCs w:val="24"/>
        </w:rPr>
        <w:t xml:space="preserve">Permanente </w:t>
      </w:r>
      <w:r w:rsidR="000D7979" w:rsidRPr="008F6E60">
        <w:rPr>
          <w:rFonts w:ascii="Times New Roman" w:hAnsi="Times New Roman" w:cs="Times New Roman"/>
          <w:color w:val="000000" w:themeColor="text1"/>
          <w:sz w:val="24"/>
          <w:szCs w:val="24"/>
        </w:rPr>
        <w:t xml:space="preserve">de Ética que dê celeridade à execução das atividades afetas ao Plano de Ação </w:t>
      </w:r>
      <w:r w:rsidR="002C000A" w:rsidRPr="008F6E60">
        <w:rPr>
          <w:rFonts w:ascii="Times New Roman" w:hAnsi="Times New Roman" w:cs="Times New Roman"/>
          <w:color w:val="000000" w:themeColor="text1"/>
          <w:sz w:val="24"/>
          <w:szCs w:val="24"/>
        </w:rPr>
        <w:t>aprovado pela Presidência desta Casa (</w:t>
      </w:r>
      <w:r w:rsidR="000D7979" w:rsidRPr="008F6E60">
        <w:rPr>
          <w:rFonts w:ascii="Times New Roman" w:hAnsi="Times New Roman" w:cs="Times New Roman"/>
          <w:color w:val="000000" w:themeColor="text1"/>
          <w:sz w:val="24"/>
          <w:szCs w:val="24"/>
        </w:rPr>
        <w:t>PAD nº 10.985/2017, Doc. nº 176.785/2017)</w:t>
      </w:r>
      <w:r w:rsidR="002C000A" w:rsidRPr="008F6E60">
        <w:rPr>
          <w:rFonts w:ascii="Times New Roman" w:hAnsi="Times New Roman" w:cs="Times New Roman"/>
          <w:color w:val="000000" w:themeColor="text1"/>
          <w:sz w:val="24"/>
          <w:szCs w:val="24"/>
        </w:rPr>
        <w:t xml:space="preserve"> (Ref</w:t>
      </w:r>
      <w:r w:rsidR="00182F92" w:rsidRPr="008F6E60">
        <w:rPr>
          <w:rFonts w:ascii="Times New Roman" w:hAnsi="Times New Roman" w:cs="Times New Roman"/>
          <w:color w:val="000000" w:themeColor="text1"/>
          <w:sz w:val="24"/>
          <w:szCs w:val="24"/>
        </w:rPr>
        <w:t>.</w:t>
      </w:r>
      <w:r w:rsidR="002C000A" w:rsidRPr="008F6E60">
        <w:rPr>
          <w:rFonts w:ascii="Times New Roman" w:hAnsi="Times New Roman" w:cs="Times New Roman"/>
          <w:color w:val="000000" w:themeColor="text1"/>
          <w:sz w:val="24"/>
          <w:szCs w:val="24"/>
        </w:rPr>
        <w:t xml:space="preserve"> subite</w:t>
      </w:r>
      <w:r w:rsidR="00FF46A3">
        <w:rPr>
          <w:rFonts w:ascii="Times New Roman" w:hAnsi="Times New Roman" w:cs="Times New Roman"/>
          <w:color w:val="000000" w:themeColor="text1"/>
          <w:sz w:val="24"/>
          <w:szCs w:val="24"/>
        </w:rPr>
        <w:t>m</w:t>
      </w:r>
      <w:r w:rsidR="002C000A" w:rsidRPr="008F6E60">
        <w:rPr>
          <w:rFonts w:ascii="Times New Roman" w:hAnsi="Times New Roman" w:cs="Times New Roman"/>
          <w:color w:val="000000" w:themeColor="text1"/>
          <w:sz w:val="24"/>
          <w:szCs w:val="24"/>
        </w:rPr>
        <w:t xml:space="preserve"> 2.1.1)</w:t>
      </w:r>
      <w:r w:rsidR="000D0FF5" w:rsidRPr="008F6E60">
        <w:rPr>
          <w:rFonts w:ascii="Times New Roman" w:hAnsi="Times New Roman" w:cs="Times New Roman"/>
          <w:color w:val="000000" w:themeColor="text1"/>
          <w:sz w:val="24"/>
          <w:szCs w:val="24"/>
        </w:rPr>
        <w:t>;</w:t>
      </w:r>
    </w:p>
    <w:p w:rsidR="00A964F4" w:rsidRPr="00872C05" w:rsidRDefault="00872C05" w:rsidP="00A964F4">
      <w:pPr>
        <w:numPr>
          <w:ilvl w:val="2"/>
          <w:numId w:val="1"/>
        </w:numPr>
        <w:spacing w:after="120" w:line="240" w:lineRule="auto"/>
        <w:jc w:val="both"/>
        <w:rPr>
          <w:rFonts w:ascii="Times New Roman" w:hAnsi="Times New Roman" w:cs="Times New Roman"/>
          <w:color w:val="FF0000"/>
          <w:sz w:val="24"/>
          <w:szCs w:val="24"/>
        </w:rPr>
      </w:pPr>
      <w:r w:rsidRPr="0025238C">
        <w:rPr>
          <w:rFonts w:ascii="Times New Roman" w:hAnsi="Times New Roman" w:cs="Times New Roman"/>
          <w:sz w:val="24"/>
          <w:szCs w:val="24"/>
        </w:rPr>
        <w:t xml:space="preserve">Recomendar à </w:t>
      </w:r>
      <w:r w:rsidR="00C905CD">
        <w:rPr>
          <w:rFonts w:ascii="Times New Roman" w:hAnsi="Times New Roman" w:cs="Times New Roman"/>
          <w:sz w:val="24"/>
          <w:szCs w:val="24"/>
        </w:rPr>
        <w:t xml:space="preserve">Presidência </w:t>
      </w:r>
      <w:r w:rsidRPr="0025238C">
        <w:rPr>
          <w:rFonts w:ascii="Times New Roman" w:hAnsi="Times New Roman" w:cs="Times New Roman"/>
          <w:sz w:val="24"/>
          <w:szCs w:val="24"/>
        </w:rPr>
        <w:t>que, quando da designação de servidores para o exercício de cargo em comissão ou função comissionada integrante da estrutura orgânica da COPEG, observe as competências técnicas e comportamentais definidas</w:t>
      </w:r>
      <w:r w:rsidR="00D6023C" w:rsidRPr="0025238C">
        <w:rPr>
          <w:rFonts w:ascii="Times New Roman" w:hAnsi="Times New Roman" w:cs="Times New Roman"/>
          <w:sz w:val="24"/>
          <w:szCs w:val="24"/>
        </w:rPr>
        <w:t>,</w:t>
      </w:r>
      <w:r w:rsidRPr="0025238C">
        <w:rPr>
          <w:rFonts w:ascii="Times New Roman" w:hAnsi="Times New Roman" w:cs="Times New Roman"/>
          <w:sz w:val="24"/>
          <w:szCs w:val="24"/>
        </w:rPr>
        <w:t xml:space="preserve"> pelo Projeto Gestão por Competências</w:t>
      </w:r>
      <w:r w:rsidR="00D6023C" w:rsidRPr="0025238C">
        <w:rPr>
          <w:rFonts w:ascii="Times New Roman" w:hAnsi="Times New Roman" w:cs="Times New Roman"/>
          <w:sz w:val="24"/>
          <w:szCs w:val="24"/>
        </w:rPr>
        <w:t>,</w:t>
      </w:r>
      <w:r w:rsidRPr="0025238C">
        <w:rPr>
          <w:rFonts w:ascii="Times New Roman" w:hAnsi="Times New Roman" w:cs="Times New Roman"/>
          <w:sz w:val="24"/>
          <w:szCs w:val="24"/>
        </w:rPr>
        <w:t xml:space="preserve"> para a área</w:t>
      </w:r>
      <w:r w:rsidR="00D6023C" w:rsidRPr="0025238C">
        <w:rPr>
          <w:rFonts w:ascii="Times New Roman" w:hAnsi="Times New Roman" w:cs="Times New Roman"/>
          <w:sz w:val="24"/>
          <w:szCs w:val="24"/>
        </w:rPr>
        <w:t xml:space="preserve">, instituindo mecanismos de controle e monitorando, ainda, sua </w:t>
      </w:r>
      <w:proofErr w:type="gramStart"/>
      <w:r w:rsidR="00D6023C" w:rsidRPr="0025238C">
        <w:rPr>
          <w:rFonts w:ascii="Times New Roman" w:hAnsi="Times New Roman" w:cs="Times New Roman"/>
          <w:sz w:val="24"/>
          <w:szCs w:val="24"/>
        </w:rPr>
        <w:t>implementação</w:t>
      </w:r>
      <w:proofErr w:type="gramEnd"/>
      <w:r w:rsidR="00D6023C" w:rsidRPr="0025238C">
        <w:rPr>
          <w:rFonts w:ascii="Times New Roman" w:hAnsi="Times New Roman" w:cs="Times New Roman"/>
          <w:sz w:val="24"/>
          <w:szCs w:val="24"/>
        </w:rPr>
        <w:t xml:space="preserve"> e efetividade</w:t>
      </w:r>
      <w:r w:rsidR="00D6023C" w:rsidRPr="0025238C">
        <w:rPr>
          <w:sz w:val="24"/>
          <w:szCs w:val="24"/>
        </w:rPr>
        <w:t xml:space="preserve"> </w:t>
      </w:r>
      <w:r w:rsidRPr="0025238C">
        <w:rPr>
          <w:rFonts w:ascii="Times New Roman" w:hAnsi="Times New Roman" w:cs="Times New Roman"/>
          <w:sz w:val="24"/>
          <w:szCs w:val="24"/>
        </w:rPr>
        <w:t xml:space="preserve">(Ref. subitem </w:t>
      </w:r>
      <w:r w:rsidR="008B7D32">
        <w:rPr>
          <w:rFonts w:ascii="Times New Roman" w:hAnsi="Times New Roman" w:cs="Times New Roman"/>
          <w:sz w:val="24"/>
          <w:szCs w:val="24"/>
        </w:rPr>
        <w:t>2.1.2</w:t>
      </w:r>
      <w:r w:rsidRPr="0025238C">
        <w:rPr>
          <w:rFonts w:ascii="Times New Roman" w:hAnsi="Times New Roman" w:cs="Times New Roman"/>
          <w:sz w:val="24"/>
          <w:szCs w:val="24"/>
        </w:rPr>
        <w:t>);</w:t>
      </w:r>
    </w:p>
    <w:p w:rsidR="000916B1" w:rsidRPr="006D7FC1" w:rsidRDefault="00872C05" w:rsidP="003715DF">
      <w:pPr>
        <w:numPr>
          <w:ilvl w:val="2"/>
          <w:numId w:val="1"/>
        </w:numPr>
        <w:spacing w:after="120" w:line="240" w:lineRule="auto"/>
        <w:jc w:val="both"/>
        <w:rPr>
          <w:rFonts w:ascii="Times New Roman" w:hAnsi="Times New Roman" w:cs="Times New Roman"/>
          <w:i/>
          <w:color w:val="006600"/>
          <w:sz w:val="24"/>
          <w:szCs w:val="24"/>
        </w:rPr>
      </w:pPr>
      <w:r w:rsidRPr="0025238C">
        <w:rPr>
          <w:rFonts w:ascii="Times New Roman" w:hAnsi="Times New Roman" w:cs="Times New Roman"/>
          <w:sz w:val="24"/>
          <w:szCs w:val="24"/>
        </w:rPr>
        <w:t xml:space="preserve">Recomendar à SGP que, </w:t>
      </w:r>
      <w:r w:rsidR="00D6023C" w:rsidRPr="0025238C">
        <w:rPr>
          <w:rFonts w:ascii="Times New Roman" w:hAnsi="Times New Roman" w:cs="Times New Roman"/>
          <w:sz w:val="24"/>
          <w:szCs w:val="24"/>
        </w:rPr>
        <w:t xml:space="preserve">observado o prazo de </w:t>
      </w:r>
      <w:r w:rsidR="00C905CD">
        <w:rPr>
          <w:rFonts w:ascii="Times New Roman" w:hAnsi="Times New Roman" w:cs="Times New Roman"/>
          <w:sz w:val="24"/>
          <w:szCs w:val="24"/>
        </w:rPr>
        <w:t>6</w:t>
      </w:r>
      <w:r w:rsidR="00D6023C" w:rsidRPr="0025238C">
        <w:rPr>
          <w:rFonts w:ascii="Times New Roman" w:hAnsi="Times New Roman" w:cs="Times New Roman"/>
          <w:sz w:val="24"/>
          <w:szCs w:val="24"/>
        </w:rPr>
        <w:t xml:space="preserve">0 dias, após </w:t>
      </w:r>
      <w:r w:rsidR="000916B1" w:rsidRPr="0025238C">
        <w:rPr>
          <w:rFonts w:ascii="Times New Roman" w:hAnsi="Times New Roman" w:cs="Times New Roman"/>
          <w:sz w:val="24"/>
          <w:szCs w:val="24"/>
        </w:rPr>
        <w:t>apuração de resultados</w:t>
      </w:r>
      <w:r w:rsidR="00D6023C" w:rsidRPr="0025238C">
        <w:rPr>
          <w:rFonts w:ascii="Times New Roman" w:hAnsi="Times New Roman" w:cs="Times New Roman"/>
          <w:sz w:val="24"/>
          <w:szCs w:val="24"/>
        </w:rPr>
        <w:t xml:space="preserve"> </w:t>
      </w:r>
      <w:r w:rsidR="000916B1" w:rsidRPr="0025238C">
        <w:rPr>
          <w:rFonts w:ascii="Times New Roman" w:hAnsi="Times New Roman" w:cs="Times New Roman"/>
          <w:sz w:val="24"/>
          <w:szCs w:val="24"/>
        </w:rPr>
        <w:t>decorrentes da</w:t>
      </w:r>
      <w:r w:rsidR="00D6023C" w:rsidRPr="0025238C">
        <w:rPr>
          <w:rFonts w:ascii="Times New Roman" w:hAnsi="Times New Roman" w:cs="Times New Roman"/>
          <w:sz w:val="24"/>
          <w:szCs w:val="24"/>
        </w:rPr>
        <w:t xml:space="preserve"> avaliação de ocupantes de cargo em comissão e função comissionada </w:t>
      </w:r>
      <w:r w:rsidR="000916B1" w:rsidRPr="0025238C">
        <w:rPr>
          <w:rFonts w:ascii="Times New Roman" w:hAnsi="Times New Roman" w:cs="Times New Roman"/>
          <w:sz w:val="24"/>
          <w:szCs w:val="24"/>
        </w:rPr>
        <w:t>alocados na</w:t>
      </w:r>
      <w:r w:rsidR="00D6023C" w:rsidRPr="0025238C">
        <w:rPr>
          <w:rFonts w:ascii="Times New Roman" w:hAnsi="Times New Roman" w:cs="Times New Roman"/>
          <w:sz w:val="24"/>
          <w:szCs w:val="24"/>
        </w:rPr>
        <w:t xml:space="preserve"> COPEG, </w:t>
      </w:r>
      <w:r w:rsidRPr="0025238C">
        <w:rPr>
          <w:rFonts w:ascii="Times New Roman" w:hAnsi="Times New Roman" w:cs="Times New Roman"/>
          <w:sz w:val="24"/>
          <w:szCs w:val="24"/>
        </w:rPr>
        <w:t>identificadas lacunas de competência</w:t>
      </w:r>
      <w:r w:rsidR="00D6023C" w:rsidRPr="0025238C">
        <w:rPr>
          <w:rFonts w:ascii="Times New Roman" w:hAnsi="Times New Roman" w:cs="Times New Roman"/>
          <w:sz w:val="24"/>
          <w:szCs w:val="24"/>
        </w:rPr>
        <w:t xml:space="preserve"> </w:t>
      </w:r>
      <w:r w:rsidRPr="0025238C">
        <w:rPr>
          <w:rFonts w:ascii="Times New Roman" w:hAnsi="Times New Roman" w:cs="Times New Roman"/>
          <w:sz w:val="24"/>
          <w:szCs w:val="24"/>
        </w:rPr>
        <w:t>relativamente àquelas referencialmente definidas pelo Projeto Gestão por Competências,</w:t>
      </w:r>
      <w:r w:rsidR="00D6023C" w:rsidRPr="0025238C">
        <w:rPr>
          <w:rFonts w:ascii="Times New Roman" w:hAnsi="Times New Roman" w:cs="Times New Roman"/>
          <w:sz w:val="24"/>
          <w:szCs w:val="24"/>
        </w:rPr>
        <w:t xml:space="preserve"> </w:t>
      </w:r>
      <w:r w:rsidR="006A6B99" w:rsidRPr="007D3A03">
        <w:rPr>
          <w:rFonts w:ascii="Times New Roman" w:hAnsi="Times New Roman" w:cs="Times New Roman"/>
          <w:sz w:val="24"/>
          <w:szCs w:val="24"/>
        </w:rPr>
        <w:t xml:space="preserve">oriente os respectivos gestores na formalização de </w:t>
      </w:r>
      <w:r w:rsidR="00D6023C" w:rsidRPr="0025238C">
        <w:rPr>
          <w:rFonts w:ascii="Times New Roman" w:hAnsi="Times New Roman" w:cs="Times New Roman"/>
          <w:sz w:val="24"/>
          <w:szCs w:val="24"/>
        </w:rPr>
        <w:t>Planos de Desenvolvimento Individual (PDI)</w:t>
      </w:r>
      <w:r w:rsidR="000916B1" w:rsidRPr="0025238C">
        <w:rPr>
          <w:rFonts w:ascii="Times New Roman" w:hAnsi="Times New Roman" w:cs="Times New Roman"/>
          <w:sz w:val="24"/>
          <w:szCs w:val="24"/>
        </w:rPr>
        <w:t xml:space="preserve">, assegurando sua efetiva </w:t>
      </w:r>
      <w:proofErr w:type="gramStart"/>
      <w:r w:rsidR="000916B1" w:rsidRPr="0025238C">
        <w:rPr>
          <w:rFonts w:ascii="Times New Roman" w:hAnsi="Times New Roman" w:cs="Times New Roman"/>
          <w:sz w:val="24"/>
          <w:szCs w:val="24"/>
        </w:rPr>
        <w:t>implementação</w:t>
      </w:r>
      <w:proofErr w:type="gramEnd"/>
      <w:r w:rsidR="000916B1" w:rsidRPr="0025238C">
        <w:rPr>
          <w:rFonts w:ascii="Times New Roman" w:hAnsi="Times New Roman" w:cs="Times New Roman"/>
          <w:sz w:val="24"/>
          <w:szCs w:val="24"/>
        </w:rPr>
        <w:t xml:space="preserve"> (Ref. subitem </w:t>
      </w:r>
      <w:r w:rsidR="008B7D32">
        <w:rPr>
          <w:rFonts w:ascii="Times New Roman" w:hAnsi="Times New Roman" w:cs="Times New Roman"/>
          <w:sz w:val="24"/>
          <w:szCs w:val="24"/>
        </w:rPr>
        <w:t>2.1.2</w:t>
      </w:r>
      <w:r w:rsidR="000916B1" w:rsidRPr="0025238C">
        <w:rPr>
          <w:rFonts w:ascii="Times New Roman" w:hAnsi="Times New Roman" w:cs="Times New Roman"/>
          <w:sz w:val="24"/>
          <w:szCs w:val="24"/>
        </w:rPr>
        <w:t>);</w:t>
      </w:r>
      <w:r w:rsidR="006D7FC1">
        <w:rPr>
          <w:rFonts w:ascii="Times New Roman" w:hAnsi="Times New Roman" w:cs="Times New Roman"/>
          <w:sz w:val="24"/>
          <w:szCs w:val="24"/>
        </w:rPr>
        <w:t xml:space="preserve"> </w:t>
      </w:r>
    </w:p>
    <w:p w:rsidR="003715DF" w:rsidRPr="000916B1" w:rsidRDefault="003715DF" w:rsidP="003715DF">
      <w:pPr>
        <w:numPr>
          <w:ilvl w:val="2"/>
          <w:numId w:val="1"/>
        </w:numPr>
        <w:spacing w:after="120" w:line="240" w:lineRule="auto"/>
        <w:jc w:val="both"/>
        <w:rPr>
          <w:rFonts w:ascii="Times New Roman" w:hAnsi="Times New Roman" w:cs="Times New Roman"/>
          <w:color w:val="000000" w:themeColor="text1"/>
          <w:sz w:val="24"/>
          <w:szCs w:val="24"/>
        </w:rPr>
      </w:pPr>
      <w:r w:rsidRPr="000916B1">
        <w:rPr>
          <w:rFonts w:ascii="Times New Roman" w:hAnsi="Times New Roman" w:cs="Times New Roman"/>
          <w:color w:val="000000" w:themeColor="text1"/>
          <w:sz w:val="24"/>
          <w:szCs w:val="24"/>
        </w:rPr>
        <w:t>Recomendar à COPEG que, com o apoio da ASJUR</w:t>
      </w:r>
      <w:r w:rsidR="00C905CD">
        <w:rPr>
          <w:rFonts w:ascii="Times New Roman" w:hAnsi="Times New Roman" w:cs="Times New Roman"/>
          <w:color w:val="000000" w:themeColor="text1"/>
          <w:sz w:val="24"/>
          <w:szCs w:val="24"/>
        </w:rPr>
        <w:t>2</w:t>
      </w:r>
      <w:r w:rsidRPr="000916B1">
        <w:rPr>
          <w:rFonts w:ascii="Times New Roman" w:hAnsi="Times New Roman" w:cs="Times New Roman"/>
          <w:color w:val="000000" w:themeColor="text1"/>
          <w:sz w:val="24"/>
          <w:szCs w:val="24"/>
        </w:rPr>
        <w:t xml:space="preserve"> e observado o prazo de 90 dias, submeta à Alta Administração minuta de normativo destinado a regulamentar o monitoramento da execução da </w:t>
      </w:r>
      <w:r w:rsidR="00182F92">
        <w:rPr>
          <w:rFonts w:ascii="Times New Roman" w:hAnsi="Times New Roman" w:cs="Times New Roman"/>
          <w:color w:val="000000" w:themeColor="text1"/>
          <w:sz w:val="24"/>
          <w:szCs w:val="24"/>
        </w:rPr>
        <w:t>e</w:t>
      </w:r>
      <w:r w:rsidRPr="000916B1">
        <w:rPr>
          <w:rFonts w:ascii="Times New Roman" w:hAnsi="Times New Roman" w:cs="Times New Roman"/>
          <w:color w:val="000000" w:themeColor="text1"/>
          <w:sz w:val="24"/>
          <w:szCs w:val="24"/>
        </w:rPr>
        <w:t>stratégia organizacional, contemplando, inclusive</w:t>
      </w:r>
      <w:r w:rsidR="000916B1">
        <w:rPr>
          <w:rFonts w:ascii="Times New Roman" w:hAnsi="Times New Roman" w:cs="Times New Roman"/>
          <w:color w:val="000000" w:themeColor="text1"/>
          <w:sz w:val="24"/>
          <w:szCs w:val="24"/>
        </w:rPr>
        <w:t>,</w:t>
      </w:r>
      <w:r w:rsidRPr="000916B1">
        <w:rPr>
          <w:rFonts w:ascii="Times New Roman" w:hAnsi="Times New Roman" w:cs="Times New Roman"/>
          <w:color w:val="000000" w:themeColor="text1"/>
          <w:sz w:val="24"/>
          <w:szCs w:val="24"/>
        </w:rPr>
        <w:t xml:space="preserve"> as Metas Nacionais do Poder Judiciário, bem como papéis, responsabilidades, procedimentos e respectivos prazos, além de medidas assecuratórias do cumprimento da sistemática estabelecida (Ref. subite</w:t>
      </w:r>
      <w:r w:rsidR="000916B1">
        <w:rPr>
          <w:rFonts w:ascii="Times New Roman" w:hAnsi="Times New Roman" w:cs="Times New Roman"/>
          <w:color w:val="000000" w:themeColor="text1"/>
          <w:sz w:val="24"/>
          <w:szCs w:val="24"/>
        </w:rPr>
        <w:t>m</w:t>
      </w:r>
      <w:r w:rsidR="00A964F4" w:rsidRPr="000916B1">
        <w:rPr>
          <w:rFonts w:ascii="Times New Roman" w:hAnsi="Times New Roman" w:cs="Times New Roman"/>
          <w:color w:val="000000" w:themeColor="text1"/>
          <w:sz w:val="24"/>
          <w:szCs w:val="24"/>
        </w:rPr>
        <w:t xml:space="preserve"> </w:t>
      </w:r>
      <w:r w:rsidR="008B7D32">
        <w:rPr>
          <w:rFonts w:ascii="Times New Roman" w:hAnsi="Times New Roman" w:cs="Times New Roman"/>
          <w:color w:val="000000" w:themeColor="text1"/>
          <w:sz w:val="24"/>
          <w:szCs w:val="24"/>
        </w:rPr>
        <w:t>2.1.3</w:t>
      </w:r>
      <w:r w:rsidR="00A964F4" w:rsidRPr="000916B1">
        <w:rPr>
          <w:rFonts w:ascii="Times New Roman" w:hAnsi="Times New Roman" w:cs="Times New Roman"/>
          <w:color w:val="000000" w:themeColor="text1"/>
          <w:sz w:val="24"/>
          <w:szCs w:val="24"/>
        </w:rPr>
        <w:t>)</w:t>
      </w:r>
      <w:r w:rsidR="00366ACD">
        <w:rPr>
          <w:rFonts w:ascii="Times New Roman" w:hAnsi="Times New Roman" w:cs="Times New Roman"/>
          <w:color w:val="000000" w:themeColor="text1"/>
          <w:sz w:val="24"/>
          <w:szCs w:val="24"/>
        </w:rPr>
        <w:t>;</w:t>
      </w:r>
    </w:p>
    <w:p w:rsidR="00A964F4" w:rsidRPr="008F6E60" w:rsidRDefault="00A964F4" w:rsidP="00A964F4">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Recomendar à COPEG que, observado o prazo de 60 dias, institua rotina de publicação e atualização de conteúdos atinentes à estratégia organizacional</w:t>
      </w:r>
      <w:r w:rsidR="000916B1">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nos Portais da Internet e Intranet do Tribunal, contemplando, inclusive, revisões de direcionadores, iniciativas e indicadores de desempenho estratégicos resultantes </w:t>
      </w:r>
      <w:r w:rsidRPr="00775054">
        <w:rPr>
          <w:rFonts w:ascii="Times New Roman" w:hAnsi="Times New Roman" w:cs="Times New Roman"/>
          <w:color w:val="000000" w:themeColor="text1"/>
          <w:sz w:val="24"/>
          <w:szCs w:val="24"/>
        </w:rPr>
        <w:lastRenderedPageBreak/>
        <w:t xml:space="preserve">de deliberações do Pleno ou do Comitê Gestor do Planejamento Estratégico (CGPE), bem como resultados parciais e integrais apurados em monitoramento (Ref. </w:t>
      </w:r>
      <w:r w:rsidRPr="008F6E60">
        <w:rPr>
          <w:rFonts w:ascii="Times New Roman" w:hAnsi="Times New Roman" w:cs="Times New Roman"/>
          <w:color w:val="000000" w:themeColor="text1"/>
          <w:sz w:val="24"/>
          <w:szCs w:val="24"/>
        </w:rPr>
        <w:t>subite</w:t>
      </w:r>
      <w:r w:rsidR="00182F92" w:rsidRPr="008F6E60">
        <w:rPr>
          <w:rFonts w:ascii="Times New Roman" w:hAnsi="Times New Roman" w:cs="Times New Roman"/>
          <w:color w:val="000000" w:themeColor="text1"/>
          <w:sz w:val="24"/>
          <w:szCs w:val="24"/>
        </w:rPr>
        <w:t>ns</w:t>
      </w:r>
      <w:r w:rsidRPr="008F6E60">
        <w:rPr>
          <w:rFonts w:ascii="Times New Roman" w:hAnsi="Times New Roman" w:cs="Times New Roman"/>
          <w:color w:val="000000" w:themeColor="text1"/>
          <w:sz w:val="24"/>
          <w:szCs w:val="24"/>
        </w:rPr>
        <w:t xml:space="preserve"> </w:t>
      </w:r>
      <w:r w:rsidR="00B24076" w:rsidRPr="008F6E60">
        <w:rPr>
          <w:rFonts w:ascii="Times New Roman" w:hAnsi="Times New Roman" w:cs="Times New Roman"/>
          <w:color w:val="000000" w:themeColor="text1"/>
          <w:sz w:val="24"/>
          <w:szCs w:val="24"/>
        </w:rPr>
        <w:t>2.1.4</w:t>
      </w:r>
      <w:r w:rsidR="00182F92" w:rsidRPr="008F6E60">
        <w:rPr>
          <w:rFonts w:ascii="Times New Roman" w:hAnsi="Times New Roman" w:cs="Times New Roman"/>
          <w:color w:val="000000" w:themeColor="text1"/>
          <w:sz w:val="24"/>
          <w:szCs w:val="24"/>
        </w:rPr>
        <w:t xml:space="preserve"> e 2.1.8</w:t>
      </w:r>
      <w:r w:rsidRPr="008F6E60">
        <w:rPr>
          <w:rFonts w:ascii="Times New Roman" w:hAnsi="Times New Roman" w:cs="Times New Roman"/>
          <w:color w:val="000000" w:themeColor="text1"/>
          <w:sz w:val="24"/>
          <w:szCs w:val="24"/>
        </w:rPr>
        <w:t>)</w:t>
      </w:r>
      <w:r w:rsidR="00366ACD" w:rsidRPr="008F6E60">
        <w:rPr>
          <w:rFonts w:ascii="Times New Roman" w:hAnsi="Times New Roman" w:cs="Times New Roman"/>
          <w:color w:val="000000" w:themeColor="text1"/>
          <w:sz w:val="24"/>
          <w:szCs w:val="24"/>
        </w:rPr>
        <w:t>;</w:t>
      </w:r>
    </w:p>
    <w:p w:rsidR="00A964F4" w:rsidRPr="008F6E60" w:rsidRDefault="00A964F4" w:rsidP="00A964F4">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Recomendar à COPEG que, com o apoio do COMINT e observado o prazo de 60 dias, aperfeiçoe as ferramentas de pesquisa, formato de apresentação do conteúdo e linguagem das informações relativas à </w:t>
      </w:r>
      <w:r w:rsidR="00182F92">
        <w:rPr>
          <w:rFonts w:ascii="Times New Roman" w:hAnsi="Times New Roman" w:cs="Times New Roman"/>
          <w:color w:val="000000" w:themeColor="text1"/>
          <w:sz w:val="24"/>
          <w:szCs w:val="24"/>
        </w:rPr>
        <w:t>e</w:t>
      </w:r>
      <w:r w:rsidRPr="00775054">
        <w:rPr>
          <w:rFonts w:ascii="Times New Roman" w:hAnsi="Times New Roman" w:cs="Times New Roman"/>
          <w:color w:val="000000" w:themeColor="text1"/>
          <w:sz w:val="24"/>
          <w:szCs w:val="24"/>
        </w:rPr>
        <w:t xml:space="preserve">stratégia organizacional, nos Portais da Internet e Intranet do Tribunal (Ref. </w:t>
      </w:r>
      <w:r w:rsidRPr="008F6E60">
        <w:rPr>
          <w:rFonts w:ascii="Times New Roman" w:hAnsi="Times New Roman" w:cs="Times New Roman"/>
          <w:color w:val="000000" w:themeColor="text1"/>
          <w:sz w:val="24"/>
          <w:szCs w:val="24"/>
        </w:rPr>
        <w:t>subite</w:t>
      </w:r>
      <w:r w:rsidR="00182F92" w:rsidRPr="008F6E60">
        <w:rPr>
          <w:rFonts w:ascii="Times New Roman" w:hAnsi="Times New Roman" w:cs="Times New Roman"/>
          <w:color w:val="000000" w:themeColor="text1"/>
          <w:sz w:val="24"/>
          <w:szCs w:val="24"/>
        </w:rPr>
        <w:t>ns</w:t>
      </w:r>
      <w:r w:rsidR="00B24076" w:rsidRPr="008F6E60">
        <w:rPr>
          <w:rFonts w:ascii="Times New Roman" w:hAnsi="Times New Roman" w:cs="Times New Roman"/>
          <w:color w:val="000000" w:themeColor="text1"/>
          <w:sz w:val="24"/>
          <w:szCs w:val="24"/>
        </w:rPr>
        <w:t xml:space="preserve"> 2.1.4</w:t>
      </w:r>
      <w:r w:rsidR="00182F92" w:rsidRPr="008F6E60">
        <w:rPr>
          <w:rFonts w:ascii="Times New Roman" w:hAnsi="Times New Roman" w:cs="Times New Roman"/>
          <w:color w:val="000000" w:themeColor="text1"/>
          <w:sz w:val="24"/>
          <w:szCs w:val="24"/>
        </w:rPr>
        <w:t xml:space="preserve"> e 2.1.8</w:t>
      </w:r>
      <w:r w:rsidR="00B24076" w:rsidRPr="008F6E60">
        <w:rPr>
          <w:rFonts w:ascii="Times New Roman" w:hAnsi="Times New Roman" w:cs="Times New Roman"/>
          <w:color w:val="000000" w:themeColor="text1"/>
          <w:sz w:val="24"/>
          <w:szCs w:val="24"/>
        </w:rPr>
        <w:t>)</w:t>
      </w:r>
      <w:r w:rsidR="000731DD" w:rsidRPr="008F6E60">
        <w:rPr>
          <w:rFonts w:ascii="Times New Roman" w:hAnsi="Times New Roman" w:cs="Times New Roman"/>
          <w:color w:val="000000" w:themeColor="text1"/>
          <w:sz w:val="24"/>
          <w:szCs w:val="24"/>
        </w:rPr>
        <w:t>;</w:t>
      </w:r>
    </w:p>
    <w:p w:rsidR="00A964F4" w:rsidRDefault="00A964F4" w:rsidP="00A964F4">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Recomendar à COPEG que, observado o prazo de 120 dias, proceda ao gerenciamento dos riscos associados à gestão da execução da </w:t>
      </w:r>
      <w:r w:rsidR="00182F92">
        <w:rPr>
          <w:rFonts w:ascii="Times New Roman" w:hAnsi="Times New Roman" w:cs="Times New Roman"/>
          <w:color w:val="000000" w:themeColor="text1"/>
          <w:sz w:val="24"/>
          <w:szCs w:val="24"/>
        </w:rPr>
        <w:t>e</w:t>
      </w:r>
      <w:r w:rsidRPr="00775054">
        <w:rPr>
          <w:rFonts w:ascii="Times New Roman" w:hAnsi="Times New Roman" w:cs="Times New Roman"/>
          <w:color w:val="000000" w:themeColor="text1"/>
          <w:sz w:val="24"/>
          <w:szCs w:val="24"/>
        </w:rPr>
        <w:t>stratégia do Tribunal (Ref. subite</w:t>
      </w:r>
      <w:r w:rsidR="000916B1">
        <w:rPr>
          <w:rFonts w:ascii="Times New Roman" w:hAnsi="Times New Roman" w:cs="Times New Roman"/>
          <w:color w:val="000000" w:themeColor="text1"/>
          <w:sz w:val="24"/>
          <w:szCs w:val="24"/>
        </w:rPr>
        <w:t>m</w:t>
      </w:r>
      <w:r w:rsidRPr="00775054">
        <w:rPr>
          <w:rFonts w:ascii="Times New Roman" w:hAnsi="Times New Roman" w:cs="Times New Roman"/>
          <w:color w:val="000000" w:themeColor="text1"/>
          <w:sz w:val="24"/>
          <w:szCs w:val="24"/>
        </w:rPr>
        <w:t xml:space="preserve"> </w:t>
      </w:r>
      <w:r w:rsidR="007F6D29">
        <w:rPr>
          <w:rFonts w:ascii="Times New Roman" w:hAnsi="Times New Roman" w:cs="Times New Roman"/>
          <w:color w:val="000000" w:themeColor="text1"/>
          <w:sz w:val="24"/>
          <w:szCs w:val="24"/>
        </w:rPr>
        <w:t>2.1.5)</w:t>
      </w:r>
      <w:r w:rsidR="000731DD">
        <w:rPr>
          <w:rFonts w:ascii="Times New Roman" w:hAnsi="Times New Roman" w:cs="Times New Roman"/>
          <w:color w:val="000000" w:themeColor="text1"/>
          <w:sz w:val="24"/>
          <w:szCs w:val="24"/>
        </w:rPr>
        <w:t>;</w:t>
      </w:r>
    </w:p>
    <w:p w:rsidR="0028618A" w:rsidRPr="0028618A" w:rsidRDefault="0028618A" w:rsidP="0028618A">
      <w:pPr>
        <w:numPr>
          <w:ilvl w:val="2"/>
          <w:numId w:val="1"/>
        </w:numPr>
        <w:spacing w:after="120" w:line="240" w:lineRule="auto"/>
        <w:jc w:val="both"/>
        <w:rPr>
          <w:rFonts w:ascii="Times New Roman" w:hAnsi="Times New Roman" w:cs="Times New Roman"/>
          <w:color w:val="4F81BD" w:themeColor="accent1"/>
          <w:sz w:val="24"/>
          <w:szCs w:val="24"/>
        </w:rPr>
      </w:pPr>
      <w:r w:rsidRPr="001E3863">
        <w:rPr>
          <w:rFonts w:ascii="Times New Roman" w:hAnsi="Times New Roman" w:cs="Times New Roman"/>
          <w:color w:val="000000" w:themeColor="text1"/>
          <w:sz w:val="24"/>
          <w:szCs w:val="24"/>
        </w:rPr>
        <w:t>Recomendar à COPEG que, observado o prazo de 30 dias, institua rotina de comunicação à SGP acerca da designação de servidor para o exercício de gerência de projeto estratégico, imediatamente após formalização d</w:t>
      </w:r>
      <w:r w:rsidR="00366ACD" w:rsidRPr="001E3863">
        <w:rPr>
          <w:rFonts w:ascii="Times New Roman" w:hAnsi="Times New Roman" w:cs="Times New Roman"/>
          <w:color w:val="000000" w:themeColor="text1"/>
          <w:sz w:val="24"/>
          <w:szCs w:val="24"/>
        </w:rPr>
        <w:t>o respectivo</w:t>
      </w:r>
      <w:r w:rsidRPr="001E3863">
        <w:rPr>
          <w:rFonts w:ascii="Times New Roman" w:hAnsi="Times New Roman" w:cs="Times New Roman"/>
          <w:color w:val="000000" w:themeColor="text1"/>
          <w:sz w:val="24"/>
          <w:szCs w:val="24"/>
        </w:rPr>
        <w:t xml:space="preserve"> ato </w:t>
      </w:r>
      <w:r w:rsidR="00366ACD" w:rsidRPr="001E3863">
        <w:rPr>
          <w:rFonts w:ascii="Times New Roman" w:hAnsi="Times New Roman" w:cs="Times New Roman"/>
          <w:color w:val="000000" w:themeColor="text1"/>
          <w:sz w:val="24"/>
          <w:szCs w:val="24"/>
        </w:rPr>
        <w:t>pela</w:t>
      </w:r>
      <w:r w:rsidRPr="001E3863">
        <w:rPr>
          <w:rFonts w:ascii="Times New Roman" w:hAnsi="Times New Roman" w:cs="Times New Roman"/>
          <w:color w:val="000000" w:themeColor="text1"/>
          <w:sz w:val="24"/>
          <w:szCs w:val="24"/>
        </w:rPr>
        <w:t xml:space="preserve"> </w:t>
      </w:r>
      <w:r w:rsidR="006D7FC1" w:rsidRPr="007D3A03">
        <w:rPr>
          <w:rFonts w:ascii="Times New Roman" w:hAnsi="Times New Roman" w:cs="Times New Roman"/>
          <w:sz w:val="24"/>
          <w:szCs w:val="24"/>
        </w:rPr>
        <w:t>Diretoria</w:t>
      </w:r>
      <w:r w:rsidRPr="007D3A03">
        <w:rPr>
          <w:rFonts w:ascii="Times New Roman" w:hAnsi="Times New Roman" w:cs="Times New Roman"/>
          <w:sz w:val="24"/>
          <w:szCs w:val="24"/>
        </w:rPr>
        <w:t xml:space="preserve">-Geral </w:t>
      </w:r>
      <w:r w:rsidR="00366ACD" w:rsidRPr="001E3863">
        <w:rPr>
          <w:rFonts w:ascii="Times New Roman" w:hAnsi="Times New Roman" w:cs="Times New Roman"/>
          <w:color w:val="000000" w:themeColor="text1"/>
          <w:sz w:val="24"/>
          <w:szCs w:val="24"/>
        </w:rPr>
        <w:t xml:space="preserve">da Secretaria do </w:t>
      </w:r>
      <w:r w:rsidR="00366ACD" w:rsidRPr="00286A69">
        <w:rPr>
          <w:rFonts w:ascii="Times New Roman" w:hAnsi="Times New Roman" w:cs="Times New Roman"/>
          <w:sz w:val="24"/>
          <w:szCs w:val="24"/>
        </w:rPr>
        <w:t>Tribunal</w:t>
      </w:r>
      <w:r w:rsidRPr="00286A69">
        <w:rPr>
          <w:rFonts w:ascii="Times New Roman" w:hAnsi="Times New Roman" w:cs="Times New Roman"/>
          <w:sz w:val="24"/>
          <w:szCs w:val="24"/>
        </w:rPr>
        <w:t xml:space="preserve"> (Ref. subitem </w:t>
      </w:r>
      <w:r w:rsidR="00D71C07" w:rsidRPr="00286A69">
        <w:rPr>
          <w:rFonts w:ascii="Times New Roman" w:hAnsi="Times New Roman" w:cs="Times New Roman"/>
          <w:sz w:val="24"/>
          <w:szCs w:val="24"/>
        </w:rPr>
        <w:t>2.1.6</w:t>
      </w:r>
      <w:r w:rsidRPr="00286A69">
        <w:rPr>
          <w:rFonts w:ascii="Times New Roman" w:hAnsi="Times New Roman" w:cs="Times New Roman"/>
          <w:sz w:val="24"/>
          <w:szCs w:val="24"/>
        </w:rPr>
        <w:t>)</w:t>
      </w:r>
      <w:r w:rsidRPr="007D3A03">
        <w:rPr>
          <w:rFonts w:ascii="Times New Roman" w:hAnsi="Times New Roman" w:cs="Times New Roman"/>
          <w:i/>
          <w:sz w:val="24"/>
          <w:szCs w:val="24"/>
        </w:rPr>
        <w:t>;</w:t>
      </w:r>
      <w:r w:rsidRPr="006D7FC1">
        <w:rPr>
          <w:rFonts w:ascii="Times New Roman" w:hAnsi="Times New Roman" w:cs="Times New Roman"/>
          <w:color w:val="006600"/>
          <w:sz w:val="24"/>
          <w:szCs w:val="24"/>
        </w:rPr>
        <w:t xml:space="preserve"> </w:t>
      </w:r>
    </w:p>
    <w:p w:rsidR="00A964F4" w:rsidRPr="0028618A" w:rsidRDefault="00A964F4" w:rsidP="00A964F4">
      <w:pPr>
        <w:numPr>
          <w:ilvl w:val="2"/>
          <w:numId w:val="1"/>
        </w:numPr>
        <w:spacing w:after="120" w:line="240" w:lineRule="auto"/>
        <w:jc w:val="both"/>
        <w:rPr>
          <w:rFonts w:ascii="Times New Roman" w:hAnsi="Times New Roman" w:cs="Times New Roman"/>
          <w:color w:val="000000" w:themeColor="text1"/>
          <w:sz w:val="24"/>
          <w:szCs w:val="24"/>
        </w:rPr>
      </w:pPr>
      <w:r w:rsidRPr="0028618A">
        <w:rPr>
          <w:rFonts w:ascii="Times New Roman" w:hAnsi="Times New Roman" w:cs="Times New Roman"/>
          <w:color w:val="000000" w:themeColor="text1"/>
          <w:sz w:val="24"/>
          <w:szCs w:val="24"/>
        </w:rPr>
        <w:t>Recomendar à SGP que</w:t>
      </w:r>
      <w:r w:rsidR="00182F92">
        <w:rPr>
          <w:rFonts w:ascii="Times New Roman" w:hAnsi="Times New Roman" w:cs="Times New Roman"/>
          <w:color w:val="000000" w:themeColor="text1"/>
          <w:sz w:val="24"/>
          <w:szCs w:val="24"/>
        </w:rPr>
        <w:t xml:space="preserve">, </w:t>
      </w:r>
      <w:r w:rsidR="00182F92" w:rsidRPr="008F6E60">
        <w:rPr>
          <w:rFonts w:ascii="Times New Roman" w:hAnsi="Times New Roman" w:cs="Times New Roman"/>
          <w:color w:val="000000" w:themeColor="text1"/>
          <w:sz w:val="24"/>
          <w:szCs w:val="24"/>
        </w:rPr>
        <w:t>observado o prazo de 30 dias,</w:t>
      </w:r>
      <w:r w:rsidRPr="008F6E60">
        <w:rPr>
          <w:rFonts w:ascii="Times New Roman" w:hAnsi="Times New Roman" w:cs="Times New Roman"/>
          <w:color w:val="000000" w:themeColor="text1"/>
          <w:sz w:val="24"/>
          <w:szCs w:val="24"/>
        </w:rPr>
        <w:t xml:space="preserve"> </w:t>
      </w:r>
      <w:r w:rsidR="00366ACD" w:rsidRPr="008F6E60">
        <w:rPr>
          <w:rFonts w:ascii="Times New Roman" w:hAnsi="Times New Roman" w:cs="Times New Roman"/>
          <w:color w:val="000000" w:themeColor="text1"/>
          <w:sz w:val="24"/>
          <w:szCs w:val="24"/>
        </w:rPr>
        <w:t xml:space="preserve">institua rotina destinada a </w:t>
      </w:r>
      <w:r w:rsidRPr="008F6E60">
        <w:rPr>
          <w:rFonts w:ascii="Times New Roman" w:hAnsi="Times New Roman" w:cs="Times New Roman"/>
          <w:color w:val="000000" w:themeColor="text1"/>
          <w:sz w:val="24"/>
          <w:szCs w:val="24"/>
        </w:rPr>
        <w:t>assegur</w:t>
      </w:r>
      <w:r w:rsidR="00366ACD" w:rsidRPr="008F6E60">
        <w:rPr>
          <w:rFonts w:ascii="Times New Roman" w:hAnsi="Times New Roman" w:cs="Times New Roman"/>
          <w:color w:val="000000" w:themeColor="text1"/>
          <w:sz w:val="24"/>
          <w:szCs w:val="24"/>
        </w:rPr>
        <w:t>ar a</w:t>
      </w:r>
      <w:r w:rsidRPr="008F6E60">
        <w:rPr>
          <w:rFonts w:ascii="Times New Roman" w:hAnsi="Times New Roman" w:cs="Times New Roman"/>
          <w:color w:val="000000" w:themeColor="text1"/>
          <w:sz w:val="24"/>
          <w:szCs w:val="24"/>
        </w:rPr>
        <w:t xml:space="preserve"> capacitação técnica aos servidores indicados para </w:t>
      </w:r>
      <w:r w:rsidRPr="0028618A">
        <w:rPr>
          <w:rFonts w:ascii="Times New Roman" w:hAnsi="Times New Roman" w:cs="Times New Roman"/>
          <w:color w:val="000000" w:themeColor="text1"/>
          <w:sz w:val="24"/>
          <w:szCs w:val="24"/>
        </w:rPr>
        <w:t>atuar como gerente de projeto estratégico</w:t>
      </w:r>
      <w:r w:rsidRPr="008F6E60">
        <w:rPr>
          <w:rFonts w:ascii="Times New Roman" w:hAnsi="Times New Roman" w:cs="Times New Roman"/>
          <w:color w:val="000000" w:themeColor="text1"/>
          <w:sz w:val="24"/>
          <w:szCs w:val="24"/>
        </w:rPr>
        <w:t xml:space="preserve">, </w:t>
      </w:r>
      <w:r w:rsidR="00182F92" w:rsidRPr="008F6E60">
        <w:rPr>
          <w:rFonts w:ascii="Times New Roman" w:hAnsi="Times New Roman" w:cs="Times New Roman"/>
          <w:color w:val="000000" w:themeColor="text1"/>
          <w:sz w:val="24"/>
          <w:szCs w:val="24"/>
        </w:rPr>
        <w:t xml:space="preserve">no </w:t>
      </w:r>
      <w:r w:rsidRPr="0028618A">
        <w:rPr>
          <w:rFonts w:ascii="Times New Roman" w:hAnsi="Times New Roman" w:cs="Times New Roman"/>
          <w:color w:val="000000" w:themeColor="text1"/>
          <w:sz w:val="24"/>
          <w:szCs w:val="24"/>
        </w:rPr>
        <w:t>prazo máximo de 30 dias, contados d</w:t>
      </w:r>
      <w:r w:rsidR="00366ACD">
        <w:rPr>
          <w:rFonts w:ascii="Times New Roman" w:hAnsi="Times New Roman" w:cs="Times New Roman"/>
          <w:color w:val="000000" w:themeColor="text1"/>
          <w:sz w:val="24"/>
          <w:szCs w:val="24"/>
        </w:rPr>
        <w:t>a</w:t>
      </w:r>
      <w:r w:rsidRPr="0028618A">
        <w:rPr>
          <w:rFonts w:ascii="Times New Roman" w:hAnsi="Times New Roman" w:cs="Times New Roman"/>
          <w:color w:val="000000" w:themeColor="text1"/>
          <w:sz w:val="24"/>
          <w:szCs w:val="24"/>
        </w:rPr>
        <w:t xml:space="preserve"> </w:t>
      </w:r>
      <w:r w:rsidR="0028618A" w:rsidRPr="001E3863">
        <w:rPr>
          <w:rFonts w:ascii="Times New Roman" w:hAnsi="Times New Roman" w:cs="Times New Roman"/>
          <w:color w:val="000000" w:themeColor="text1"/>
          <w:sz w:val="24"/>
          <w:szCs w:val="24"/>
        </w:rPr>
        <w:t>comunicação</w:t>
      </w:r>
      <w:r w:rsidR="000731DD" w:rsidRPr="001E3863">
        <w:rPr>
          <w:rFonts w:ascii="Times New Roman" w:hAnsi="Times New Roman" w:cs="Times New Roman"/>
          <w:color w:val="000000" w:themeColor="text1"/>
          <w:sz w:val="24"/>
          <w:szCs w:val="24"/>
        </w:rPr>
        <w:t xml:space="preserve"> promovida pela COPEG</w:t>
      </w:r>
      <w:r w:rsidR="000731DD" w:rsidRPr="0028618A">
        <w:rPr>
          <w:rFonts w:ascii="Times New Roman" w:hAnsi="Times New Roman" w:cs="Times New Roman"/>
          <w:color w:val="4F81BD" w:themeColor="accent1"/>
          <w:sz w:val="24"/>
          <w:szCs w:val="24"/>
        </w:rPr>
        <w:t xml:space="preserve"> </w:t>
      </w:r>
      <w:r w:rsidRPr="0028618A">
        <w:rPr>
          <w:rFonts w:ascii="Times New Roman" w:hAnsi="Times New Roman" w:cs="Times New Roman"/>
          <w:color w:val="000000" w:themeColor="text1"/>
          <w:sz w:val="24"/>
          <w:szCs w:val="24"/>
        </w:rPr>
        <w:t>(Ref. subite</w:t>
      </w:r>
      <w:r w:rsidR="000916B1" w:rsidRPr="0028618A">
        <w:rPr>
          <w:rFonts w:ascii="Times New Roman" w:hAnsi="Times New Roman" w:cs="Times New Roman"/>
          <w:color w:val="000000" w:themeColor="text1"/>
          <w:sz w:val="24"/>
          <w:szCs w:val="24"/>
        </w:rPr>
        <w:t>m</w:t>
      </w:r>
      <w:r w:rsidRPr="0028618A">
        <w:rPr>
          <w:rFonts w:ascii="Times New Roman" w:hAnsi="Times New Roman" w:cs="Times New Roman"/>
          <w:color w:val="000000" w:themeColor="text1"/>
          <w:sz w:val="24"/>
          <w:szCs w:val="24"/>
        </w:rPr>
        <w:t xml:space="preserve"> </w:t>
      </w:r>
      <w:r w:rsidR="00D71C07">
        <w:rPr>
          <w:rFonts w:ascii="Times New Roman" w:hAnsi="Times New Roman" w:cs="Times New Roman"/>
          <w:color w:val="000000" w:themeColor="text1"/>
          <w:sz w:val="24"/>
          <w:szCs w:val="24"/>
        </w:rPr>
        <w:t>2.1.6</w:t>
      </w:r>
      <w:r w:rsidRPr="0028618A">
        <w:rPr>
          <w:rFonts w:ascii="Times New Roman" w:hAnsi="Times New Roman" w:cs="Times New Roman"/>
          <w:color w:val="000000" w:themeColor="text1"/>
          <w:sz w:val="24"/>
          <w:szCs w:val="24"/>
        </w:rPr>
        <w:t>)</w:t>
      </w:r>
      <w:r w:rsidR="000731DD" w:rsidRPr="0028618A">
        <w:rPr>
          <w:rFonts w:ascii="Times New Roman" w:hAnsi="Times New Roman" w:cs="Times New Roman"/>
          <w:color w:val="000000" w:themeColor="text1"/>
          <w:sz w:val="24"/>
          <w:szCs w:val="24"/>
        </w:rPr>
        <w:t>;</w:t>
      </w:r>
    </w:p>
    <w:p w:rsidR="00A964F4" w:rsidRPr="00182F92" w:rsidRDefault="00A964F4" w:rsidP="00A964F4">
      <w:pPr>
        <w:numPr>
          <w:ilvl w:val="2"/>
          <w:numId w:val="1"/>
        </w:numPr>
        <w:spacing w:after="120" w:line="240" w:lineRule="auto"/>
        <w:jc w:val="both"/>
        <w:rPr>
          <w:rFonts w:ascii="Times New Roman" w:hAnsi="Times New Roman" w:cs="Times New Roman"/>
          <w:strike/>
          <w:color w:val="000000" w:themeColor="text1"/>
          <w:sz w:val="24"/>
          <w:szCs w:val="24"/>
        </w:rPr>
      </w:pPr>
      <w:r w:rsidRPr="00A855DA">
        <w:rPr>
          <w:rFonts w:ascii="Times New Roman" w:hAnsi="Times New Roman" w:cs="Times New Roman"/>
          <w:sz w:val="24"/>
          <w:szCs w:val="24"/>
        </w:rPr>
        <w:t>Determinar à COPEG que, observado o prazo de 60 dias, institua rotina destinada a assegurar a realização de eventos de promoção da estratégia, observada a periodicidade mínima estabelecida no parágrafo único do art. 7º da Resolução CNJ nº 198/2014 (Ref. subite</w:t>
      </w:r>
      <w:r w:rsidR="000731DD" w:rsidRPr="00A855DA">
        <w:rPr>
          <w:rFonts w:ascii="Times New Roman" w:hAnsi="Times New Roman" w:cs="Times New Roman"/>
          <w:sz w:val="24"/>
          <w:szCs w:val="24"/>
        </w:rPr>
        <w:t>m</w:t>
      </w:r>
      <w:r w:rsidRPr="00A855DA">
        <w:rPr>
          <w:rFonts w:ascii="Times New Roman" w:hAnsi="Times New Roman" w:cs="Times New Roman"/>
          <w:sz w:val="24"/>
          <w:szCs w:val="24"/>
        </w:rPr>
        <w:t xml:space="preserve"> </w:t>
      </w:r>
      <w:r w:rsidR="00746002" w:rsidRPr="00A855DA">
        <w:rPr>
          <w:rFonts w:ascii="Times New Roman" w:hAnsi="Times New Roman" w:cs="Times New Roman"/>
          <w:sz w:val="24"/>
          <w:szCs w:val="24"/>
        </w:rPr>
        <w:t>2.1.8</w:t>
      </w:r>
      <w:r w:rsidR="00A855DA">
        <w:rPr>
          <w:rFonts w:ascii="Times New Roman" w:hAnsi="Times New Roman" w:cs="Times New Roman"/>
          <w:sz w:val="24"/>
          <w:szCs w:val="24"/>
        </w:rPr>
        <w:t>);</w:t>
      </w:r>
    </w:p>
    <w:p w:rsidR="00B51E61" w:rsidRPr="00786B37" w:rsidRDefault="003E433C" w:rsidP="00A964F4">
      <w:pPr>
        <w:numPr>
          <w:ilvl w:val="2"/>
          <w:numId w:val="1"/>
        </w:numPr>
        <w:spacing w:after="120" w:line="240" w:lineRule="auto"/>
        <w:jc w:val="both"/>
        <w:rPr>
          <w:rFonts w:ascii="Times New Roman" w:hAnsi="Times New Roman" w:cs="Times New Roman"/>
          <w:color w:val="000000" w:themeColor="text1"/>
          <w:sz w:val="24"/>
          <w:szCs w:val="24"/>
        </w:rPr>
      </w:pPr>
      <w:r w:rsidRPr="00786B37">
        <w:rPr>
          <w:rFonts w:ascii="Times New Roman" w:hAnsi="Times New Roman" w:cs="Times New Roman"/>
          <w:color w:val="000000" w:themeColor="text1"/>
          <w:sz w:val="24"/>
          <w:szCs w:val="24"/>
        </w:rPr>
        <w:t xml:space="preserve">Recomendar à </w:t>
      </w:r>
      <w:r w:rsidR="00835EF5" w:rsidRPr="00786B37">
        <w:rPr>
          <w:rFonts w:ascii="Times New Roman" w:hAnsi="Times New Roman" w:cs="Times New Roman"/>
          <w:color w:val="000000" w:themeColor="text1"/>
          <w:sz w:val="24"/>
          <w:szCs w:val="24"/>
        </w:rPr>
        <w:t>COPEG</w:t>
      </w:r>
      <w:r w:rsidRPr="00786B37">
        <w:rPr>
          <w:rFonts w:ascii="Times New Roman" w:hAnsi="Times New Roman" w:cs="Times New Roman"/>
          <w:color w:val="000000" w:themeColor="text1"/>
          <w:sz w:val="24"/>
          <w:szCs w:val="24"/>
        </w:rPr>
        <w:t xml:space="preserve"> que, com apoio da </w:t>
      </w:r>
      <w:r w:rsidR="00835EF5" w:rsidRPr="00786B37">
        <w:rPr>
          <w:rFonts w:ascii="Times New Roman" w:hAnsi="Times New Roman" w:cs="Times New Roman"/>
          <w:color w:val="000000" w:themeColor="text1"/>
          <w:sz w:val="24"/>
          <w:szCs w:val="24"/>
        </w:rPr>
        <w:t>ASCOM</w:t>
      </w:r>
      <w:r w:rsidRPr="00786B37">
        <w:rPr>
          <w:rFonts w:ascii="Times New Roman" w:hAnsi="Times New Roman" w:cs="Times New Roman"/>
          <w:color w:val="000000" w:themeColor="text1"/>
          <w:sz w:val="24"/>
          <w:szCs w:val="24"/>
        </w:rPr>
        <w:t xml:space="preserve"> e observado o prazo de 30 dias, </w:t>
      </w:r>
      <w:r w:rsidR="00FF46A3" w:rsidRPr="00786B37">
        <w:rPr>
          <w:rFonts w:ascii="Times New Roman" w:hAnsi="Times New Roman" w:cs="Times New Roman"/>
          <w:color w:val="000000" w:themeColor="text1"/>
          <w:sz w:val="24"/>
          <w:szCs w:val="24"/>
        </w:rPr>
        <w:t xml:space="preserve">adote medidas tendentes a </w:t>
      </w:r>
      <w:r w:rsidR="00835EF5" w:rsidRPr="00786B37">
        <w:rPr>
          <w:rFonts w:ascii="Times New Roman" w:hAnsi="Times New Roman" w:cs="Times New Roman"/>
          <w:color w:val="000000" w:themeColor="text1"/>
          <w:sz w:val="24"/>
          <w:szCs w:val="24"/>
        </w:rPr>
        <w:t>assegur</w:t>
      </w:r>
      <w:r w:rsidR="00FF46A3" w:rsidRPr="00786B37">
        <w:rPr>
          <w:rFonts w:ascii="Times New Roman" w:hAnsi="Times New Roman" w:cs="Times New Roman"/>
          <w:color w:val="000000" w:themeColor="text1"/>
          <w:sz w:val="24"/>
          <w:szCs w:val="24"/>
        </w:rPr>
        <w:t>ar</w:t>
      </w:r>
      <w:r w:rsidR="00835EF5" w:rsidRPr="00786B37">
        <w:rPr>
          <w:rFonts w:ascii="Times New Roman" w:hAnsi="Times New Roman" w:cs="Times New Roman"/>
          <w:color w:val="000000" w:themeColor="text1"/>
          <w:sz w:val="24"/>
          <w:szCs w:val="24"/>
        </w:rPr>
        <w:t xml:space="preserve"> a</w:t>
      </w:r>
      <w:r w:rsidRPr="00786B37">
        <w:rPr>
          <w:rFonts w:ascii="Times New Roman" w:hAnsi="Times New Roman" w:cs="Times New Roman"/>
          <w:color w:val="000000" w:themeColor="text1"/>
          <w:sz w:val="24"/>
          <w:szCs w:val="24"/>
        </w:rPr>
        <w:t xml:space="preserve"> efetiva </w:t>
      </w:r>
      <w:r w:rsidR="00835EF5" w:rsidRPr="00786B37">
        <w:rPr>
          <w:rFonts w:ascii="Times New Roman" w:hAnsi="Times New Roman" w:cs="Times New Roman"/>
          <w:color w:val="000000" w:themeColor="text1"/>
          <w:sz w:val="24"/>
          <w:szCs w:val="24"/>
        </w:rPr>
        <w:t>execução</w:t>
      </w:r>
      <w:r w:rsidRPr="00786B37">
        <w:rPr>
          <w:rFonts w:ascii="Times New Roman" w:hAnsi="Times New Roman" w:cs="Times New Roman"/>
          <w:color w:val="000000" w:themeColor="text1"/>
          <w:sz w:val="24"/>
          <w:szCs w:val="24"/>
        </w:rPr>
        <w:t xml:space="preserve"> das ações elencadas no Plano de Comunicação da Estratégia do TRE-BA 2016-2021 constante do PAD nº 14.519/2017, Doc. </w:t>
      </w:r>
      <w:proofErr w:type="gramStart"/>
      <w:r w:rsidRPr="00786B37">
        <w:rPr>
          <w:rFonts w:ascii="Times New Roman" w:hAnsi="Times New Roman" w:cs="Times New Roman"/>
          <w:color w:val="000000" w:themeColor="text1"/>
          <w:sz w:val="24"/>
          <w:szCs w:val="24"/>
        </w:rPr>
        <w:t>nº</w:t>
      </w:r>
      <w:proofErr w:type="gramEnd"/>
      <w:r w:rsidRPr="00786B37">
        <w:rPr>
          <w:rFonts w:ascii="Times New Roman" w:hAnsi="Times New Roman" w:cs="Times New Roman"/>
          <w:color w:val="000000" w:themeColor="text1"/>
          <w:sz w:val="24"/>
          <w:szCs w:val="24"/>
        </w:rPr>
        <w:t xml:space="preserve"> 43.568/2018 (Ref. subitem 2.1.8);</w:t>
      </w:r>
    </w:p>
    <w:p w:rsidR="00A964F4" w:rsidRPr="00786B37" w:rsidRDefault="00835EF5" w:rsidP="00B51E61">
      <w:pPr>
        <w:numPr>
          <w:ilvl w:val="2"/>
          <w:numId w:val="1"/>
        </w:numPr>
        <w:spacing w:after="120" w:line="240" w:lineRule="auto"/>
        <w:jc w:val="both"/>
        <w:rPr>
          <w:rFonts w:ascii="Times New Roman" w:hAnsi="Times New Roman" w:cs="Times New Roman"/>
          <w:color w:val="000000" w:themeColor="text1"/>
          <w:sz w:val="24"/>
          <w:szCs w:val="24"/>
        </w:rPr>
      </w:pPr>
      <w:r w:rsidRPr="00786B37">
        <w:rPr>
          <w:rFonts w:ascii="Times New Roman" w:hAnsi="Times New Roman" w:cs="Times New Roman"/>
          <w:color w:val="000000" w:themeColor="text1"/>
          <w:sz w:val="24"/>
          <w:szCs w:val="24"/>
        </w:rPr>
        <w:t xml:space="preserve">Recomendar à ASCOM que, observado o prazo de 60 dias, proceda ao desenvolvimento de peças destinadas a padronizar a exibição da missão, visão e valores institucionais, nas unidades administrativas e judiciárias do TRE-BA, submetendo os referidos </w:t>
      </w:r>
      <w:r w:rsidRPr="00786B37">
        <w:rPr>
          <w:rFonts w:ascii="Times New Roman" w:hAnsi="Times New Roman" w:cs="Times New Roman"/>
          <w:i/>
          <w:color w:val="000000" w:themeColor="text1"/>
          <w:sz w:val="24"/>
          <w:szCs w:val="24"/>
        </w:rPr>
        <w:t>layouts</w:t>
      </w:r>
      <w:r w:rsidRPr="00786B37">
        <w:rPr>
          <w:rFonts w:ascii="Times New Roman" w:hAnsi="Times New Roman" w:cs="Times New Roman"/>
          <w:color w:val="000000" w:themeColor="text1"/>
          <w:sz w:val="24"/>
          <w:szCs w:val="24"/>
        </w:rPr>
        <w:t xml:space="preserve"> à Presidência, para aprovação e posterior </w:t>
      </w:r>
      <w:r w:rsidR="00733CE9" w:rsidRPr="00786B37">
        <w:rPr>
          <w:rFonts w:ascii="Times New Roman" w:hAnsi="Times New Roman" w:cs="Times New Roman"/>
          <w:color w:val="000000" w:themeColor="text1"/>
          <w:sz w:val="24"/>
          <w:szCs w:val="24"/>
        </w:rPr>
        <w:t>disponibilização</w:t>
      </w:r>
      <w:r w:rsidR="00286A69" w:rsidRPr="00786B37">
        <w:rPr>
          <w:rFonts w:ascii="Times New Roman" w:hAnsi="Times New Roman" w:cs="Times New Roman"/>
          <w:color w:val="000000" w:themeColor="text1"/>
          <w:sz w:val="24"/>
          <w:szCs w:val="24"/>
        </w:rPr>
        <w:t xml:space="preserve"> (Ref. subitem 2.1.8);</w:t>
      </w:r>
      <w:r w:rsidR="00A964F4" w:rsidRPr="00786B37">
        <w:rPr>
          <w:rFonts w:ascii="Times New Roman" w:hAnsi="Times New Roman" w:cs="Times New Roman"/>
          <w:color w:val="000000" w:themeColor="text1"/>
          <w:sz w:val="24"/>
          <w:szCs w:val="24"/>
        </w:rPr>
        <w:t xml:space="preserve"> </w:t>
      </w:r>
    </w:p>
    <w:p w:rsidR="00B51E61" w:rsidRPr="006F3F29" w:rsidRDefault="00B51E61" w:rsidP="00B51E61">
      <w:pPr>
        <w:numPr>
          <w:ilvl w:val="2"/>
          <w:numId w:val="1"/>
        </w:numPr>
        <w:spacing w:after="120" w:line="240" w:lineRule="auto"/>
        <w:jc w:val="both"/>
        <w:rPr>
          <w:rFonts w:ascii="Times New Roman" w:hAnsi="Times New Roman" w:cs="Times New Roman"/>
          <w:color w:val="000000" w:themeColor="text1"/>
          <w:spacing w:val="-2"/>
          <w:sz w:val="24"/>
          <w:szCs w:val="24"/>
        </w:rPr>
      </w:pPr>
      <w:r w:rsidRPr="006F3F29">
        <w:rPr>
          <w:rFonts w:ascii="Times New Roman" w:hAnsi="Times New Roman" w:cs="Times New Roman"/>
          <w:color w:val="000000" w:themeColor="text1"/>
          <w:spacing w:val="-2"/>
          <w:sz w:val="24"/>
          <w:szCs w:val="24"/>
        </w:rPr>
        <w:t>Recomendar à COPEG que, observado o prazo de 90 dias, realize estudos e apresente proposta à Alta Administração contemplando medidas destinadas a contornar a reduzida capacidade operacional da unidade para assegurar o desdobramento da Estratégia organizacional</w:t>
      </w:r>
      <w:r w:rsidR="000731DD" w:rsidRPr="006F3F29">
        <w:rPr>
          <w:rFonts w:ascii="Times New Roman" w:hAnsi="Times New Roman" w:cs="Times New Roman"/>
          <w:color w:val="000000" w:themeColor="text1"/>
          <w:spacing w:val="-2"/>
          <w:sz w:val="24"/>
          <w:szCs w:val="24"/>
        </w:rPr>
        <w:t>,</w:t>
      </w:r>
      <w:r w:rsidRPr="006F3F29">
        <w:rPr>
          <w:rFonts w:ascii="Times New Roman" w:hAnsi="Times New Roman" w:cs="Times New Roman"/>
          <w:color w:val="000000" w:themeColor="text1"/>
          <w:spacing w:val="-2"/>
          <w:sz w:val="24"/>
          <w:szCs w:val="24"/>
        </w:rPr>
        <w:t xml:space="preserve"> nos níveis tático e operacional, preferencialmente, nos primeiros dois anos do ciclo do planejamento de referência, a exemplo de: formalização de critérios que assegurem desdobramento prioritário às unidades responsáveis pelo cumprimento de maior número de objetivos e metas; formação de pontos focais ou multiplicadores de conhecimento nas unidades a serem desdobradas; contratação de consultoria especializada; incremento do quadro de pessoal da COPEG; e aporte de capacitação dos servidores envolvidos com a execução da atividade (Ref. subite</w:t>
      </w:r>
      <w:r w:rsidR="000731DD" w:rsidRPr="006F3F29">
        <w:rPr>
          <w:rFonts w:ascii="Times New Roman" w:hAnsi="Times New Roman" w:cs="Times New Roman"/>
          <w:color w:val="000000" w:themeColor="text1"/>
          <w:spacing w:val="-2"/>
          <w:sz w:val="24"/>
          <w:szCs w:val="24"/>
        </w:rPr>
        <w:t>m</w:t>
      </w:r>
      <w:r w:rsidRPr="006F3F29">
        <w:rPr>
          <w:rFonts w:ascii="Times New Roman" w:hAnsi="Times New Roman" w:cs="Times New Roman"/>
          <w:color w:val="000000" w:themeColor="text1"/>
          <w:spacing w:val="-2"/>
          <w:sz w:val="24"/>
          <w:szCs w:val="24"/>
        </w:rPr>
        <w:t xml:space="preserve"> </w:t>
      </w:r>
      <w:r w:rsidR="00813116" w:rsidRPr="006F3F29">
        <w:rPr>
          <w:rFonts w:ascii="Times New Roman" w:hAnsi="Times New Roman" w:cs="Times New Roman"/>
          <w:color w:val="000000" w:themeColor="text1"/>
          <w:spacing w:val="-2"/>
          <w:sz w:val="24"/>
          <w:szCs w:val="24"/>
        </w:rPr>
        <w:t>2.1.9</w:t>
      </w:r>
      <w:r w:rsidRPr="006F3F29">
        <w:rPr>
          <w:rFonts w:ascii="Times New Roman" w:hAnsi="Times New Roman" w:cs="Times New Roman"/>
          <w:color w:val="000000" w:themeColor="text1"/>
          <w:spacing w:val="-2"/>
          <w:sz w:val="24"/>
          <w:szCs w:val="24"/>
        </w:rPr>
        <w:t>)</w:t>
      </w:r>
      <w:r w:rsidR="000731DD" w:rsidRPr="006F3F29">
        <w:rPr>
          <w:rFonts w:ascii="Times New Roman" w:hAnsi="Times New Roman" w:cs="Times New Roman"/>
          <w:color w:val="000000" w:themeColor="text1"/>
          <w:spacing w:val="-2"/>
          <w:sz w:val="24"/>
          <w:szCs w:val="24"/>
        </w:rPr>
        <w:t>;</w:t>
      </w:r>
    </w:p>
    <w:p w:rsidR="00B51E61" w:rsidRPr="00813116" w:rsidRDefault="00B51E61" w:rsidP="00813116">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Recomendar à Diretora</w:t>
      </w:r>
      <w:r w:rsidR="000731DD">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Geral que, observado o prazo de 30 dias, designe servidor para atuar como gerente do Projeto estratégico PLANOP, considerada indicação da COPEG (Ref. subite</w:t>
      </w:r>
      <w:r w:rsidR="000731DD">
        <w:rPr>
          <w:rFonts w:ascii="Times New Roman" w:hAnsi="Times New Roman" w:cs="Times New Roman"/>
          <w:color w:val="000000" w:themeColor="text1"/>
          <w:sz w:val="24"/>
          <w:szCs w:val="24"/>
        </w:rPr>
        <w:t>m</w:t>
      </w:r>
      <w:r w:rsidRPr="00775054">
        <w:rPr>
          <w:rFonts w:ascii="Times New Roman" w:hAnsi="Times New Roman" w:cs="Times New Roman"/>
          <w:color w:val="000000" w:themeColor="text1"/>
          <w:sz w:val="24"/>
          <w:szCs w:val="24"/>
        </w:rPr>
        <w:t xml:space="preserve"> </w:t>
      </w:r>
      <w:r w:rsidR="00813116">
        <w:rPr>
          <w:rFonts w:ascii="Times New Roman" w:hAnsi="Times New Roman" w:cs="Times New Roman"/>
          <w:color w:val="000000" w:themeColor="text1"/>
          <w:sz w:val="24"/>
          <w:szCs w:val="24"/>
        </w:rPr>
        <w:t>2.1.10</w:t>
      </w:r>
      <w:r w:rsidRPr="00775054">
        <w:rPr>
          <w:rFonts w:ascii="Times New Roman" w:hAnsi="Times New Roman" w:cs="Times New Roman"/>
          <w:color w:val="000000" w:themeColor="text1"/>
          <w:sz w:val="24"/>
          <w:szCs w:val="24"/>
        </w:rPr>
        <w:t>)</w:t>
      </w:r>
      <w:r w:rsidR="000731DD">
        <w:rPr>
          <w:rFonts w:ascii="Times New Roman" w:hAnsi="Times New Roman" w:cs="Times New Roman"/>
          <w:color w:val="000000" w:themeColor="text1"/>
          <w:sz w:val="24"/>
          <w:szCs w:val="24"/>
        </w:rPr>
        <w:t>;</w:t>
      </w:r>
    </w:p>
    <w:p w:rsidR="00B51E61" w:rsidRPr="008F6E60" w:rsidRDefault="00B51E61" w:rsidP="00B51E61">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lastRenderedPageBreak/>
        <w:t xml:space="preserve">Determinar à </w:t>
      </w:r>
      <w:r w:rsidR="001E3863">
        <w:rPr>
          <w:rFonts w:ascii="Times New Roman" w:hAnsi="Times New Roman" w:cs="Times New Roman"/>
          <w:color w:val="000000" w:themeColor="text1"/>
          <w:sz w:val="24"/>
          <w:szCs w:val="24"/>
        </w:rPr>
        <w:t>Diretora-Geral</w:t>
      </w:r>
      <w:r w:rsidRPr="00775054">
        <w:rPr>
          <w:rFonts w:ascii="Times New Roman" w:hAnsi="Times New Roman" w:cs="Times New Roman"/>
          <w:color w:val="000000" w:themeColor="text1"/>
          <w:sz w:val="24"/>
          <w:szCs w:val="24"/>
        </w:rPr>
        <w:t xml:space="preserve"> que observe </w:t>
      </w:r>
      <w:proofErr w:type="gramStart"/>
      <w:r w:rsidRPr="00775054">
        <w:rPr>
          <w:rFonts w:ascii="Times New Roman" w:hAnsi="Times New Roman" w:cs="Times New Roman"/>
          <w:color w:val="000000" w:themeColor="text1"/>
          <w:sz w:val="24"/>
          <w:szCs w:val="24"/>
        </w:rPr>
        <w:t>o quanto preceituado nos</w:t>
      </w:r>
      <w:proofErr w:type="gramEnd"/>
      <w:r w:rsidRPr="00775054">
        <w:rPr>
          <w:rFonts w:ascii="Times New Roman" w:hAnsi="Times New Roman" w:cs="Times New Roman"/>
          <w:color w:val="000000" w:themeColor="text1"/>
          <w:sz w:val="24"/>
          <w:szCs w:val="24"/>
        </w:rPr>
        <w:t xml:space="preserve"> art. </w:t>
      </w:r>
      <w:r w:rsidR="00384D4E" w:rsidRPr="00786B37">
        <w:rPr>
          <w:rFonts w:ascii="Times New Roman" w:hAnsi="Times New Roman" w:cs="Times New Roman"/>
          <w:color w:val="000000" w:themeColor="text1"/>
          <w:sz w:val="24"/>
          <w:szCs w:val="24"/>
        </w:rPr>
        <w:t xml:space="preserve">145 </w:t>
      </w:r>
      <w:r w:rsidRPr="00786B37">
        <w:rPr>
          <w:rFonts w:ascii="Times New Roman" w:hAnsi="Times New Roman" w:cs="Times New Roman"/>
          <w:color w:val="000000" w:themeColor="text1"/>
          <w:sz w:val="24"/>
          <w:szCs w:val="24"/>
        </w:rPr>
        <w:t>d</w:t>
      </w:r>
      <w:r w:rsidRPr="00775054">
        <w:rPr>
          <w:rFonts w:ascii="Times New Roman" w:hAnsi="Times New Roman" w:cs="Times New Roman"/>
          <w:color w:val="000000" w:themeColor="text1"/>
          <w:sz w:val="24"/>
          <w:szCs w:val="24"/>
        </w:rPr>
        <w:t xml:space="preserve">o Regulamento Interno da Secretaria deste Regional (Res. Adm. TRE-BA nº </w:t>
      </w:r>
      <w:r w:rsidR="00384D4E" w:rsidRPr="00786B37">
        <w:rPr>
          <w:rFonts w:ascii="Times New Roman" w:hAnsi="Times New Roman" w:cs="Times New Roman"/>
          <w:color w:val="000000" w:themeColor="text1"/>
          <w:sz w:val="24"/>
          <w:szCs w:val="24"/>
        </w:rPr>
        <w:t>12/2018</w:t>
      </w:r>
      <w:r w:rsidRPr="00786B37">
        <w:rPr>
          <w:rFonts w:ascii="Times New Roman" w:hAnsi="Times New Roman" w:cs="Times New Roman"/>
          <w:color w:val="000000" w:themeColor="text1"/>
          <w:sz w:val="24"/>
          <w:szCs w:val="24"/>
        </w:rPr>
        <w:t xml:space="preserve">), de modo a assegurar que a designação de gerentes de projetos seja formalizada por ato </w:t>
      </w:r>
      <w:r w:rsidR="006D7FC1" w:rsidRPr="00786B37">
        <w:rPr>
          <w:rFonts w:ascii="Times New Roman" w:hAnsi="Times New Roman" w:cs="Times New Roman"/>
          <w:color w:val="000000" w:themeColor="text1"/>
          <w:sz w:val="24"/>
          <w:szCs w:val="24"/>
        </w:rPr>
        <w:t>do titular da</w:t>
      </w:r>
      <w:r w:rsidR="000731DD" w:rsidRPr="00786B37">
        <w:rPr>
          <w:rFonts w:ascii="Times New Roman" w:hAnsi="Times New Roman" w:cs="Times New Roman"/>
          <w:color w:val="000000" w:themeColor="text1"/>
          <w:sz w:val="24"/>
          <w:szCs w:val="24"/>
        </w:rPr>
        <w:t xml:space="preserve"> </w:t>
      </w:r>
      <w:r w:rsidR="006D7FC1" w:rsidRPr="00786B37">
        <w:rPr>
          <w:rFonts w:ascii="Times New Roman" w:hAnsi="Times New Roman" w:cs="Times New Roman"/>
          <w:color w:val="000000" w:themeColor="text1"/>
          <w:sz w:val="24"/>
          <w:szCs w:val="24"/>
        </w:rPr>
        <w:t>Diretoria</w:t>
      </w:r>
      <w:r w:rsidR="000731DD" w:rsidRPr="00786B37">
        <w:rPr>
          <w:rFonts w:ascii="Times New Roman" w:hAnsi="Times New Roman" w:cs="Times New Roman"/>
          <w:color w:val="000000" w:themeColor="text1"/>
          <w:sz w:val="24"/>
          <w:szCs w:val="24"/>
        </w:rPr>
        <w:t>-Geral</w:t>
      </w:r>
      <w:r w:rsidRPr="00786B37">
        <w:rPr>
          <w:rFonts w:ascii="Times New Roman" w:hAnsi="Times New Roman" w:cs="Times New Roman"/>
          <w:color w:val="000000" w:themeColor="text1"/>
          <w:sz w:val="24"/>
          <w:szCs w:val="24"/>
        </w:rPr>
        <w:t>, instituindo</w:t>
      </w:r>
      <w:r w:rsidRPr="00775054">
        <w:rPr>
          <w:rFonts w:ascii="Times New Roman" w:hAnsi="Times New Roman" w:cs="Times New Roman"/>
          <w:color w:val="000000" w:themeColor="text1"/>
          <w:sz w:val="24"/>
          <w:szCs w:val="24"/>
        </w:rPr>
        <w:t xml:space="preserve">, ainda, mecanismos de controle suficientes e </w:t>
      </w:r>
      <w:r w:rsidRPr="008F6E60">
        <w:rPr>
          <w:rFonts w:ascii="Times New Roman" w:hAnsi="Times New Roman" w:cs="Times New Roman"/>
          <w:color w:val="000000" w:themeColor="text1"/>
          <w:sz w:val="24"/>
          <w:szCs w:val="24"/>
        </w:rPr>
        <w:t xml:space="preserve">adequados </w:t>
      </w:r>
      <w:r w:rsidR="001D3CB7" w:rsidRPr="008F6E60">
        <w:rPr>
          <w:rFonts w:ascii="Times New Roman" w:hAnsi="Times New Roman" w:cs="Times New Roman"/>
          <w:color w:val="000000" w:themeColor="text1"/>
          <w:sz w:val="24"/>
          <w:szCs w:val="24"/>
        </w:rPr>
        <w:t xml:space="preserve">à mitigação dos riscos associados </w:t>
      </w:r>
      <w:r w:rsidRPr="008F6E60">
        <w:rPr>
          <w:rFonts w:ascii="Times New Roman" w:hAnsi="Times New Roman" w:cs="Times New Roman"/>
          <w:color w:val="000000" w:themeColor="text1"/>
          <w:sz w:val="24"/>
          <w:szCs w:val="24"/>
        </w:rPr>
        <w:t>(Ref. subite</w:t>
      </w:r>
      <w:r w:rsidR="000731DD" w:rsidRPr="008F6E60">
        <w:rPr>
          <w:rFonts w:ascii="Times New Roman" w:hAnsi="Times New Roman" w:cs="Times New Roman"/>
          <w:color w:val="000000" w:themeColor="text1"/>
          <w:sz w:val="24"/>
          <w:szCs w:val="24"/>
        </w:rPr>
        <w:t>m</w:t>
      </w:r>
      <w:r w:rsidRPr="008F6E60">
        <w:rPr>
          <w:rFonts w:ascii="Times New Roman" w:hAnsi="Times New Roman" w:cs="Times New Roman"/>
          <w:color w:val="000000" w:themeColor="text1"/>
          <w:sz w:val="24"/>
          <w:szCs w:val="24"/>
        </w:rPr>
        <w:t xml:space="preserve"> </w:t>
      </w:r>
      <w:r w:rsidR="00813116" w:rsidRPr="008F6E60">
        <w:rPr>
          <w:rFonts w:ascii="Times New Roman" w:hAnsi="Times New Roman" w:cs="Times New Roman"/>
          <w:color w:val="000000" w:themeColor="text1"/>
          <w:sz w:val="24"/>
          <w:szCs w:val="24"/>
        </w:rPr>
        <w:t>2.1.10</w:t>
      </w:r>
      <w:r w:rsidRPr="008F6E60">
        <w:rPr>
          <w:rFonts w:ascii="Times New Roman" w:hAnsi="Times New Roman" w:cs="Times New Roman"/>
          <w:color w:val="000000" w:themeColor="text1"/>
          <w:sz w:val="24"/>
          <w:szCs w:val="24"/>
        </w:rPr>
        <w:t>)</w:t>
      </w:r>
      <w:r w:rsidR="000731DD" w:rsidRPr="008F6E60">
        <w:rPr>
          <w:rFonts w:ascii="Times New Roman" w:hAnsi="Times New Roman" w:cs="Times New Roman"/>
          <w:color w:val="000000" w:themeColor="text1"/>
          <w:sz w:val="24"/>
          <w:szCs w:val="24"/>
        </w:rPr>
        <w:t>;</w:t>
      </w:r>
    </w:p>
    <w:p w:rsidR="00B51E61" w:rsidRPr="008F6E60" w:rsidRDefault="00B51E61" w:rsidP="00B51E61">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Recomendar à COPEG que, observado o prazo de 30 dias, adote sistemática no sentido de assegurar adequada orientação e suporte aos gerentes de projetos, no que tange à metodologia de gestão de projetos e respectivos padrões, documentos e modelos utilizados, no âmbito deste Regional, imediatamente após a sua designação, em observância ao quanto previsto no inciso VIII, do art. </w:t>
      </w:r>
      <w:r w:rsidR="00384D4E" w:rsidRPr="007D3A03">
        <w:rPr>
          <w:rFonts w:ascii="Times New Roman" w:hAnsi="Times New Roman" w:cs="Times New Roman"/>
          <w:sz w:val="24"/>
          <w:szCs w:val="24"/>
        </w:rPr>
        <w:t>19</w:t>
      </w:r>
      <w:r w:rsidRPr="007D3A03">
        <w:rPr>
          <w:rFonts w:ascii="Times New Roman" w:hAnsi="Times New Roman" w:cs="Times New Roman"/>
          <w:sz w:val="24"/>
          <w:szCs w:val="24"/>
        </w:rPr>
        <w:t xml:space="preserve">, do Regulamento Interno da Secretaria do Tribunal (Res. Adm. TRE-BA nº </w:t>
      </w:r>
      <w:r w:rsidR="00384D4E" w:rsidRPr="007D3A03">
        <w:rPr>
          <w:rFonts w:ascii="Times New Roman" w:hAnsi="Times New Roman" w:cs="Times New Roman"/>
          <w:sz w:val="24"/>
          <w:szCs w:val="24"/>
        </w:rPr>
        <w:t>12/2018</w:t>
      </w:r>
      <w:r w:rsidRPr="007D3A03">
        <w:rPr>
          <w:rFonts w:ascii="Times New Roman" w:hAnsi="Times New Roman" w:cs="Times New Roman"/>
          <w:sz w:val="24"/>
          <w:szCs w:val="24"/>
        </w:rPr>
        <w:t xml:space="preserve">), </w:t>
      </w:r>
      <w:r w:rsidRPr="00775054">
        <w:rPr>
          <w:rFonts w:ascii="Times New Roman" w:hAnsi="Times New Roman" w:cs="Times New Roman"/>
          <w:color w:val="000000" w:themeColor="text1"/>
          <w:sz w:val="24"/>
          <w:szCs w:val="24"/>
        </w:rPr>
        <w:t xml:space="preserve">instituindo, ainda, mecanismos de controle suficientes e </w:t>
      </w:r>
      <w:r w:rsidRPr="008F6E60">
        <w:rPr>
          <w:rFonts w:ascii="Times New Roman" w:hAnsi="Times New Roman" w:cs="Times New Roman"/>
          <w:color w:val="000000" w:themeColor="text1"/>
          <w:sz w:val="24"/>
          <w:szCs w:val="24"/>
        </w:rPr>
        <w:t>adequados</w:t>
      </w:r>
      <w:r w:rsidR="001D3CB7" w:rsidRPr="008F6E60">
        <w:rPr>
          <w:rFonts w:ascii="Times New Roman" w:hAnsi="Times New Roman" w:cs="Times New Roman"/>
          <w:color w:val="000000" w:themeColor="text1"/>
          <w:sz w:val="24"/>
          <w:szCs w:val="24"/>
        </w:rPr>
        <w:t xml:space="preserve"> à mitigação dos riscos associados</w:t>
      </w:r>
      <w:r w:rsidRPr="008F6E60">
        <w:rPr>
          <w:rFonts w:ascii="Times New Roman" w:hAnsi="Times New Roman" w:cs="Times New Roman"/>
          <w:color w:val="000000" w:themeColor="text1"/>
          <w:sz w:val="24"/>
          <w:szCs w:val="24"/>
        </w:rPr>
        <w:t xml:space="preserve"> (Ref. subite</w:t>
      </w:r>
      <w:r w:rsidR="00D71DCE" w:rsidRPr="008F6E60">
        <w:rPr>
          <w:rFonts w:ascii="Times New Roman" w:hAnsi="Times New Roman" w:cs="Times New Roman"/>
          <w:color w:val="000000" w:themeColor="text1"/>
          <w:sz w:val="24"/>
          <w:szCs w:val="24"/>
        </w:rPr>
        <w:t>m</w:t>
      </w:r>
      <w:r w:rsidRPr="008F6E60">
        <w:rPr>
          <w:rFonts w:ascii="Times New Roman" w:hAnsi="Times New Roman" w:cs="Times New Roman"/>
          <w:color w:val="000000" w:themeColor="text1"/>
          <w:sz w:val="24"/>
          <w:szCs w:val="24"/>
        </w:rPr>
        <w:t xml:space="preserve"> </w:t>
      </w:r>
      <w:r w:rsidR="00813116" w:rsidRPr="008F6E60">
        <w:rPr>
          <w:rFonts w:ascii="Times New Roman" w:hAnsi="Times New Roman" w:cs="Times New Roman"/>
          <w:color w:val="000000" w:themeColor="text1"/>
          <w:sz w:val="24"/>
          <w:szCs w:val="24"/>
        </w:rPr>
        <w:t>2.1.10</w:t>
      </w:r>
      <w:r w:rsidRPr="008F6E60">
        <w:rPr>
          <w:rFonts w:ascii="Times New Roman" w:hAnsi="Times New Roman" w:cs="Times New Roman"/>
          <w:color w:val="000000" w:themeColor="text1"/>
          <w:sz w:val="24"/>
          <w:szCs w:val="24"/>
        </w:rPr>
        <w:t>)</w:t>
      </w:r>
      <w:r w:rsidR="00D71DCE" w:rsidRPr="008F6E60">
        <w:rPr>
          <w:rFonts w:ascii="Times New Roman" w:hAnsi="Times New Roman" w:cs="Times New Roman"/>
          <w:color w:val="000000" w:themeColor="text1"/>
          <w:sz w:val="24"/>
          <w:szCs w:val="24"/>
        </w:rPr>
        <w:t>;</w:t>
      </w:r>
    </w:p>
    <w:p w:rsidR="00B51E61" w:rsidRPr="00775054" w:rsidRDefault="00B51E61" w:rsidP="00B51E61">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Recomendar aos gerentes de projetos</w:t>
      </w:r>
      <w:r w:rsidR="00C905CD">
        <w:rPr>
          <w:rFonts w:ascii="Times New Roman" w:hAnsi="Times New Roman" w:cs="Times New Roman"/>
          <w:color w:val="000000" w:themeColor="text1"/>
          <w:sz w:val="24"/>
          <w:szCs w:val="24"/>
        </w:rPr>
        <w:t xml:space="preserve"> atuais</w:t>
      </w:r>
      <w:r w:rsidRPr="00775054">
        <w:rPr>
          <w:rFonts w:ascii="Times New Roman" w:hAnsi="Times New Roman" w:cs="Times New Roman"/>
          <w:color w:val="000000" w:themeColor="text1"/>
          <w:sz w:val="24"/>
          <w:szCs w:val="24"/>
        </w:rPr>
        <w:t xml:space="preserve"> que formalizem e mantenham atualizados, no PAD, os documentos exigidos no item </w:t>
      </w:r>
      <w:proofErr w:type="gramStart"/>
      <w:r w:rsidRPr="00775054">
        <w:rPr>
          <w:rFonts w:ascii="Times New Roman" w:hAnsi="Times New Roman" w:cs="Times New Roman"/>
          <w:color w:val="000000" w:themeColor="text1"/>
          <w:sz w:val="24"/>
          <w:szCs w:val="24"/>
        </w:rPr>
        <w:t>5</w:t>
      </w:r>
      <w:proofErr w:type="gramEnd"/>
      <w:r w:rsidRPr="00775054">
        <w:rPr>
          <w:rFonts w:ascii="Times New Roman" w:hAnsi="Times New Roman" w:cs="Times New Roman"/>
          <w:color w:val="000000" w:themeColor="text1"/>
          <w:sz w:val="24"/>
          <w:szCs w:val="24"/>
        </w:rPr>
        <w:t xml:space="preserve"> do Manual Metodológico de Gerenciamento de Projetos do TRE-BA, </w:t>
      </w:r>
      <w:r w:rsidR="00D71DCE">
        <w:rPr>
          <w:rFonts w:ascii="Times New Roman" w:hAnsi="Times New Roman" w:cs="Times New Roman"/>
          <w:color w:val="000000" w:themeColor="text1"/>
          <w:sz w:val="24"/>
          <w:szCs w:val="24"/>
        </w:rPr>
        <w:t>quais sejam</w:t>
      </w:r>
      <w:r w:rsidR="006C5F2B">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 xml:space="preserve"> PGP</w:t>
      </w:r>
      <w:r w:rsidR="001E3863">
        <w:rPr>
          <w:rFonts w:ascii="Times New Roman" w:hAnsi="Times New Roman" w:cs="Times New Roman"/>
          <w:color w:val="000000" w:themeColor="text1"/>
          <w:sz w:val="24"/>
          <w:szCs w:val="24"/>
        </w:rPr>
        <w:t xml:space="preserve"> (</w:t>
      </w:r>
      <w:r w:rsidR="003F3CB4">
        <w:rPr>
          <w:rFonts w:ascii="Times New Roman" w:hAnsi="Times New Roman" w:cs="Times New Roman"/>
          <w:color w:val="000000" w:themeColor="text1"/>
          <w:sz w:val="24"/>
          <w:szCs w:val="24"/>
        </w:rPr>
        <w:t>Plano Geral de Projeto)</w:t>
      </w:r>
      <w:r w:rsidRPr="00775054">
        <w:rPr>
          <w:rFonts w:ascii="Times New Roman" w:hAnsi="Times New Roman" w:cs="Times New Roman"/>
          <w:color w:val="000000" w:themeColor="text1"/>
          <w:sz w:val="24"/>
          <w:szCs w:val="24"/>
        </w:rPr>
        <w:t>, TAP</w:t>
      </w:r>
      <w:r w:rsidR="003F3CB4">
        <w:rPr>
          <w:rFonts w:ascii="Times New Roman" w:hAnsi="Times New Roman" w:cs="Times New Roman"/>
          <w:color w:val="000000" w:themeColor="text1"/>
          <w:sz w:val="24"/>
          <w:szCs w:val="24"/>
        </w:rPr>
        <w:t xml:space="preserve"> (Termo de Abertura de Projeto)</w:t>
      </w:r>
      <w:r w:rsidRPr="00775054">
        <w:rPr>
          <w:rFonts w:ascii="Times New Roman" w:hAnsi="Times New Roman" w:cs="Times New Roman"/>
          <w:color w:val="000000" w:themeColor="text1"/>
          <w:sz w:val="24"/>
          <w:szCs w:val="24"/>
        </w:rPr>
        <w:t xml:space="preserve"> e RAP</w:t>
      </w:r>
      <w:r w:rsidR="003F3CB4">
        <w:rPr>
          <w:rFonts w:ascii="Times New Roman" w:hAnsi="Times New Roman" w:cs="Times New Roman"/>
          <w:color w:val="000000" w:themeColor="text1"/>
          <w:sz w:val="24"/>
          <w:szCs w:val="24"/>
        </w:rPr>
        <w:t xml:space="preserve"> (Relatório de Acompanhamento de Projeto)</w:t>
      </w:r>
      <w:r w:rsidRPr="00775054">
        <w:rPr>
          <w:rFonts w:ascii="Times New Roman" w:hAnsi="Times New Roman" w:cs="Times New Roman"/>
          <w:color w:val="000000" w:themeColor="text1"/>
          <w:sz w:val="24"/>
          <w:szCs w:val="24"/>
        </w:rPr>
        <w:t xml:space="preserve"> </w:t>
      </w:r>
      <w:r w:rsidR="003F3CB4">
        <w:rPr>
          <w:rFonts w:ascii="Times New Roman" w:hAnsi="Times New Roman" w:cs="Times New Roman"/>
          <w:color w:val="000000" w:themeColor="text1"/>
          <w:sz w:val="24"/>
          <w:szCs w:val="24"/>
        </w:rPr>
        <w:t>(</w:t>
      </w:r>
      <w:r w:rsidRPr="00775054">
        <w:rPr>
          <w:rFonts w:ascii="Times New Roman" w:hAnsi="Times New Roman" w:cs="Times New Roman"/>
          <w:color w:val="000000" w:themeColor="text1"/>
          <w:sz w:val="24"/>
          <w:szCs w:val="24"/>
        </w:rPr>
        <w:t>Ref. subite</w:t>
      </w:r>
      <w:r w:rsidR="00D71DCE">
        <w:rPr>
          <w:rFonts w:ascii="Times New Roman" w:hAnsi="Times New Roman" w:cs="Times New Roman"/>
          <w:color w:val="000000" w:themeColor="text1"/>
          <w:sz w:val="24"/>
          <w:szCs w:val="24"/>
        </w:rPr>
        <w:t>m</w:t>
      </w:r>
      <w:r w:rsidRPr="00775054">
        <w:rPr>
          <w:rFonts w:ascii="Times New Roman" w:hAnsi="Times New Roman" w:cs="Times New Roman"/>
          <w:color w:val="000000" w:themeColor="text1"/>
          <w:sz w:val="24"/>
          <w:szCs w:val="24"/>
        </w:rPr>
        <w:t xml:space="preserve"> </w:t>
      </w:r>
      <w:r w:rsidR="006C5F2B">
        <w:rPr>
          <w:rFonts w:ascii="Times New Roman" w:hAnsi="Times New Roman" w:cs="Times New Roman"/>
          <w:color w:val="000000" w:themeColor="text1"/>
          <w:sz w:val="24"/>
          <w:szCs w:val="24"/>
        </w:rPr>
        <w:t>2.1.11</w:t>
      </w:r>
      <w:r w:rsidRPr="00775054">
        <w:rPr>
          <w:rFonts w:ascii="Times New Roman" w:hAnsi="Times New Roman" w:cs="Times New Roman"/>
          <w:color w:val="000000" w:themeColor="text1"/>
          <w:sz w:val="24"/>
          <w:szCs w:val="24"/>
        </w:rPr>
        <w:t>)</w:t>
      </w:r>
      <w:r w:rsidR="00D71DCE">
        <w:rPr>
          <w:rFonts w:ascii="Times New Roman" w:hAnsi="Times New Roman" w:cs="Times New Roman"/>
          <w:color w:val="000000" w:themeColor="text1"/>
          <w:sz w:val="24"/>
          <w:szCs w:val="24"/>
        </w:rPr>
        <w:t>;</w:t>
      </w:r>
    </w:p>
    <w:p w:rsidR="004C640B" w:rsidRPr="006C5F2B" w:rsidRDefault="004C640B" w:rsidP="004C640B">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Recomendar à SGP que </w:t>
      </w:r>
      <w:proofErr w:type="gramStart"/>
      <w:r w:rsidRPr="00775054">
        <w:rPr>
          <w:rFonts w:ascii="Times New Roman" w:hAnsi="Times New Roman" w:cs="Times New Roman"/>
          <w:color w:val="000000" w:themeColor="text1"/>
          <w:sz w:val="24"/>
          <w:szCs w:val="24"/>
        </w:rPr>
        <w:t>assegure,</w:t>
      </w:r>
      <w:proofErr w:type="gramEnd"/>
      <w:r w:rsidRPr="00775054">
        <w:rPr>
          <w:rFonts w:ascii="Times New Roman" w:hAnsi="Times New Roman" w:cs="Times New Roman"/>
          <w:color w:val="000000" w:themeColor="text1"/>
          <w:sz w:val="24"/>
          <w:szCs w:val="24"/>
        </w:rPr>
        <w:t xml:space="preserve"> ainda em 2018, capacitação técnica em planejamento operacional para os gestores de unidades administrativas e jurisdicionais do Tribunal</w:t>
      </w:r>
      <w:r w:rsidR="00D71DCE">
        <w:rPr>
          <w:rFonts w:ascii="Times New Roman" w:hAnsi="Times New Roman" w:cs="Times New Roman"/>
          <w:color w:val="000000" w:themeColor="text1"/>
          <w:sz w:val="24"/>
          <w:szCs w:val="24"/>
        </w:rPr>
        <w:t xml:space="preserve">, </w:t>
      </w:r>
      <w:r w:rsidR="00D71DCE" w:rsidRPr="003F3CB4">
        <w:rPr>
          <w:rFonts w:ascii="Times New Roman" w:hAnsi="Times New Roman" w:cs="Times New Roman"/>
          <w:color w:val="000000" w:themeColor="text1"/>
          <w:sz w:val="24"/>
          <w:szCs w:val="24"/>
        </w:rPr>
        <w:t>consideradas, inclusive, alternativas à modalidade presencial de treinamento</w:t>
      </w:r>
      <w:r w:rsidRPr="003F3CB4">
        <w:rPr>
          <w:rFonts w:ascii="Times New Roman" w:hAnsi="Times New Roman" w:cs="Times New Roman"/>
          <w:color w:val="000000" w:themeColor="text1"/>
          <w:sz w:val="24"/>
          <w:szCs w:val="24"/>
        </w:rPr>
        <w:t xml:space="preserve"> </w:t>
      </w:r>
      <w:r w:rsidRPr="006C5F2B">
        <w:rPr>
          <w:rFonts w:ascii="Times New Roman" w:hAnsi="Times New Roman" w:cs="Times New Roman"/>
          <w:color w:val="000000" w:themeColor="text1"/>
          <w:sz w:val="24"/>
          <w:szCs w:val="24"/>
        </w:rPr>
        <w:t>(Ref. subite</w:t>
      </w:r>
      <w:r w:rsidR="00D71DCE" w:rsidRPr="006C5F2B">
        <w:rPr>
          <w:rFonts w:ascii="Times New Roman" w:hAnsi="Times New Roman" w:cs="Times New Roman"/>
          <w:color w:val="000000" w:themeColor="text1"/>
          <w:sz w:val="24"/>
          <w:szCs w:val="24"/>
        </w:rPr>
        <w:t>m</w:t>
      </w:r>
      <w:r w:rsidRPr="006C5F2B">
        <w:rPr>
          <w:rFonts w:ascii="Times New Roman" w:hAnsi="Times New Roman" w:cs="Times New Roman"/>
          <w:color w:val="000000" w:themeColor="text1"/>
          <w:sz w:val="24"/>
          <w:szCs w:val="24"/>
        </w:rPr>
        <w:t xml:space="preserve"> </w:t>
      </w:r>
      <w:r w:rsidR="006C5F2B" w:rsidRPr="006C5F2B">
        <w:rPr>
          <w:rFonts w:ascii="Times New Roman" w:hAnsi="Times New Roman" w:cs="Times New Roman"/>
          <w:color w:val="000000" w:themeColor="text1"/>
          <w:sz w:val="24"/>
          <w:szCs w:val="24"/>
        </w:rPr>
        <w:t>2.1.12</w:t>
      </w:r>
      <w:r w:rsidRPr="006C5F2B">
        <w:rPr>
          <w:rFonts w:ascii="Times New Roman" w:hAnsi="Times New Roman" w:cs="Times New Roman"/>
          <w:color w:val="000000" w:themeColor="text1"/>
          <w:sz w:val="24"/>
          <w:szCs w:val="24"/>
        </w:rPr>
        <w:t>)</w:t>
      </w:r>
      <w:r w:rsidR="00D71DCE" w:rsidRPr="006C5F2B">
        <w:rPr>
          <w:rFonts w:ascii="Times New Roman" w:hAnsi="Times New Roman" w:cs="Times New Roman"/>
          <w:color w:val="000000" w:themeColor="text1"/>
          <w:sz w:val="24"/>
          <w:szCs w:val="24"/>
        </w:rPr>
        <w:t>;</w:t>
      </w:r>
    </w:p>
    <w:p w:rsidR="004C640B" w:rsidRPr="006C5F2B" w:rsidRDefault="004C640B" w:rsidP="004C640B">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Recomendar à COPEG que, observado o prazo de 90 dias, defina diretrizes e modelos que subsidiem a formalização de plano de gestão pelos responsáveis pela execução de objetivos e metas estratégic</w:t>
      </w:r>
      <w:r w:rsidR="00245DC9">
        <w:rPr>
          <w:rFonts w:ascii="Times New Roman" w:hAnsi="Times New Roman" w:cs="Times New Roman"/>
          <w:color w:val="000000" w:themeColor="text1"/>
          <w:sz w:val="24"/>
          <w:szCs w:val="24"/>
        </w:rPr>
        <w:t>a</w:t>
      </w:r>
      <w:r w:rsidRPr="00775054">
        <w:rPr>
          <w:rFonts w:ascii="Times New Roman" w:hAnsi="Times New Roman" w:cs="Times New Roman"/>
          <w:color w:val="000000" w:themeColor="text1"/>
          <w:sz w:val="24"/>
          <w:szCs w:val="24"/>
        </w:rPr>
        <w:t>s</w:t>
      </w:r>
      <w:r w:rsidR="00245DC9">
        <w:rPr>
          <w:rFonts w:ascii="Times New Roman" w:hAnsi="Times New Roman" w:cs="Times New Roman"/>
          <w:color w:val="000000" w:themeColor="text1"/>
          <w:sz w:val="24"/>
          <w:szCs w:val="24"/>
        </w:rPr>
        <w:t xml:space="preserve">, </w:t>
      </w:r>
      <w:r w:rsidR="00245DC9" w:rsidRPr="003F3CB4">
        <w:rPr>
          <w:rFonts w:ascii="Times New Roman" w:hAnsi="Times New Roman" w:cs="Times New Roman"/>
          <w:color w:val="000000" w:themeColor="text1"/>
          <w:sz w:val="24"/>
          <w:szCs w:val="24"/>
        </w:rPr>
        <w:t xml:space="preserve">promovendo sua ampla divulgação, no âmbito </w:t>
      </w:r>
      <w:r w:rsidR="00245DC9" w:rsidRPr="006C5F2B">
        <w:rPr>
          <w:rFonts w:ascii="Times New Roman" w:hAnsi="Times New Roman" w:cs="Times New Roman"/>
          <w:color w:val="000000" w:themeColor="text1"/>
          <w:sz w:val="24"/>
          <w:szCs w:val="24"/>
        </w:rPr>
        <w:t>organizacional</w:t>
      </w:r>
      <w:r w:rsidRPr="006C5F2B">
        <w:rPr>
          <w:rFonts w:ascii="Times New Roman" w:hAnsi="Times New Roman" w:cs="Times New Roman"/>
          <w:color w:val="000000" w:themeColor="text1"/>
          <w:sz w:val="24"/>
          <w:szCs w:val="24"/>
        </w:rPr>
        <w:t xml:space="preserve"> (Ref. subite</w:t>
      </w:r>
      <w:r w:rsidR="00D71DCE" w:rsidRPr="006C5F2B">
        <w:rPr>
          <w:rFonts w:ascii="Times New Roman" w:hAnsi="Times New Roman" w:cs="Times New Roman"/>
          <w:color w:val="000000" w:themeColor="text1"/>
          <w:sz w:val="24"/>
          <w:szCs w:val="24"/>
        </w:rPr>
        <w:t>m</w:t>
      </w:r>
      <w:r w:rsidRPr="006C5F2B">
        <w:rPr>
          <w:rFonts w:ascii="Times New Roman" w:hAnsi="Times New Roman" w:cs="Times New Roman"/>
          <w:color w:val="000000" w:themeColor="text1"/>
          <w:sz w:val="24"/>
          <w:szCs w:val="24"/>
        </w:rPr>
        <w:t xml:space="preserve"> </w:t>
      </w:r>
      <w:r w:rsidR="006C5F2B" w:rsidRPr="006C5F2B">
        <w:rPr>
          <w:rFonts w:ascii="Times New Roman" w:hAnsi="Times New Roman" w:cs="Times New Roman"/>
          <w:color w:val="000000" w:themeColor="text1"/>
          <w:sz w:val="24"/>
          <w:szCs w:val="24"/>
        </w:rPr>
        <w:t>2.1.12</w:t>
      </w:r>
      <w:r w:rsidRPr="006C5F2B">
        <w:rPr>
          <w:rFonts w:ascii="Times New Roman" w:hAnsi="Times New Roman" w:cs="Times New Roman"/>
          <w:color w:val="000000" w:themeColor="text1"/>
          <w:sz w:val="24"/>
          <w:szCs w:val="24"/>
        </w:rPr>
        <w:t>)</w:t>
      </w:r>
      <w:r w:rsidR="00D71DCE" w:rsidRPr="006C5F2B">
        <w:rPr>
          <w:rFonts w:ascii="Times New Roman" w:hAnsi="Times New Roman" w:cs="Times New Roman"/>
          <w:color w:val="000000" w:themeColor="text1"/>
          <w:sz w:val="24"/>
          <w:szCs w:val="24"/>
        </w:rPr>
        <w:t>;</w:t>
      </w:r>
    </w:p>
    <w:p w:rsidR="004F185B" w:rsidRPr="00A8087E" w:rsidRDefault="004F185B" w:rsidP="004F185B">
      <w:pPr>
        <w:numPr>
          <w:ilvl w:val="2"/>
          <w:numId w:val="1"/>
        </w:numPr>
        <w:spacing w:after="120" w:line="240" w:lineRule="auto"/>
        <w:jc w:val="both"/>
        <w:rPr>
          <w:rFonts w:ascii="Times New Roman" w:hAnsi="Times New Roman" w:cs="Times New Roman"/>
          <w:color w:val="000000" w:themeColor="text1"/>
          <w:sz w:val="24"/>
          <w:szCs w:val="24"/>
        </w:rPr>
      </w:pPr>
      <w:r w:rsidRPr="00A8087E">
        <w:rPr>
          <w:rFonts w:ascii="Times New Roman" w:hAnsi="Times New Roman" w:cs="Times New Roman"/>
          <w:color w:val="000000" w:themeColor="text1"/>
          <w:sz w:val="24"/>
          <w:szCs w:val="24"/>
        </w:rPr>
        <w:t>Recomendar aos</w:t>
      </w:r>
      <w:r w:rsidR="00C905CD">
        <w:rPr>
          <w:rFonts w:ascii="Times New Roman" w:hAnsi="Times New Roman" w:cs="Times New Roman"/>
          <w:color w:val="000000" w:themeColor="text1"/>
          <w:sz w:val="24"/>
          <w:szCs w:val="24"/>
        </w:rPr>
        <w:t xml:space="preserve"> atuais</w:t>
      </w:r>
      <w:r w:rsidRPr="00A8087E">
        <w:rPr>
          <w:rFonts w:ascii="Times New Roman" w:hAnsi="Times New Roman" w:cs="Times New Roman"/>
          <w:color w:val="000000" w:themeColor="text1"/>
          <w:sz w:val="24"/>
          <w:szCs w:val="24"/>
        </w:rPr>
        <w:t xml:space="preserve"> responsáveis pela execução de objetivos e metas estratégicas que, observado o prazo de 60 dias e </w:t>
      </w:r>
      <w:proofErr w:type="gramStart"/>
      <w:r w:rsidRPr="00A8087E">
        <w:rPr>
          <w:rFonts w:ascii="Times New Roman" w:hAnsi="Times New Roman" w:cs="Times New Roman"/>
          <w:color w:val="000000" w:themeColor="text1"/>
          <w:sz w:val="24"/>
          <w:szCs w:val="24"/>
        </w:rPr>
        <w:t>consoante orientações</w:t>
      </w:r>
      <w:proofErr w:type="gramEnd"/>
      <w:r w:rsidRPr="00A8087E">
        <w:rPr>
          <w:rFonts w:ascii="Times New Roman" w:hAnsi="Times New Roman" w:cs="Times New Roman"/>
          <w:color w:val="000000" w:themeColor="text1"/>
          <w:sz w:val="24"/>
          <w:szCs w:val="24"/>
        </w:rPr>
        <w:t xml:space="preserve"> e modelos definidos pela COPEG, formalizem planos de gestão anuais para execução dos desafios sob sua responsabilidade</w:t>
      </w:r>
      <w:r w:rsidR="00F0404F" w:rsidRPr="00A8087E">
        <w:rPr>
          <w:rFonts w:ascii="Times New Roman" w:hAnsi="Times New Roman" w:cs="Times New Roman"/>
          <w:color w:val="000000" w:themeColor="text1"/>
          <w:sz w:val="24"/>
          <w:szCs w:val="24"/>
        </w:rPr>
        <w:t xml:space="preserve"> (Ref. subite</w:t>
      </w:r>
      <w:r w:rsidR="00D71DCE" w:rsidRPr="00A8087E">
        <w:rPr>
          <w:rFonts w:ascii="Times New Roman" w:hAnsi="Times New Roman" w:cs="Times New Roman"/>
          <w:color w:val="000000" w:themeColor="text1"/>
          <w:sz w:val="24"/>
          <w:szCs w:val="24"/>
        </w:rPr>
        <w:t>m</w:t>
      </w:r>
      <w:r w:rsidR="00F0404F" w:rsidRPr="00A8087E">
        <w:rPr>
          <w:rFonts w:ascii="Times New Roman" w:hAnsi="Times New Roman" w:cs="Times New Roman"/>
          <w:color w:val="000000" w:themeColor="text1"/>
          <w:sz w:val="24"/>
          <w:szCs w:val="24"/>
        </w:rPr>
        <w:t xml:space="preserve"> </w:t>
      </w:r>
      <w:r w:rsidR="00A8087E" w:rsidRPr="00A8087E">
        <w:rPr>
          <w:rFonts w:ascii="Times New Roman" w:hAnsi="Times New Roman" w:cs="Times New Roman"/>
          <w:color w:val="000000" w:themeColor="text1"/>
          <w:sz w:val="24"/>
          <w:szCs w:val="24"/>
        </w:rPr>
        <w:t>2.1.12</w:t>
      </w:r>
      <w:r w:rsidR="00F0404F" w:rsidRPr="00A8087E">
        <w:rPr>
          <w:rFonts w:ascii="Times New Roman" w:hAnsi="Times New Roman" w:cs="Times New Roman"/>
          <w:color w:val="000000" w:themeColor="text1"/>
          <w:sz w:val="24"/>
          <w:szCs w:val="24"/>
        </w:rPr>
        <w:t>)</w:t>
      </w:r>
      <w:r w:rsidR="00D71DCE" w:rsidRPr="00A8087E">
        <w:rPr>
          <w:rFonts w:ascii="Times New Roman" w:hAnsi="Times New Roman" w:cs="Times New Roman"/>
          <w:color w:val="000000" w:themeColor="text1"/>
          <w:sz w:val="24"/>
          <w:szCs w:val="24"/>
        </w:rPr>
        <w:t>;</w:t>
      </w:r>
    </w:p>
    <w:p w:rsidR="00F0404F" w:rsidRPr="008F6E60" w:rsidRDefault="00F0404F" w:rsidP="00F0404F">
      <w:pPr>
        <w:numPr>
          <w:ilvl w:val="2"/>
          <w:numId w:val="1"/>
        </w:numPr>
        <w:spacing w:after="120" w:line="240" w:lineRule="auto"/>
        <w:jc w:val="both"/>
        <w:rPr>
          <w:rFonts w:ascii="Times New Roman" w:hAnsi="Times New Roman" w:cs="Times New Roman"/>
          <w:color w:val="000000" w:themeColor="text1"/>
          <w:sz w:val="24"/>
          <w:szCs w:val="24"/>
        </w:rPr>
      </w:pPr>
      <w:r w:rsidRPr="004F4E98">
        <w:rPr>
          <w:rFonts w:ascii="Times New Roman" w:hAnsi="Times New Roman" w:cs="Times New Roman"/>
          <w:sz w:val="24"/>
          <w:szCs w:val="24"/>
        </w:rPr>
        <w:t xml:space="preserve">Recomendar </w:t>
      </w:r>
      <w:r w:rsidR="00254E98">
        <w:rPr>
          <w:rFonts w:ascii="Times New Roman" w:hAnsi="Times New Roman" w:cs="Times New Roman"/>
          <w:sz w:val="24"/>
          <w:szCs w:val="24"/>
        </w:rPr>
        <w:t>à COPEG</w:t>
      </w:r>
      <w:r w:rsidRPr="004F4E98">
        <w:rPr>
          <w:rFonts w:ascii="Times New Roman" w:hAnsi="Times New Roman" w:cs="Times New Roman"/>
          <w:sz w:val="24"/>
          <w:szCs w:val="24"/>
        </w:rPr>
        <w:t xml:space="preserve"> que</w:t>
      </w:r>
      <w:r w:rsidR="00254E98">
        <w:rPr>
          <w:rFonts w:ascii="Times New Roman" w:hAnsi="Times New Roman" w:cs="Times New Roman"/>
          <w:sz w:val="24"/>
          <w:szCs w:val="24"/>
        </w:rPr>
        <w:t>,</w:t>
      </w:r>
      <w:r w:rsidRPr="004F4E98">
        <w:rPr>
          <w:rFonts w:ascii="Times New Roman" w:hAnsi="Times New Roman" w:cs="Times New Roman"/>
          <w:sz w:val="24"/>
          <w:szCs w:val="24"/>
        </w:rPr>
        <w:t xml:space="preserve"> ouvida a SGA, observado o prazo de </w:t>
      </w:r>
      <w:r w:rsidR="00254E98">
        <w:rPr>
          <w:rFonts w:ascii="Times New Roman" w:hAnsi="Times New Roman" w:cs="Times New Roman"/>
          <w:sz w:val="24"/>
          <w:szCs w:val="24"/>
        </w:rPr>
        <w:t>60</w:t>
      </w:r>
      <w:r w:rsidR="00D71DCE" w:rsidRPr="004F4E98">
        <w:rPr>
          <w:rFonts w:ascii="Times New Roman" w:hAnsi="Times New Roman" w:cs="Times New Roman"/>
          <w:sz w:val="24"/>
          <w:szCs w:val="24"/>
        </w:rPr>
        <w:t xml:space="preserve"> dias</w:t>
      </w:r>
      <w:r w:rsidRPr="004F4E98">
        <w:rPr>
          <w:rFonts w:ascii="Times New Roman" w:hAnsi="Times New Roman" w:cs="Times New Roman"/>
          <w:sz w:val="24"/>
          <w:szCs w:val="24"/>
        </w:rPr>
        <w:t xml:space="preserve">, </w:t>
      </w:r>
      <w:r w:rsidR="00254E98">
        <w:rPr>
          <w:rFonts w:ascii="Times New Roman" w:hAnsi="Times New Roman" w:cs="Times New Roman"/>
          <w:sz w:val="24"/>
          <w:szCs w:val="24"/>
        </w:rPr>
        <w:t xml:space="preserve">institua novo indicador ou proceda à revisão da </w:t>
      </w:r>
      <w:r w:rsidRPr="004F4E98">
        <w:rPr>
          <w:rFonts w:ascii="Times New Roman" w:hAnsi="Times New Roman" w:cs="Times New Roman"/>
          <w:sz w:val="24"/>
          <w:szCs w:val="24"/>
        </w:rPr>
        <w:t>forma de cálculo do índice de aderência ao PLANCONT</w:t>
      </w:r>
      <w:r w:rsidR="00254E98">
        <w:rPr>
          <w:rFonts w:ascii="Times New Roman" w:hAnsi="Times New Roman" w:cs="Times New Roman"/>
          <w:sz w:val="24"/>
          <w:szCs w:val="24"/>
        </w:rPr>
        <w:t xml:space="preserve">, </w:t>
      </w:r>
      <w:r w:rsidRPr="004F4E98">
        <w:rPr>
          <w:rFonts w:ascii="Times New Roman" w:hAnsi="Times New Roman" w:cs="Times New Roman"/>
          <w:sz w:val="24"/>
          <w:szCs w:val="24"/>
        </w:rPr>
        <w:t>de modo a</w:t>
      </w:r>
      <w:r w:rsidR="00254E98">
        <w:rPr>
          <w:rFonts w:ascii="Times New Roman" w:hAnsi="Times New Roman" w:cs="Times New Roman"/>
          <w:sz w:val="24"/>
          <w:szCs w:val="24"/>
        </w:rPr>
        <w:t xml:space="preserve"> assegurar a</w:t>
      </w:r>
      <w:r w:rsidRPr="004F4E98">
        <w:rPr>
          <w:rFonts w:ascii="Times New Roman" w:hAnsi="Times New Roman" w:cs="Times New Roman"/>
          <w:sz w:val="24"/>
          <w:szCs w:val="24"/>
        </w:rPr>
        <w:t xml:space="preserve"> contabiliz</w:t>
      </w:r>
      <w:r w:rsidR="00254E98">
        <w:rPr>
          <w:rFonts w:ascii="Times New Roman" w:hAnsi="Times New Roman" w:cs="Times New Roman"/>
          <w:sz w:val="24"/>
          <w:szCs w:val="24"/>
        </w:rPr>
        <w:t>ação de</w:t>
      </w:r>
      <w:r w:rsidRPr="004F4E98">
        <w:rPr>
          <w:rFonts w:ascii="Times New Roman" w:hAnsi="Times New Roman" w:cs="Times New Roman"/>
          <w:sz w:val="24"/>
          <w:szCs w:val="24"/>
        </w:rPr>
        <w:t xml:space="preserve"> atraso, desistência e inclusão de nova demanda como fator comprometedor da aderência da execução ao quanto originalmente planejado, qualificando, assim, a avaliação processada, </w:t>
      </w:r>
      <w:r w:rsidR="00254E98">
        <w:rPr>
          <w:rFonts w:ascii="Times New Roman" w:hAnsi="Times New Roman" w:cs="Times New Roman"/>
          <w:sz w:val="24"/>
          <w:szCs w:val="24"/>
        </w:rPr>
        <w:t>contemplando</w:t>
      </w:r>
      <w:r w:rsidRPr="004F4E98">
        <w:rPr>
          <w:rFonts w:ascii="Times New Roman" w:hAnsi="Times New Roman" w:cs="Times New Roman"/>
          <w:sz w:val="24"/>
          <w:szCs w:val="24"/>
        </w:rPr>
        <w:t xml:space="preserve">, dentre os aspectos </w:t>
      </w:r>
      <w:r w:rsidR="00254E98">
        <w:rPr>
          <w:rFonts w:ascii="Times New Roman" w:hAnsi="Times New Roman" w:cs="Times New Roman"/>
          <w:sz w:val="24"/>
          <w:szCs w:val="24"/>
        </w:rPr>
        <w:t>considerados</w:t>
      </w:r>
      <w:r w:rsidRPr="004F4E98">
        <w:rPr>
          <w:rFonts w:ascii="Times New Roman" w:hAnsi="Times New Roman" w:cs="Times New Roman"/>
          <w:sz w:val="24"/>
          <w:szCs w:val="24"/>
        </w:rPr>
        <w:t>, não apenas a execução, mas, também, a qualidade do planejamento de contratações realizado</w:t>
      </w:r>
      <w:r w:rsidRPr="00775054">
        <w:rPr>
          <w:rFonts w:ascii="Times New Roman" w:hAnsi="Times New Roman" w:cs="Times New Roman"/>
          <w:color w:val="000000" w:themeColor="text1"/>
          <w:sz w:val="24"/>
          <w:szCs w:val="24"/>
        </w:rPr>
        <w:t xml:space="preserve"> </w:t>
      </w:r>
      <w:r w:rsidRPr="001731AA">
        <w:rPr>
          <w:rFonts w:ascii="Times New Roman" w:hAnsi="Times New Roman" w:cs="Times New Roman"/>
          <w:color w:val="000000" w:themeColor="text1"/>
          <w:sz w:val="24"/>
          <w:szCs w:val="24"/>
        </w:rPr>
        <w:t>(Ref. subite</w:t>
      </w:r>
      <w:r w:rsidR="00D71DCE" w:rsidRPr="001731AA">
        <w:rPr>
          <w:rFonts w:ascii="Times New Roman" w:hAnsi="Times New Roman" w:cs="Times New Roman"/>
          <w:color w:val="000000" w:themeColor="text1"/>
          <w:sz w:val="24"/>
          <w:szCs w:val="24"/>
        </w:rPr>
        <w:t>m</w:t>
      </w:r>
      <w:r w:rsidRPr="001731AA">
        <w:rPr>
          <w:rFonts w:ascii="Times New Roman" w:hAnsi="Times New Roman" w:cs="Times New Roman"/>
          <w:color w:val="000000" w:themeColor="text1"/>
          <w:sz w:val="24"/>
          <w:szCs w:val="24"/>
        </w:rPr>
        <w:t xml:space="preserve"> </w:t>
      </w:r>
      <w:r w:rsidR="001731AA" w:rsidRPr="008F6E60">
        <w:rPr>
          <w:rFonts w:ascii="Times New Roman" w:hAnsi="Times New Roman" w:cs="Times New Roman"/>
          <w:color w:val="000000" w:themeColor="text1"/>
          <w:sz w:val="24"/>
          <w:szCs w:val="24"/>
        </w:rPr>
        <w:t>2.1.</w:t>
      </w:r>
      <w:r w:rsidR="001D3CB7" w:rsidRPr="008F6E60">
        <w:rPr>
          <w:rFonts w:ascii="Times New Roman" w:hAnsi="Times New Roman" w:cs="Times New Roman"/>
          <w:color w:val="000000" w:themeColor="text1"/>
          <w:sz w:val="24"/>
          <w:szCs w:val="24"/>
        </w:rPr>
        <w:t>13)</w:t>
      </w:r>
      <w:r w:rsidR="00D71DCE" w:rsidRPr="008F6E60">
        <w:rPr>
          <w:rFonts w:ascii="Times New Roman" w:hAnsi="Times New Roman" w:cs="Times New Roman"/>
          <w:color w:val="000000" w:themeColor="text1"/>
          <w:sz w:val="24"/>
          <w:szCs w:val="24"/>
        </w:rPr>
        <w:t>;</w:t>
      </w:r>
    </w:p>
    <w:p w:rsidR="00F0404F" w:rsidRPr="001731AA" w:rsidRDefault="00F0404F" w:rsidP="00F0404F">
      <w:pPr>
        <w:numPr>
          <w:ilvl w:val="2"/>
          <w:numId w:val="1"/>
        </w:numPr>
        <w:spacing w:after="120" w:line="240" w:lineRule="auto"/>
        <w:jc w:val="both"/>
        <w:rPr>
          <w:rFonts w:ascii="Times New Roman" w:hAnsi="Times New Roman" w:cs="Times New Roman"/>
          <w:color w:val="000000" w:themeColor="text1"/>
          <w:sz w:val="24"/>
          <w:szCs w:val="24"/>
        </w:rPr>
      </w:pPr>
      <w:r w:rsidRPr="00775054">
        <w:rPr>
          <w:rFonts w:ascii="Times New Roman" w:hAnsi="Times New Roman" w:cs="Times New Roman"/>
          <w:color w:val="000000" w:themeColor="text1"/>
          <w:sz w:val="24"/>
          <w:szCs w:val="24"/>
        </w:rPr>
        <w:t xml:space="preserve">Recomendar </w:t>
      </w:r>
      <w:r w:rsidR="00254E98">
        <w:rPr>
          <w:rFonts w:ascii="Times New Roman" w:hAnsi="Times New Roman" w:cs="Times New Roman"/>
          <w:color w:val="000000" w:themeColor="text1"/>
          <w:sz w:val="24"/>
          <w:szCs w:val="24"/>
        </w:rPr>
        <w:t>à COPEG que</w:t>
      </w:r>
      <w:r w:rsidRPr="00775054">
        <w:rPr>
          <w:rFonts w:ascii="Times New Roman" w:hAnsi="Times New Roman" w:cs="Times New Roman"/>
          <w:color w:val="000000" w:themeColor="text1"/>
          <w:sz w:val="24"/>
          <w:szCs w:val="24"/>
        </w:rPr>
        <w:t xml:space="preserve">, ouvida a SOF, no prazo de 60 dias, </w:t>
      </w:r>
      <w:r w:rsidR="00254E98">
        <w:rPr>
          <w:rFonts w:ascii="Times New Roman" w:hAnsi="Times New Roman" w:cs="Times New Roman"/>
          <w:color w:val="000000" w:themeColor="text1"/>
          <w:sz w:val="24"/>
          <w:szCs w:val="24"/>
        </w:rPr>
        <w:t>proceda à</w:t>
      </w:r>
      <w:r w:rsidRPr="00775054">
        <w:rPr>
          <w:rFonts w:ascii="Times New Roman" w:hAnsi="Times New Roman" w:cs="Times New Roman"/>
          <w:color w:val="000000" w:themeColor="text1"/>
          <w:sz w:val="24"/>
          <w:szCs w:val="24"/>
        </w:rPr>
        <w:t xml:space="preserve"> </w:t>
      </w:r>
      <w:proofErr w:type="gramStart"/>
      <w:r w:rsidRPr="00775054">
        <w:rPr>
          <w:rFonts w:ascii="Times New Roman" w:hAnsi="Times New Roman" w:cs="Times New Roman"/>
          <w:color w:val="000000" w:themeColor="text1"/>
          <w:sz w:val="24"/>
          <w:szCs w:val="24"/>
        </w:rPr>
        <w:t>formulação de novo indicador estratégico para medir a qualidade do gasto público pela Justiça Eleitoral baiana, de modo a assegurar a mensuração de todos os aspectos contemplados na descrição do objetivo estratégico de vinculação</w:t>
      </w:r>
      <w:proofErr w:type="gramEnd"/>
      <w:r w:rsidRPr="00775054">
        <w:rPr>
          <w:rFonts w:ascii="Times New Roman" w:hAnsi="Times New Roman" w:cs="Times New Roman"/>
          <w:color w:val="000000" w:themeColor="text1"/>
          <w:sz w:val="24"/>
          <w:szCs w:val="24"/>
        </w:rPr>
        <w:t xml:space="preserve"> </w:t>
      </w:r>
      <w:r w:rsidRPr="001731AA">
        <w:rPr>
          <w:rFonts w:ascii="Times New Roman" w:hAnsi="Times New Roman" w:cs="Times New Roman"/>
          <w:color w:val="000000" w:themeColor="text1"/>
          <w:sz w:val="24"/>
          <w:szCs w:val="24"/>
        </w:rPr>
        <w:t>(Ref. subite</w:t>
      </w:r>
      <w:r w:rsidR="00D71DCE" w:rsidRPr="001731AA">
        <w:rPr>
          <w:rFonts w:ascii="Times New Roman" w:hAnsi="Times New Roman" w:cs="Times New Roman"/>
          <w:color w:val="000000" w:themeColor="text1"/>
          <w:sz w:val="24"/>
          <w:szCs w:val="24"/>
        </w:rPr>
        <w:t xml:space="preserve">m </w:t>
      </w:r>
      <w:r w:rsidR="001731AA" w:rsidRPr="001731AA">
        <w:rPr>
          <w:rFonts w:ascii="Times New Roman" w:hAnsi="Times New Roman" w:cs="Times New Roman"/>
          <w:color w:val="000000" w:themeColor="text1"/>
          <w:sz w:val="24"/>
          <w:szCs w:val="24"/>
        </w:rPr>
        <w:t>2.</w:t>
      </w:r>
      <w:r w:rsidR="001731AA" w:rsidRPr="008F6E60">
        <w:rPr>
          <w:rFonts w:ascii="Times New Roman" w:hAnsi="Times New Roman" w:cs="Times New Roman"/>
          <w:color w:val="000000" w:themeColor="text1"/>
          <w:sz w:val="24"/>
          <w:szCs w:val="24"/>
        </w:rPr>
        <w:t>1.</w:t>
      </w:r>
      <w:r w:rsidR="001D3CB7" w:rsidRPr="008F6E60">
        <w:rPr>
          <w:rFonts w:ascii="Times New Roman" w:hAnsi="Times New Roman" w:cs="Times New Roman"/>
          <w:color w:val="000000" w:themeColor="text1"/>
          <w:sz w:val="24"/>
          <w:szCs w:val="24"/>
        </w:rPr>
        <w:t>13</w:t>
      </w:r>
      <w:r w:rsidRPr="008F6E60">
        <w:rPr>
          <w:rFonts w:ascii="Times New Roman" w:hAnsi="Times New Roman" w:cs="Times New Roman"/>
          <w:color w:val="000000" w:themeColor="text1"/>
          <w:sz w:val="24"/>
          <w:szCs w:val="24"/>
        </w:rPr>
        <w:t>)</w:t>
      </w:r>
      <w:r w:rsidR="00D71DCE" w:rsidRPr="008F6E60">
        <w:rPr>
          <w:rFonts w:ascii="Times New Roman" w:hAnsi="Times New Roman" w:cs="Times New Roman"/>
          <w:color w:val="000000" w:themeColor="text1"/>
          <w:sz w:val="24"/>
          <w:szCs w:val="24"/>
        </w:rPr>
        <w:t>;</w:t>
      </w:r>
      <w:r w:rsidRPr="008F6E60">
        <w:rPr>
          <w:rFonts w:ascii="Times New Roman" w:hAnsi="Times New Roman" w:cs="Times New Roman"/>
          <w:color w:val="000000" w:themeColor="text1"/>
          <w:sz w:val="24"/>
          <w:szCs w:val="24"/>
        </w:rPr>
        <w:t xml:space="preserve">     </w:t>
      </w:r>
    </w:p>
    <w:p w:rsidR="00D07D17" w:rsidRPr="008F6E60" w:rsidRDefault="00F0404F" w:rsidP="00F0404F">
      <w:pPr>
        <w:numPr>
          <w:ilvl w:val="2"/>
          <w:numId w:val="1"/>
        </w:numPr>
        <w:spacing w:after="120" w:line="240" w:lineRule="auto"/>
        <w:jc w:val="both"/>
        <w:rPr>
          <w:rFonts w:ascii="Times New Roman" w:hAnsi="Times New Roman" w:cs="Times New Roman"/>
          <w:color w:val="000000" w:themeColor="text1"/>
          <w:sz w:val="24"/>
          <w:szCs w:val="24"/>
        </w:rPr>
      </w:pPr>
      <w:r w:rsidRPr="00D07D17">
        <w:rPr>
          <w:rFonts w:ascii="Times New Roman" w:hAnsi="Times New Roman" w:cs="Times New Roman"/>
          <w:color w:val="000000" w:themeColor="text1"/>
          <w:sz w:val="24"/>
          <w:szCs w:val="24"/>
        </w:rPr>
        <w:t xml:space="preserve">Recomendar à SGP que assegure, ainda em 2018, à COPEG e demais unidades gestoras de objetivos e metas organizacionais, capacitação técnica em </w:t>
      </w:r>
      <w:r w:rsidRPr="00D07D17">
        <w:rPr>
          <w:rFonts w:ascii="Times New Roman" w:hAnsi="Times New Roman" w:cs="Times New Roman"/>
          <w:color w:val="000000" w:themeColor="text1"/>
          <w:sz w:val="24"/>
          <w:szCs w:val="24"/>
        </w:rPr>
        <w:lastRenderedPageBreak/>
        <w:t>formulação de indicadores de desempenho</w:t>
      </w:r>
      <w:r w:rsidR="00FC41E5" w:rsidRPr="003F3CB4">
        <w:rPr>
          <w:rFonts w:ascii="Times New Roman" w:hAnsi="Times New Roman" w:cs="Times New Roman"/>
          <w:color w:val="000000" w:themeColor="text1"/>
          <w:sz w:val="24"/>
          <w:szCs w:val="24"/>
        </w:rPr>
        <w:t xml:space="preserve">, </w:t>
      </w:r>
      <w:r w:rsidR="00245DC9" w:rsidRPr="003F3CB4">
        <w:rPr>
          <w:rFonts w:ascii="Times New Roman" w:hAnsi="Times New Roman" w:cs="Times New Roman"/>
          <w:color w:val="000000" w:themeColor="text1"/>
          <w:sz w:val="24"/>
          <w:szCs w:val="24"/>
        </w:rPr>
        <w:t>consideradas, inclusive, alternativas à modalidade presencial de treinamento</w:t>
      </w:r>
      <w:r w:rsidRPr="00D07D17">
        <w:rPr>
          <w:rFonts w:ascii="Times New Roman" w:hAnsi="Times New Roman" w:cs="Times New Roman"/>
          <w:color w:val="000000" w:themeColor="text1"/>
          <w:sz w:val="24"/>
          <w:szCs w:val="24"/>
        </w:rPr>
        <w:t xml:space="preserve"> </w:t>
      </w:r>
      <w:r w:rsidRPr="001731AA">
        <w:rPr>
          <w:rFonts w:ascii="Times New Roman" w:hAnsi="Times New Roman" w:cs="Times New Roman"/>
          <w:color w:val="000000" w:themeColor="text1"/>
          <w:sz w:val="24"/>
          <w:szCs w:val="24"/>
        </w:rPr>
        <w:t xml:space="preserve">(Ref. </w:t>
      </w:r>
      <w:r w:rsidRPr="008F6E60">
        <w:rPr>
          <w:rFonts w:ascii="Times New Roman" w:hAnsi="Times New Roman" w:cs="Times New Roman"/>
          <w:color w:val="000000" w:themeColor="text1"/>
          <w:sz w:val="24"/>
          <w:szCs w:val="24"/>
        </w:rPr>
        <w:t>subite</w:t>
      </w:r>
      <w:r w:rsidR="00D71DCE" w:rsidRPr="008F6E60">
        <w:rPr>
          <w:rFonts w:ascii="Times New Roman" w:hAnsi="Times New Roman" w:cs="Times New Roman"/>
          <w:color w:val="000000" w:themeColor="text1"/>
          <w:sz w:val="24"/>
          <w:szCs w:val="24"/>
        </w:rPr>
        <w:t>m</w:t>
      </w:r>
      <w:r w:rsidRPr="008F6E60">
        <w:rPr>
          <w:rFonts w:ascii="Times New Roman" w:hAnsi="Times New Roman" w:cs="Times New Roman"/>
          <w:color w:val="000000" w:themeColor="text1"/>
          <w:sz w:val="24"/>
          <w:szCs w:val="24"/>
        </w:rPr>
        <w:t xml:space="preserve"> </w:t>
      </w:r>
      <w:r w:rsidR="001731AA" w:rsidRPr="008F6E60">
        <w:rPr>
          <w:rFonts w:ascii="Times New Roman" w:hAnsi="Times New Roman" w:cs="Times New Roman"/>
          <w:color w:val="000000" w:themeColor="text1"/>
          <w:sz w:val="24"/>
          <w:szCs w:val="24"/>
        </w:rPr>
        <w:t>2.1.</w:t>
      </w:r>
      <w:r w:rsidR="001D3CB7" w:rsidRPr="008F6E60">
        <w:rPr>
          <w:rFonts w:ascii="Times New Roman" w:hAnsi="Times New Roman" w:cs="Times New Roman"/>
          <w:color w:val="000000" w:themeColor="text1"/>
          <w:sz w:val="24"/>
          <w:szCs w:val="24"/>
        </w:rPr>
        <w:t>13</w:t>
      </w:r>
      <w:r w:rsidRPr="008F6E60">
        <w:rPr>
          <w:rFonts w:ascii="Times New Roman" w:hAnsi="Times New Roman" w:cs="Times New Roman"/>
          <w:color w:val="000000" w:themeColor="text1"/>
          <w:sz w:val="24"/>
          <w:szCs w:val="24"/>
        </w:rPr>
        <w:t>)</w:t>
      </w:r>
      <w:r w:rsidR="00D71DCE" w:rsidRPr="008F6E60">
        <w:rPr>
          <w:rFonts w:ascii="Times New Roman" w:hAnsi="Times New Roman" w:cs="Times New Roman"/>
          <w:color w:val="000000" w:themeColor="text1"/>
          <w:sz w:val="24"/>
          <w:szCs w:val="24"/>
        </w:rPr>
        <w:t>;</w:t>
      </w:r>
      <w:r w:rsidR="00245DC9" w:rsidRPr="008F6E60">
        <w:rPr>
          <w:rFonts w:ascii="Times New Roman" w:hAnsi="Times New Roman" w:cs="Times New Roman"/>
          <w:color w:val="000000" w:themeColor="text1"/>
          <w:sz w:val="24"/>
          <w:szCs w:val="24"/>
        </w:rPr>
        <w:t xml:space="preserve"> </w:t>
      </w:r>
      <w:proofErr w:type="gramStart"/>
      <w:r w:rsidR="00A20D74" w:rsidRPr="008F6E60">
        <w:rPr>
          <w:rFonts w:ascii="Times New Roman" w:hAnsi="Times New Roman" w:cs="Times New Roman"/>
          <w:color w:val="000000" w:themeColor="text1"/>
          <w:sz w:val="24"/>
          <w:szCs w:val="24"/>
        </w:rPr>
        <w:t>e</w:t>
      </w:r>
      <w:proofErr w:type="gramEnd"/>
    </w:p>
    <w:p w:rsidR="00F0404F" w:rsidRPr="001D3CB7" w:rsidRDefault="00F0404F" w:rsidP="00F0404F">
      <w:pPr>
        <w:numPr>
          <w:ilvl w:val="2"/>
          <w:numId w:val="1"/>
        </w:numPr>
        <w:spacing w:after="120" w:line="240" w:lineRule="auto"/>
        <w:jc w:val="both"/>
        <w:rPr>
          <w:rFonts w:ascii="Times New Roman" w:hAnsi="Times New Roman" w:cs="Times New Roman"/>
          <w:color w:val="000000" w:themeColor="text1"/>
          <w:spacing w:val="-2"/>
          <w:sz w:val="24"/>
          <w:szCs w:val="24"/>
        </w:rPr>
      </w:pPr>
      <w:r w:rsidRPr="001D3CB7">
        <w:rPr>
          <w:rFonts w:ascii="Times New Roman" w:hAnsi="Times New Roman" w:cs="Times New Roman"/>
          <w:color w:val="000000" w:themeColor="text1"/>
          <w:spacing w:val="-2"/>
          <w:sz w:val="24"/>
          <w:szCs w:val="24"/>
        </w:rPr>
        <w:t xml:space="preserve">Recomendar à </w:t>
      </w:r>
      <w:r w:rsidR="005A42EA" w:rsidRPr="001D3CB7">
        <w:rPr>
          <w:rFonts w:ascii="Times New Roman" w:hAnsi="Times New Roman" w:cs="Times New Roman"/>
          <w:color w:val="000000" w:themeColor="text1"/>
          <w:spacing w:val="-2"/>
          <w:sz w:val="24"/>
          <w:szCs w:val="24"/>
        </w:rPr>
        <w:t>COPEG que</w:t>
      </w:r>
      <w:r w:rsidR="00FC41E5" w:rsidRPr="001D3CB7">
        <w:rPr>
          <w:rFonts w:ascii="Times New Roman" w:hAnsi="Times New Roman" w:cs="Times New Roman"/>
          <w:color w:val="000000" w:themeColor="text1"/>
          <w:spacing w:val="-2"/>
          <w:sz w:val="24"/>
          <w:szCs w:val="24"/>
        </w:rPr>
        <w:t>, observado o prazo de 60 dias,</w:t>
      </w:r>
      <w:r w:rsidR="005A42EA" w:rsidRPr="001D3CB7">
        <w:rPr>
          <w:rFonts w:ascii="Times New Roman" w:hAnsi="Times New Roman" w:cs="Times New Roman"/>
          <w:color w:val="000000" w:themeColor="text1"/>
          <w:spacing w:val="-2"/>
          <w:sz w:val="24"/>
          <w:szCs w:val="24"/>
        </w:rPr>
        <w:t xml:space="preserve"> institua rotina destinada </w:t>
      </w:r>
      <w:r w:rsidR="00FC41E5" w:rsidRPr="001D3CB7">
        <w:rPr>
          <w:rFonts w:ascii="Times New Roman" w:hAnsi="Times New Roman" w:cs="Times New Roman"/>
          <w:color w:val="000000" w:themeColor="text1"/>
          <w:spacing w:val="-2"/>
          <w:sz w:val="24"/>
          <w:szCs w:val="24"/>
        </w:rPr>
        <w:t>a</w:t>
      </w:r>
      <w:r w:rsidR="005A42EA" w:rsidRPr="001D3CB7">
        <w:rPr>
          <w:rFonts w:ascii="Times New Roman" w:hAnsi="Times New Roman" w:cs="Times New Roman"/>
          <w:color w:val="000000" w:themeColor="text1"/>
          <w:spacing w:val="-2"/>
          <w:sz w:val="24"/>
          <w:szCs w:val="24"/>
        </w:rPr>
        <w:t xml:space="preserve"> avalia</w:t>
      </w:r>
      <w:r w:rsidR="00FC41E5" w:rsidRPr="001D3CB7">
        <w:rPr>
          <w:rFonts w:ascii="Times New Roman" w:hAnsi="Times New Roman" w:cs="Times New Roman"/>
          <w:color w:val="000000" w:themeColor="text1"/>
          <w:spacing w:val="-2"/>
          <w:sz w:val="24"/>
          <w:szCs w:val="24"/>
        </w:rPr>
        <w:t>r,</w:t>
      </w:r>
      <w:r w:rsidR="005A42EA" w:rsidRPr="001D3CB7">
        <w:rPr>
          <w:rFonts w:ascii="Times New Roman" w:hAnsi="Times New Roman" w:cs="Times New Roman"/>
          <w:color w:val="000000" w:themeColor="text1"/>
          <w:spacing w:val="-2"/>
          <w:sz w:val="24"/>
          <w:szCs w:val="24"/>
        </w:rPr>
        <w:t xml:space="preserve"> </w:t>
      </w:r>
      <w:r w:rsidR="00FC41E5" w:rsidRPr="001D3CB7">
        <w:rPr>
          <w:rFonts w:ascii="Times New Roman" w:hAnsi="Times New Roman" w:cs="Times New Roman"/>
          <w:color w:val="000000" w:themeColor="text1"/>
          <w:spacing w:val="-2"/>
          <w:sz w:val="24"/>
          <w:szCs w:val="24"/>
        </w:rPr>
        <w:t>periodicamente,</w:t>
      </w:r>
      <w:r w:rsidR="005A42EA" w:rsidRPr="001D3CB7">
        <w:rPr>
          <w:rFonts w:ascii="Times New Roman" w:hAnsi="Times New Roman" w:cs="Times New Roman"/>
          <w:color w:val="000000" w:themeColor="text1"/>
          <w:spacing w:val="-2"/>
          <w:sz w:val="24"/>
          <w:szCs w:val="24"/>
        </w:rPr>
        <w:t xml:space="preserve"> </w:t>
      </w:r>
      <w:r w:rsidR="00FC41E5" w:rsidRPr="001D3CB7">
        <w:rPr>
          <w:rFonts w:ascii="Times New Roman" w:hAnsi="Times New Roman" w:cs="Times New Roman"/>
          <w:color w:val="000000" w:themeColor="text1"/>
          <w:spacing w:val="-2"/>
          <w:sz w:val="24"/>
          <w:szCs w:val="24"/>
        </w:rPr>
        <w:t xml:space="preserve">a </w:t>
      </w:r>
      <w:r w:rsidR="005A42EA" w:rsidRPr="001D3CB7">
        <w:rPr>
          <w:rFonts w:ascii="Times New Roman" w:hAnsi="Times New Roman" w:cs="Times New Roman"/>
          <w:color w:val="000000" w:themeColor="text1"/>
          <w:spacing w:val="-2"/>
          <w:sz w:val="24"/>
          <w:szCs w:val="24"/>
        </w:rPr>
        <w:t>necessidade de apresenta</w:t>
      </w:r>
      <w:r w:rsidR="00FC41E5" w:rsidRPr="001D3CB7">
        <w:rPr>
          <w:rFonts w:ascii="Times New Roman" w:hAnsi="Times New Roman" w:cs="Times New Roman"/>
          <w:color w:val="000000" w:themeColor="text1"/>
          <w:spacing w:val="-2"/>
          <w:sz w:val="24"/>
          <w:szCs w:val="24"/>
        </w:rPr>
        <w:t>r, ao CGPE,</w:t>
      </w:r>
      <w:r w:rsidR="005A42EA" w:rsidRPr="001D3CB7">
        <w:rPr>
          <w:rFonts w:ascii="Times New Roman" w:hAnsi="Times New Roman" w:cs="Times New Roman"/>
          <w:color w:val="000000" w:themeColor="text1"/>
          <w:spacing w:val="-2"/>
          <w:sz w:val="24"/>
          <w:szCs w:val="24"/>
        </w:rPr>
        <w:t xml:space="preserve"> proposta de</w:t>
      </w:r>
      <w:r w:rsidRPr="001D3CB7">
        <w:rPr>
          <w:rFonts w:ascii="Times New Roman" w:hAnsi="Times New Roman" w:cs="Times New Roman"/>
          <w:color w:val="000000" w:themeColor="text1"/>
          <w:spacing w:val="-2"/>
          <w:sz w:val="24"/>
          <w:szCs w:val="24"/>
        </w:rPr>
        <w:t xml:space="preserve"> revisão do Planejamento Estratégico institucional</w:t>
      </w:r>
      <w:r w:rsidR="00FC41E5" w:rsidRPr="001D3CB7">
        <w:rPr>
          <w:rFonts w:ascii="Times New Roman" w:hAnsi="Times New Roman" w:cs="Times New Roman"/>
          <w:color w:val="000000" w:themeColor="text1"/>
          <w:spacing w:val="-2"/>
          <w:sz w:val="24"/>
          <w:szCs w:val="24"/>
        </w:rPr>
        <w:t xml:space="preserve">, </w:t>
      </w:r>
      <w:r w:rsidRPr="001D3CB7">
        <w:rPr>
          <w:rFonts w:ascii="Times New Roman" w:hAnsi="Times New Roman" w:cs="Times New Roman"/>
          <w:color w:val="000000" w:themeColor="text1"/>
          <w:spacing w:val="-2"/>
          <w:sz w:val="24"/>
          <w:szCs w:val="24"/>
        </w:rPr>
        <w:t xml:space="preserve">a fim de que este não deixe de contemplar alterações avaliadas necessárias, bem como Metas e Iniciativas Estratégicas Nacionais, anualmente aprovadas (Ref. </w:t>
      </w:r>
      <w:r w:rsidRPr="00086218">
        <w:rPr>
          <w:rFonts w:ascii="Times New Roman" w:hAnsi="Times New Roman" w:cs="Times New Roman"/>
          <w:color w:val="000000" w:themeColor="text1"/>
          <w:spacing w:val="-2"/>
          <w:sz w:val="24"/>
          <w:szCs w:val="24"/>
        </w:rPr>
        <w:t>subite</w:t>
      </w:r>
      <w:r w:rsidR="00D71DCE" w:rsidRPr="00086218">
        <w:rPr>
          <w:rFonts w:ascii="Times New Roman" w:hAnsi="Times New Roman" w:cs="Times New Roman"/>
          <w:color w:val="000000" w:themeColor="text1"/>
          <w:spacing w:val="-2"/>
          <w:sz w:val="24"/>
          <w:szCs w:val="24"/>
        </w:rPr>
        <w:t>m</w:t>
      </w:r>
      <w:r w:rsidRPr="00086218">
        <w:rPr>
          <w:rFonts w:ascii="Times New Roman" w:hAnsi="Times New Roman" w:cs="Times New Roman"/>
          <w:color w:val="000000" w:themeColor="text1"/>
          <w:spacing w:val="-2"/>
          <w:sz w:val="24"/>
          <w:szCs w:val="24"/>
        </w:rPr>
        <w:t xml:space="preserve"> </w:t>
      </w:r>
      <w:r w:rsidR="001731AA" w:rsidRPr="00086218">
        <w:rPr>
          <w:rFonts w:ascii="Times New Roman" w:hAnsi="Times New Roman" w:cs="Times New Roman"/>
          <w:color w:val="000000" w:themeColor="text1"/>
          <w:spacing w:val="-2"/>
          <w:sz w:val="24"/>
          <w:szCs w:val="24"/>
        </w:rPr>
        <w:t>2.1.1</w:t>
      </w:r>
      <w:r w:rsidR="001D3CB7" w:rsidRPr="00086218">
        <w:rPr>
          <w:rFonts w:ascii="Times New Roman" w:hAnsi="Times New Roman" w:cs="Times New Roman"/>
          <w:color w:val="000000" w:themeColor="text1"/>
          <w:spacing w:val="-2"/>
          <w:sz w:val="24"/>
          <w:szCs w:val="24"/>
        </w:rPr>
        <w:t>4</w:t>
      </w:r>
      <w:r w:rsidRPr="00086218">
        <w:rPr>
          <w:rFonts w:ascii="Times New Roman" w:hAnsi="Times New Roman" w:cs="Times New Roman"/>
          <w:color w:val="000000" w:themeColor="text1"/>
          <w:spacing w:val="-2"/>
          <w:sz w:val="24"/>
          <w:szCs w:val="24"/>
        </w:rPr>
        <w:t>)</w:t>
      </w:r>
      <w:r w:rsidR="00A20D74" w:rsidRPr="00086218">
        <w:rPr>
          <w:rFonts w:ascii="Times New Roman" w:hAnsi="Times New Roman" w:cs="Times New Roman"/>
          <w:color w:val="000000" w:themeColor="text1"/>
          <w:spacing w:val="-2"/>
          <w:sz w:val="24"/>
          <w:szCs w:val="24"/>
        </w:rPr>
        <w:t>.</w:t>
      </w:r>
      <w:r w:rsidRPr="00086218">
        <w:rPr>
          <w:rFonts w:ascii="Times New Roman" w:hAnsi="Times New Roman" w:cs="Times New Roman"/>
          <w:color w:val="000000" w:themeColor="text1"/>
          <w:spacing w:val="-2"/>
          <w:sz w:val="24"/>
          <w:szCs w:val="24"/>
        </w:rPr>
        <w:t xml:space="preserve">       </w:t>
      </w:r>
    </w:p>
    <w:p w:rsidR="001D3CB7" w:rsidRPr="008F6E60" w:rsidRDefault="001D3CB7" w:rsidP="001D3CB7">
      <w:pPr>
        <w:numPr>
          <w:ilvl w:val="1"/>
          <w:numId w:val="1"/>
        </w:numPr>
        <w:spacing w:after="120" w:line="240" w:lineRule="auto"/>
        <w:jc w:val="both"/>
        <w:rPr>
          <w:rFonts w:ascii="Times New Roman" w:hAnsi="Times New Roman" w:cs="Times New Roman"/>
          <w:color w:val="000000" w:themeColor="text1"/>
          <w:sz w:val="24"/>
          <w:szCs w:val="24"/>
        </w:rPr>
      </w:pPr>
      <w:r w:rsidRPr="008F6E60">
        <w:rPr>
          <w:rFonts w:ascii="Times New Roman" w:hAnsi="Times New Roman" w:cs="Times New Roman"/>
          <w:color w:val="000000" w:themeColor="text1"/>
          <w:sz w:val="24"/>
          <w:szCs w:val="24"/>
        </w:rPr>
        <w:t>Paralelamente, considerando que o achado n</w:t>
      </w:r>
      <w:r w:rsidR="00772933" w:rsidRPr="008F6E60">
        <w:rPr>
          <w:rFonts w:ascii="Times New Roman" w:hAnsi="Times New Roman" w:cs="Times New Roman"/>
          <w:color w:val="000000" w:themeColor="text1"/>
          <w:sz w:val="24"/>
          <w:szCs w:val="24"/>
        </w:rPr>
        <w:t xml:space="preserve">ão decorrente do escopo </w:t>
      </w:r>
      <w:proofErr w:type="gramStart"/>
      <w:r w:rsidRPr="008F6E60">
        <w:rPr>
          <w:rFonts w:ascii="Times New Roman" w:hAnsi="Times New Roman" w:cs="Times New Roman"/>
          <w:color w:val="000000" w:themeColor="text1"/>
          <w:sz w:val="24"/>
          <w:szCs w:val="24"/>
        </w:rPr>
        <w:t>da presente</w:t>
      </w:r>
      <w:proofErr w:type="gramEnd"/>
      <w:r w:rsidRPr="008F6E60">
        <w:rPr>
          <w:rFonts w:ascii="Times New Roman" w:hAnsi="Times New Roman" w:cs="Times New Roman"/>
          <w:color w:val="000000" w:themeColor="text1"/>
          <w:sz w:val="24"/>
          <w:szCs w:val="24"/>
        </w:rPr>
        <w:t xml:space="preserve"> auditoria</w:t>
      </w:r>
      <w:r w:rsidR="00772933" w:rsidRPr="008F6E60">
        <w:rPr>
          <w:rFonts w:ascii="Times New Roman" w:hAnsi="Times New Roman" w:cs="Times New Roman"/>
          <w:color w:val="000000" w:themeColor="text1"/>
          <w:sz w:val="24"/>
          <w:szCs w:val="24"/>
        </w:rPr>
        <w:t>,</w:t>
      </w:r>
      <w:r w:rsidRPr="008F6E60">
        <w:rPr>
          <w:rFonts w:ascii="Times New Roman" w:hAnsi="Times New Roman" w:cs="Times New Roman"/>
          <w:color w:val="000000" w:themeColor="text1"/>
          <w:sz w:val="24"/>
          <w:szCs w:val="24"/>
        </w:rPr>
        <w:t xml:space="preserve"> evidenciado no item 3, circunscreve-se a fragilidade de conformidade com o aparato normativo vigente e se refere a etapa de extrema relevância </w:t>
      </w:r>
      <w:r w:rsidR="00772933" w:rsidRPr="008F6E60">
        <w:rPr>
          <w:rFonts w:ascii="Times New Roman" w:hAnsi="Times New Roman" w:cs="Times New Roman"/>
          <w:color w:val="000000" w:themeColor="text1"/>
          <w:sz w:val="24"/>
          <w:szCs w:val="24"/>
        </w:rPr>
        <w:t>associada</w:t>
      </w:r>
      <w:r w:rsidRPr="008F6E60">
        <w:rPr>
          <w:rFonts w:ascii="Times New Roman" w:hAnsi="Times New Roman" w:cs="Times New Roman"/>
          <w:color w:val="000000" w:themeColor="text1"/>
          <w:sz w:val="24"/>
          <w:szCs w:val="24"/>
        </w:rPr>
        <w:t xml:space="preserve"> à tomada de decisão para </w:t>
      </w:r>
      <w:r w:rsidR="00772933" w:rsidRPr="008F6E60">
        <w:rPr>
          <w:rFonts w:ascii="Times New Roman" w:hAnsi="Times New Roman" w:cs="Times New Roman"/>
          <w:color w:val="000000" w:themeColor="text1"/>
          <w:sz w:val="24"/>
          <w:szCs w:val="24"/>
        </w:rPr>
        <w:t xml:space="preserve">realização de ajustes e </w:t>
      </w:r>
      <w:r w:rsidRPr="008F6E60">
        <w:rPr>
          <w:rFonts w:ascii="Times New Roman" w:hAnsi="Times New Roman" w:cs="Times New Roman"/>
          <w:color w:val="000000" w:themeColor="text1"/>
          <w:sz w:val="24"/>
          <w:szCs w:val="24"/>
        </w:rPr>
        <w:t>asseguração do cumprimento de objetivos e metas e, por consequência, da missão e visão</w:t>
      </w:r>
      <w:r w:rsidR="00772933" w:rsidRPr="008F6E60">
        <w:rPr>
          <w:rFonts w:ascii="Times New Roman" w:hAnsi="Times New Roman" w:cs="Times New Roman"/>
          <w:color w:val="000000" w:themeColor="text1"/>
          <w:sz w:val="24"/>
          <w:szCs w:val="24"/>
        </w:rPr>
        <w:t xml:space="preserve"> de futuro</w:t>
      </w:r>
      <w:r w:rsidRPr="008F6E60">
        <w:rPr>
          <w:rFonts w:ascii="Times New Roman" w:hAnsi="Times New Roman" w:cs="Times New Roman"/>
          <w:color w:val="000000" w:themeColor="text1"/>
          <w:sz w:val="24"/>
          <w:szCs w:val="24"/>
        </w:rPr>
        <w:t xml:space="preserve"> institucionais, submete-se ao exame superior, visando posterior apreciação pela Presidência desta Casa, </w:t>
      </w:r>
      <w:r w:rsidR="00772933" w:rsidRPr="008F6E60">
        <w:rPr>
          <w:rFonts w:ascii="Times New Roman" w:hAnsi="Times New Roman" w:cs="Times New Roman"/>
          <w:color w:val="000000" w:themeColor="text1"/>
          <w:sz w:val="24"/>
          <w:szCs w:val="24"/>
        </w:rPr>
        <w:t xml:space="preserve">adicionalmente, </w:t>
      </w:r>
      <w:r w:rsidRPr="008F6E60">
        <w:rPr>
          <w:rFonts w:ascii="Times New Roman" w:hAnsi="Times New Roman" w:cs="Times New Roman"/>
          <w:color w:val="000000" w:themeColor="text1"/>
          <w:sz w:val="24"/>
          <w:szCs w:val="24"/>
        </w:rPr>
        <w:t>a seguinte proposta de encaminhamento:</w:t>
      </w:r>
    </w:p>
    <w:p w:rsidR="00772933" w:rsidRPr="008F6E60" w:rsidRDefault="00772933" w:rsidP="0048498F">
      <w:pPr>
        <w:numPr>
          <w:ilvl w:val="2"/>
          <w:numId w:val="1"/>
        </w:numPr>
        <w:spacing w:after="120" w:line="240" w:lineRule="auto"/>
        <w:jc w:val="both"/>
        <w:rPr>
          <w:rFonts w:ascii="Times New Roman" w:hAnsi="Times New Roman" w:cs="Times New Roman"/>
          <w:color w:val="000000" w:themeColor="text1"/>
          <w:sz w:val="24"/>
          <w:szCs w:val="24"/>
        </w:rPr>
      </w:pPr>
      <w:r w:rsidRPr="001731AA">
        <w:rPr>
          <w:rFonts w:ascii="Times New Roman" w:hAnsi="Times New Roman" w:cs="Times New Roman"/>
          <w:color w:val="000000" w:themeColor="text1"/>
          <w:sz w:val="24"/>
          <w:szCs w:val="24"/>
        </w:rPr>
        <w:t>Determinar à COPEG que realize Reuniões de Avaliação da Estratégia (</w:t>
      </w:r>
      <w:proofErr w:type="spellStart"/>
      <w:r w:rsidRPr="001731AA">
        <w:rPr>
          <w:rFonts w:ascii="Times New Roman" w:hAnsi="Times New Roman" w:cs="Times New Roman"/>
          <w:color w:val="000000" w:themeColor="text1"/>
          <w:sz w:val="24"/>
          <w:szCs w:val="24"/>
        </w:rPr>
        <w:t>RAEs</w:t>
      </w:r>
      <w:proofErr w:type="spellEnd"/>
      <w:r w:rsidRPr="001731AA">
        <w:rPr>
          <w:rFonts w:ascii="Times New Roman" w:hAnsi="Times New Roman" w:cs="Times New Roman"/>
          <w:color w:val="000000" w:themeColor="text1"/>
          <w:sz w:val="24"/>
          <w:szCs w:val="24"/>
        </w:rPr>
        <w:t>), observada a periodicidade definida no art. 4º, §1º, da Resolução Administrativa TRE-BA nº 14/2015, e no art. 9º da Resolução CNJ nº 198/2014</w:t>
      </w:r>
      <w:r>
        <w:rPr>
          <w:rFonts w:ascii="Times New Roman" w:hAnsi="Times New Roman" w:cs="Times New Roman"/>
          <w:color w:val="000000" w:themeColor="text1"/>
          <w:sz w:val="24"/>
          <w:szCs w:val="24"/>
        </w:rPr>
        <w:t xml:space="preserve">, </w:t>
      </w:r>
      <w:r w:rsidRPr="008F6E60">
        <w:rPr>
          <w:rFonts w:ascii="Times New Roman" w:hAnsi="Times New Roman" w:cs="Times New Roman"/>
          <w:color w:val="000000" w:themeColor="text1"/>
          <w:sz w:val="24"/>
          <w:szCs w:val="24"/>
        </w:rPr>
        <w:t>instituindo, ainda, mecanismos de controle suficientes e adequados à mitigação dos riscos associados</w:t>
      </w:r>
      <w:r w:rsidR="0048498F">
        <w:rPr>
          <w:rFonts w:ascii="Times New Roman" w:hAnsi="Times New Roman" w:cs="Times New Roman"/>
          <w:color w:val="000000" w:themeColor="text1"/>
          <w:sz w:val="24"/>
          <w:szCs w:val="24"/>
        </w:rPr>
        <w:t xml:space="preserve"> </w:t>
      </w:r>
      <w:r w:rsidR="0048498F" w:rsidRPr="0048498F">
        <w:rPr>
          <w:rFonts w:ascii="Times New Roman" w:hAnsi="Times New Roman" w:cs="Times New Roman"/>
          <w:color w:val="000000" w:themeColor="text1"/>
          <w:sz w:val="24"/>
          <w:szCs w:val="24"/>
        </w:rPr>
        <w:t>(Ref. subite</w:t>
      </w:r>
      <w:r w:rsidR="0048498F">
        <w:rPr>
          <w:rFonts w:ascii="Times New Roman" w:hAnsi="Times New Roman" w:cs="Times New Roman"/>
          <w:color w:val="000000" w:themeColor="text1"/>
          <w:sz w:val="24"/>
          <w:szCs w:val="24"/>
        </w:rPr>
        <w:t>m</w:t>
      </w:r>
      <w:r w:rsidR="0048498F" w:rsidRPr="0048498F">
        <w:rPr>
          <w:rFonts w:ascii="Times New Roman" w:hAnsi="Times New Roman" w:cs="Times New Roman"/>
          <w:color w:val="000000" w:themeColor="text1"/>
          <w:sz w:val="24"/>
          <w:szCs w:val="24"/>
        </w:rPr>
        <w:t xml:space="preserve"> </w:t>
      </w:r>
      <w:r w:rsidR="0048498F">
        <w:rPr>
          <w:rFonts w:ascii="Times New Roman" w:hAnsi="Times New Roman" w:cs="Times New Roman"/>
          <w:color w:val="000000" w:themeColor="text1"/>
          <w:sz w:val="24"/>
          <w:szCs w:val="24"/>
        </w:rPr>
        <w:t>3</w:t>
      </w:r>
      <w:r w:rsidR="0048498F" w:rsidRPr="0048498F">
        <w:rPr>
          <w:rFonts w:ascii="Times New Roman" w:hAnsi="Times New Roman" w:cs="Times New Roman"/>
          <w:color w:val="000000" w:themeColor="text1"/>
          <w:sz w:val="24"/>
          <w:szCs w:val="24"/>
        </w:rPr>
        <w:t>.1.1)</w:t>
      </w:r>
      <w:r w:rsidRPr="008F6E60">
        <w:rPr>
          <w:rFonts w:ascii="Times New Roman" w:hAnsi="Times New Roman" w:cs="Times New Roman"/>
          <w:color w:val="000000" w:themeColor="text1"/>
          <w:sz w:val="24"/>
          <w:szCs w:val="24"/>
        </w:rPr>
        <w:t>.</w:t>
      </w:r>
    </w:p>
    <w:p w:rsidR="00FB7226" w:rsidRPr="00775054" w:rsidRDefault="005B2F00" w:rsidP="007005DD">
      <w:pPr>
        <w:pStyle w:val="Default"/>
        <w:spacing w:before="240" w:after="240"/>
        <w:jc w:val="both"/>
        <w:rPr>
          <w:color w:val="000000" w:themeColor="text1"/>
        </w:rPr>
      </w:pPr>
      <w:r w:rsidRPr="006A4542">
        <w:rPr>
          <w:color w:val="auto"/>
        </w:rPr>
        <w:t xml:space="preserve">Salvador, </w:t>
      </w:r>
      <w:r w:rsidR="007D3A03">
        <w:rPr>
          <w:color w:val="auto"/>
        </w:rPr>
        <w:t>12</w:t>
      </w:r>
      <w:r w:rsidRPr="00775054">
        <w:rPr>
          <w:color w:val="000000" w:themeColor="text1"/>
        </w:rPr>
        <w:t xml:space="preserve"> de </w:t>
      </w:r>
      <w:r w:rsidR="003E4C76" w:rsidRPr="007D3A03">
        <w:rPr>
          <w:color w:val="auto"/>
        </w:rPr>
        <w:t>junho</w:t>
      </w:r>
      <w:r w:rsidR="006A4542" w:rsidRPr="00775054">
        <w:rPr>
          <w:color w:val="000000" w:themeColor="text1"/>
        </w:rPr>
        <w:t xml:space="preserve"> </w:t>
      </w:r>
      <w:r w:rsidRPr="00775054">
        <w:rPr>
          <w:color w:val="000000" w:themeColor="text1"/>
        </w:rPr>
        <w:t>de 201</w:t>
      </w:r>
      <w:r w:rsidR="006B2C59">
        <w:rPr>
          <w:color w:val="000000" w:themeColor="text1"/>
        </w:rPr>
        <w:t>8</w:t>
      </w:r>
      <w:r w:rsidRPr="00775054">
        <w:rPr>
          <w:color w:val="000000" w:themeColor="text1"/>
        </w:rPr>
        <w:t>.</w:t>
      </w:r>
    </w:p>
    <w:tbl>
      <w:tblPr>
        <w:tblW w:w="0" w:type="auto"/>
        <w:tblLook w:val="04A0" w:firstRow="1" w:lastRow="0" w:firstColumn="1" w:lastColumn="0" w:noHBand="0" w:noVBand="1"/>
      </w:tblPr>
      <w:tblGrid>
        <w:gridCol w:w="4350"/>
        <w:gridCol w:w="4370"/>
      </w:tblGrid>
      <w:tr w:rsidR="00775054" w:rsidRPr="00775054" w:rsidTr="005B2F00">
        <w:tc>
          <w:tcPr>
            <w:tcW w:w="4350" w:type="dxa"/>
          </w:tcPr>
          <w:p w:rsidR="005B2F00" w:rsidRPr="00775054" w:rsidRDefault="005B2F00" w:rsidP="001725B5">
            <w:pPr>
              <w:pStyle w:val="Corpodetexto"/>
              <w:jc w:val="center"/>
              <w:rPr>
                <w:color w:val="000000" w:themeColor="text1"/>
                <w:szCs w:val="24"/>
              </w:rPr>
            </w:pPr>
          </w:p>
          <w:p w:rsidR="005B2F00" w:rsidRPr="00775054" w:rsidRDefault="001622CA" w:rsidP="001725B5">
            <w:pPr>
              <w:pStyle w:val="Corpodetexto"/>
              <w:jc w:val="center"/>
              <w:rPr>
                <w:color w:val="000000" w:themeColor="text1"/>
                <w:szCs w:val="24"/>
              </w:rPr>
            </w:pPr>
            <w:r w:rsidRPr="00775054">
              <w:rPr>
                <w:color w:val="000000" w:themeColor="text1"/>
                <w:szCs w:val="24"/>
              </w:rPr>
              <w:t>ANTO</w:t>
            </w:r>
            <w:r w:rsidR="005B2F00" w:rsidRPr="00775054">
              <w:rPr>
                <w:color w:val="000000" w:themeColor="text1"/>
                <w:szCs w:val="24"/>
              </w:rPr>
              <w:t>NIO FERNANDO PAIXÃO</w:t>
            </w:r>
          </w:p>
          <w:p w:rsidR="005B2F00" w:rsidRPr="00775054" w:rsidRDefault="001622CA" w:rsidP="001725B5">
            <w:pPr>
              <w:pStyle w:val="Corpodetexto"/>
              <w:jc w:val="center"/>
              <w:rPr>
                <w:rFonts w:eastAsia="Calibri"/>
                <w:b/>
                <w:color w:val="000000" w:themeColor="text1"/>
                <w:szCs w:val="24"/>
              </w:rPr>
            </w:pPr>
            <w:r w:rsidRPr="00775054">
              <w:rPr>
                <w:color w:val="000000" w:themeColor="text1"/>
                <w:szCs w:val="24"/>
              </w:rPr>
              <w:t xml:space="preserve">Auditor Interno e </w:t>
            </w:r>
            <w:r w:rsidR="005B2F00" w:rsidRPr="00775054">
              <w:rPr>
                <w:color w:val="000000" w:themeColor="text1"/>
                <w:szCs w:val="24"/>
              </w:rPr>
              <w:t xml:space="preserve">Chefe </w:t>
            </w:r>
            <w:r w:rsidR="00867F91" w:rsidRPr="007D3A03">
              <w:rPr>
                <w:szCs w:val="24"/>
              </w:rPr>
              <w:t>da SEAGO</w:t>
            </w:r>
          </w:p>
        </w:tc>
        <w:tc>
          <w:tcPr>
            <w:tcW w:w="4370" w:type="dxa"/>
          </w:tcPr>
          <w:p w:rsidR="005B2F00" w:rsidRPr="00775054" w:rsidRDefault="005B2F00" w:rsidP="001725B5">
            <w:pPr>
              <w:pStyle w:val="Corpodetexto"/>
              <w:jc w:val="center"/>
              <w:rPr>
                <w:color w:val="000000" w:themeColor="text1"/>
                <w:szCs w:val="24"/>
              </w:rPr>
            </w:pPr>
          </w:p>
          <w:p w:rsidR="005B2F00" w:rsidRPr="00775054" w:rsidRDefault="005B2F00" w:rsidP="001725B5">
            <w:pPr>
              <w:pStyle w:val="Corpodetexto"/>
              <w:jc w:val="center"/>
              <w:rPr>
                <w:color w:val="000000" w:themeColor="text1"/>
                <w:spacing w:val="-8"/>
                <w:szCs w:val="24"/>
              </w:rPr>
            </w:pPr>
            <w:r w:rsidRPr="00775054">
              <w:rPr>
                <w:color w:val="000000" w:themeColor="text1"/>
                <w:spacing w:val="-8"/>
                <w:szCs w:val="24"/>
              </w:rPr>
              <w:t>RICARDO N</w:t>
            </w:r>
            <w:r w:rsidR="001622CA" w:rsidRPr="00775054">
              <w:rPr>
                <w:color w:val="000000" w:themeColor="text1"/>
                <w:spacing w:val="-8"/>
                <w:szCs w:val="24"/>
              </w:rPr>
              <w:t>ASCIMENTO</w:t>
            </w:r>
            <w:r w:rsidRPr="00775054">
              <w:rPr>
                <w:color w:val="000000" w:themeColor="text1"/>
                <w:spacing w:val="-8"/>
                <w:szCs w:val="24"/>
              </w:rPr>
              <w:t xml:space="preserve"> CANTHARINO</w:t>
            </w:r>
          </w:p>
          <w:p w:rsidR="005B2F00" w:rsidRPr="00775054" w:rsidRDefault="005B2F00" w:rsidP="001725B5">
            <w:pPr>
              <w:pStyle w:val="Corpodetexto"/>
              <w:jc w:val="center"/>
              <w:rPr>
                <w:rFonts w:eastAsia="Calibri"/>
                <w:b/>
                <w:color w:val="000000" w:themeColor="text1"/>
                <w:szCs w:val="24"/>
              </w:rPr>
            </w:pPr>
            <w:r w:rsidRPr="00775054">
              <w:rPr>
                <w:color w:val="000000" w:themeColor="text1"/>
                <w:szCs w:val="24"/>
              </w:rPr>
              <w:t>Auditor Interno</w:t>
            </w:r>
          </w:p>
        </w:tc>
      </w:tr>
      <w:tr w:rsidR="00775054" w:rsidRPr="00775054" w:rsidTr="005B2F00">
        <w:tc>
          <w:tcPr>
            <w:tcW w:w="4350" w:type="dxa"/>
          </w:tcPr>
          <w:p w:rsidR="005B2F00" w:rsidRPr="00775054" w:rsidRDefault="005B2F00" w:rsidP="003631A1">
            <w:pPr>
              <w:pStyle w:val="Corpodetexto"/>
              <w:spacing w:before="120" w:after="120"/>
              <w:jc w:val="center"/>
              <w:rPr>
                <w:rFonts w:eastAsia="Calibri"/>
                <w:b/>
                <w:color w:val="000000" w:themeColor="text1"/>
                <w:szCs w:val="24"/>
              </w:rPr>
            </w:pPr>
          </w:p>
        </w:tc>
        <w:tc>
          <w:tcPr>
            <w:tcW w:w="4370" w:type="dxa"/>
          </w:tcPr>
          <w:p w:rsidR="005B2F00" w:rsidRPr="00775054" w:rsidRDefault="005B2F00" w:rsidP="003631A1">
            <w:pPr>
              <w:pStyle w:val="Corpodetexto"/>
              <w:spacing w:before="120" w:after="120"/>
              <w:jc w:val="center"/>
              <w:rPr>
                <w:rFonts w:eastAsia="Calibri"/>
                <w:b/>
                <w:color w:val="000000" w:themeColor="text1"/>
                <w:szCs w:val="24"/>
              </w:rPr>
            </w:pPr>
          </w:p>
        </w:tc>
      </w:tr>
      <w:tr w:rsidR="00775054" w:rsidRPr="00775054" w:rsidTr="005B2F00">
        <w:tc>
          <w:tcPr>
            <w:tcW w:w="4350" w:type="dxa"/>
          </w:tcPr>
          <w:p w:rsidR="005B2F00" w:rsidRPr="00775054" w:rsidRDefault="005B2F00" w:rsidP="001725B5">
            <w:pPr>
              <w:pStyle w:val="Corpodetexto"/>
              <w:jc w:val="center"/>
              <w:rPr>
                <w:color w:val="000000" w:themeColor="text1"/>
                <w:szCs w:val="24"/>
              </w:rPr>
            </w:pPr>
            <w:r w:rsidRPr="00775054">
              <w:rPr>
                <w:color w:val="000000" w:themeColor="text1"/>
                <w:szCs w:val="24"/>
              </w:rPr>
              <w:t>MIRELA RIOS CRUZ DE JESUS</w:t>
            </w:r>
          </w:p>
          <w:p w:rsidR="005B2F00" w:rsidRPr="00775054" w:rsidRDefault="005B2F00" w:rsidP="001725B5">
            <w:pPr>
              <w:pStyle w:val="Corpodetexto"/>
              <w:jc w:val="center"/>
              <w:rPr>
                <w:color w:val="000000" w:themeColor="text1"/>
                <w:szCs w:val="24"/>
              </w:rPr>
            </w:pPr>
            <w:r w:rsidRPr="00775054">
              <w:rPr>
                <w:color w:val="000000" w:themeColor="text1"/>
                <w:szCs w:val="24"/>
              </w:rPr>
              <w:t>Auditor</w:t>
            </w:r>
            <w:r w:rsidR="001622CA" w:rsidRPr="00775054">
              <w:rPr>
                <w:color w:val="000000" w:themeColor="text1"/>
                <w:szCs w:val="24"/>
              </w:rPr>
              <w:t>a</w:t>
            </w:r>
            <w:r w:rsidRPr="00775054">
              <w:rPr>
                <w:color w:val="000000" w:themeColor="text1"/>
                <w:szCs w:val="24"/>
              </w:rPr>
              <w:t xml:space="preserve"> Intern</w:t>
            </w:r>
            <w:r w:rsidR="001622CA" w:rsidRPr="00775054">
              <w:rPr>
                <w:color w:val="000000" w:themeColor="text1"/>
                <w:szCs w:val="24"/>
              </w:rPr>
              <w:t>a</w:t>
            </w:r>
            <w:r w:rsidR="00867F91">
              <w:rPr>
                <w:color w:val="000000" w:themeColor="text1"/>
                <w:szCs w:val="24"/>
              </w:rPr>
              <w:t xml:space="preserve"> até </w:t>
            </w:r>
            <w:r w:rsidR="001A3D9E" w:rsidRPr="007D3A03">
              <w:rPr>
                <w:szCs w:val="24"/>
              </w:rPr>
              <w:t>24/1/</w:t>
            </w:r>
            <w:r w:rsidR="00867F91" w:rsidRPr="007D3A03">
              <w:rPr>
                <w:szCs w:val="24"/>
              </w:rPr>
              <w:t>2018</w:t>
            </w:r>
            <w:r w:rsidRPr="007D3A03">
              <w:rPr>
                <w:szCs w:val="24"/>
              </w:rPr>
              <w:t xml:space="preserve">                            </w:t>
            </w:r>
          </w:p>
          <w:p w:rsidR="005B2F00" w:rsidRPr="00775054" w:rsidRDefault="005B2F00" w:rsidP="001725B5">
            <w:pPr>
              <w:pStyle w:val="Corpodetexto"/>
              <w:jc w:val="center"/>
              <w:rPr>
                <w:color w:val="000000" w:themeColor="text1"/>
                <w:szCs w:val="24"/>
              </w:rPr>
            </w:pPr>
          </w:p>
          <w:p w:rsidR="005B2F00" w:rsidRPr="00775054" w:rsidRDefault="005B2F00" w:rsidP="001622CA">
            <w:pPr>
              <w:pStyle w:val="Corpodetexto"/>
              <w:jc w:val="center"/>
              <w:rPr>
                <w:rFonts w:eastAsia="Calibri"/>
                <w:b/>
                <w:color w:val="000000" w:themeColor="text1"/>
                <w:szCs w:val="24"/>
              </w:rPr>
            </w:pPr>
          </w:p>
        </w:tc>
        <w:tc>
          <w:tcPr>
            <w:tcW w:w="4370" w:type="dxa"/>
          </w:tcPr>
          <w:p w:rsidR="00196096" w:rsidRPr="00775054" w:rsidRDefault="00196096" w:rsidP="00196096">
            <w:pPr>
              <w:pStyle w:val="Corpodetexto"/>
              <w:jc w:val="center"/>
              <w:rPr>
                <w:rFonts w:eastAsia="Calibri"/>
                <w:color w:val="000000" w:themeColor="text1"/>
                <w:szCs w:val="24"/>
              </w:rPr>
            </w:pPr>
            <w:r w:rsidRPr="00775054">
              <w:rPr>
                <w:rFonts w:eastAsia="Calibri"/>
                <w:color w:val="000000" w:themeColor="text1"/>
                <w:szCs w:val="24"/>
              </w:rPr>
              <w:t>FERNANDA GUIMARÃES</w:t>
            </w:r>
          </w:p>
          <w:p w:rsidR="005B2F00" w:rsidRPr="00775054" w:rsidRDefault="00196096" w:rsidP="00196096">
            <w:pPr>
              <w:pStyle w:val="Corpodetexto"/>
              <w:jc w:val="center"/>
              <w:rPr>
                <w:rFonts w:eastAsia="Calibri"/>
                <w:b/>
                <w:color w:val="000000" w:themeColor="text1"/>
                <w:szCs w:val="24"/>
              </w:rPr>
            </w:pPr>
            <w:r w:rsidRPr="00775054">
              <w:rPr>
                <w:color w:val="000000" w:themeColor="text1"/>
                <w:szCs w:val="24"/>
              </w:rPr>
              <w:t xml:space="preserve">Coordenadora da </w:t>
            </w:r>
            <w:r w:rsidR="00867F91" w:rsidRPr="007D3A03">
              <w:rPr>
                <w:szCs w:val="24"/>
              </w:rPr>
              <w:t>COAUD</w:t>
            </w:r>
            <w:r w:rsidRPr="00867F91">
              <w:rPr>
                <w:color w:val="000099"/>
                <w:szCs w:val="24"/>
              </w:rPr>
              <w:t xml:space="preserve"> </w:t>
            </w:r>
          </w:p>
        </w:tc>
      </w:tr>
    </w:tbl>
    <w:p w:rsidR="003631A1" w:rsidRPr="006A4542" w:rsidRDefault="003631A1" w:rsidP="0044615C">
      <w:pPr>
        <w:pStyle w:val="TextosemFormatao"/>
        <w:spacing w:after="120"/>
        <w:rPr>
          <w:rFonts w:ascii="Times New Roman" w:hAnsi="Times New Roman" w:cs="Times New Roman"/>
          <w:sz w:val="24"/>
          <w:szCs w:val="24"/>
        </w:rPr>
      </w:pPr>
    </w:p>
    <w:sectPr w:rsidR="003631A1" w:rsidRPr="006A4542" w:rsidSect="00D1766F">
      <w:headerReference w:type="default" r:id="rId18"/>
      <w:headerReference w:type="first" r:id="rId19"/>
      <w:pgSz w:w="11906" w:h="16838"/>
      <w:pgMar w:top="1418" w:right="1701" w:bottom="1701" w:left="1701" w:header="283" w:footer="1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91B" w:rsidRDefault="0037091B" w:rsidP="000B5B8F">
      <w:pPr>
        <w:spacing w:after="0" w:line="240" w:lineRule="auto"/>
      </w:pPr>
      <w:r>
        <w:separator/>
      </w:r>
    </w:p>
  </w:endnote>
  <w:endnote w:type="continuationSeparator" w:id="0">
    <w:p w:rsidR="0037091B" w:rsidRDefault="0037091B" w:rsidP="000B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1B" w:rsidRDefault="0037091B">
    <w:pPr>
      <w:pStyle w:val="Rodap"/>
      <w:jc w:val="right"/>
    </w:pPr>
  </w:p>
  <w:p w:rsidR="0037091B" w:rsidRDefault="0037091B">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523529"/>
      <w:docPartObj>
        <w:docPartGallery w:val="Page Numbers (Bottom of Page)"/>
        <w:docPartUnique/>
      </w:docPartObj>
    </w:sdtPr>
    <w:sdtEndPr/>
    <w:sdtContent>
      <w:p w:rsidR="0037091B" w:rsidRDefault="0037091B">
        <w:pPr>
          <w:pStyle w:val="Rodap"/>
          <w:jc w:val="right"/>
        </w:pPr>
        <w:r>
          <w:fldChar w:fldCharType="begin"/>
        </w:r>
        <w:r>
          <w:instrText>PAGE   \* MERGEFORMAT</w:instrText>
        </w:r>
        <w:r>
          <w:fldChar w:fldCharType="separate"/>
        </w:r>
        <w:r>
          <w:rPr>
            <w:noProof/>
          </w:rPr>
          <w:t>3</w:t>
        </w:r>
        <w:r>
          <w:fldChar w:fldCharType="end"/>
        </w:r>
      </w:p>
    </w:sdtContent>
  </w:sdt>
  <w:p w:rsidR="0037091B" w:rsidRDefault="0037091B">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127936"/>
      <w:docPartObj>
        <w:docPartGallery w:val="Page Numbers (Bottom of Page)"/>
        <w:docPartUnique/>
      </w:docPartObj>
    </w:sdtPr>
    <w:sdtEndPr/>
    <w:sdtContent>
      <w:p w:rsidR="0037091B" w:rsidRDefault="0037091B">
        <w:pPr>
          <w:pStyle w:val="Rodap"/>
          <w:jc w:val="right"/>
        </w:pPr>
        <w:r>
          <w:fldChar w:fldCharType="begin"/>
        </w:r>
        <w:r>
          <w:instrText>PAGE   \* MERGEFORMAT</w:instrText>
        </w:r>
        <w:r>
          <w:fldChar w:fldCharType="separate"/>
        </w:r>
        <w:r w:rsidR="007E5129">
          <w:rPr>
            <w:noProof/>
          </w:rPr>
          <w:t>4</w:t>
        </w:r>
        <w:r>
          <w:fldChar w:fldCharType="end"/>
        </w:r>
      </w:p>
    </w:sdtContent>
  </w:sdt>
  <w:p w:rsidR="0037091B" w:rsidRDefault="0037091B">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055936"/>
      <w:docPartObj>
        <w:docPartGallery w:val="Page Numbers (Bottom of Page)"/>
        <w:docPartUnique/>
      </w:docPartObj>
    </w:sdtPr>
    <w:sdtEndPr/>
    <w:sdtContent>
      <w:p w:rsidR="0037091B" w:rsidRDefault="0037091B">
        <w:pPr>
          <w:pStyle w:val="Rodap"/>
          <w:jc w:val="right"/>
        </w:pPr>
        <w:r>
          <w:fldChar w:fldCharType="begin"/>
        </w:r>
        <w:r>
          <w:instrText>PAGE   \* MERGEFORMAT</w:instrText>
        </w:r>
        <w:r>
          <w:fldChar w:fldCharType="separate"/>
        </w:r>
        <w:r w:rsidR="007E5129">
          <w:rPr>
            <w:noProof/>
          </w:rPr>
          <w:t>3</w:t>
        </w:r>
        <w:r>
          <w:fldChar w:fldCharType="end"/>
        </w:r>
      </w:p>
    </w:sdtContent>
  </w:sdt>
  <w:p w:rsidR="0037091B" w:rsidRPr="00113123" w:rsidRDefault="0037091B">
    <w:pPr>
      <w:pStyle w:val="Rodap"/>
      <w:rPr>
        <w:rFonts w:ascii="Times New Roman" w:hAnsi="Times New Roman" w:cs="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527231"/>
      <w:docPartObj>
        <w:docPartGallery w:val="Page Numbers (Bottom of Page)"/>
        <w:docPartUnique/>
      </w:docPartObj>
    </w:sdtPr>
    <w:sdtEndPr/>
    <w:sdtContent>
      <w:p w:rsidR="0037091B" w:rsidRDefault="0037091B">
        <w:pPr>
          <w:pStyle w:val="Rodap"/>
          <w:jc w:val="right"/>
        </w:pPr>
        <w:r w:rsidRPr="006137DA">
          <w:rPr>
            <w:rFonts w:ascii="Times New Roman" w:hAnsi="Times New Roman" w:cs="Times New Roman"/>
          </w:rPr>
          <w:fldChar w:fldCharType="begin"/>
        </w:r>
        <w:r w:rsidRPr="006137DA">
          <w:rPr>
            <w:rFonts w:ascii="Times New Roman" w:hAnsi="Times New Roman" w:cs="Times New Roman"/>
          </w:rPr>
          <w:instrText>PAGE   \* MERGEFORMAT</w:instrText>
        </w:r>
        <w:r w:rsidRPr="006137DA">
          <w:rPr>
            <w:rFonts w:ascii="Times New Roman" w:hAnsi="Times New Roman" w:cs="Times New Roman"/>
          </w:rPr>
          <w:fldChar w:fldCharType="separate"/>
        </w:r>
        <w:r w:rsidR="007E5129">
          <w:rPr>
            <w:rFonts w:ascii="Times New Roman" w:hAnsi="Times New Roman" w:cs="Times New Roman"/>
            <w:noProof/>
          </w:rPr>
          <w:t>54</w:t>
        </w:r>
        <w:r w:rsidRPr="006137DA">
          <w:rPr>
            <w:rFonts w:ascii="Times New Roman" w:hAnsi="Times New Roman" w:cs="Times New Roman"/>
          </w:rPr>
          <w:fldChar w:fldCharType="end"/>
        </w:r>
      </w:p>
    </w:sdtContent>
  </w:sdt>
  <w:p w:rsidR="0037091B" w:rsidRDefault="0037091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91B" w:rsidRDefault="0037091B" w:rsidP="000B5B8F">
      <w:pPr>
        <w:spacing w:after="0" w:line="240" w:lineRule="auto"/>
      </w:pPr>
      <w:r>
        <w:separator/>
      </w:r>
    </w:p>
  </w:footnote>
  <w:footnote w:type="continuationSeparator" w:id="0">
    <w:p w:rsidR="0037091B" w:rsidRDefault="0037091B" w:rsidP="000B5B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MON_1568140790"/>
  <w:bookmarkEnd w:id="0"/>
  <w:p w:rsidR="0037091B" w:rsidRDefault="0037091B" w:rsidP="003835E2">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pt;height:58.45pt" o:ole="" fillcolor="window">
          <v:imagedata r:id="rId1" o:title="" cropbottom="15491f" cropleft="9679f" cropright="9679f"/>
        </v:shape>
        <o:OLEObject Type="Embed" ProgID="Word.Picture.8" ShapeID="_x0000_i1025" DrawAspect="Content" ObjectID="_1682177188" r:id="rId2"/>
      </w:object>
    </w:r>
  </w:p>
  <w:p w:rsidR="0037091B" w:rsidRDefault="0037091B">
    <w:pPr>
      <w:pStyle w:val="Cabealho"/>
    </w:pPr>
  </w:p>
  <w:p w:rsidR="0037091B" w:rsidRDefault="0037091B">
    <w:pPr>
      <w:pStyle w:val="Cabealho"/>
    </w:pPr>
  </w:p>
  <w:p w:rsidR="0037091B" w:rsidRPr="00222C6A" w:rsidRDefault="0037091B">
    <w:pPr>
      <w:pStyle w:val="Cabealho"/>
      <w:rPr>
        <w:sz w:val="28"/>
        <w:szCs w:val="28"/>
        <w:vertAlign w:val="subscript"/>
      </w:rPr>
    </w:pPr>
  </w:p>
  <w:p w:rsidR="0037091B" w:rsidRPr="005B60BB" w:rsidRDefault="0037091B" w:rsidP="003835E2">
    <w:pPr>
      <w:pStyle w:val="Cabealho"/>
      <w:jc w:val="center"/>
      <w:rPr>
        <w:rFonts w:ascii="Times New Roman" w:hAnsi="Times New Roman" w:cs="Times New Roman"/>
        <w:b/>
        <w:sz w:val="24"/>
        <w:szCs w:val="24"/>
      </w:rPr>
    </w:pPr>
    <w:r w:rsidRPr="005B60BB">
      <w:rPr>
        <w:rFonts w:ascii="Times New Roman" w:hAnsi="Times New Roman" w:cs="Times New Roman"/>
        <w:b/>
        <w:sz w:val="24"/>
        <w:szCs w:val="24"/>
      </w:rPr>
      <w:t>TRIBUNAL REGIONAL ELEITORAL DA BAHIA</w:t>
    </w:r>
  </w:p>
  <w:p w:rsidR="0037091B" w:rsidRPr="00D70398" w:rsidRDefault="0037091B" w:rsidP="003835E2">
    <w:pPr>
      <w:pStyle w:val="Cabealho"/>
      <w:rPr>
        <w:rFonts w:ascii="Times New Roman" w:hAnsi="Times New Roman" w:cs="Times New Roman"/>
        <w:sz w:val="24"/>
        <w:szCs w:val="24"/>
      </w:rPr>
    </w:pPr>
    <w:r>
      <w:rPr>
        <w:rFonts w:ascii="Times New Roman" w:hAnsi="Times New Roman" w:cs="Times New Roman"/>
        <w:sz w:val="24"/>
        <w:szCs w:val="24"/>
      </w:rPr>
      <w:tab/>
    </w:r>
    <w:r w:rsidRPr="00D70398">
      <w:rPr>
        <w:rFonts w:ascii="Times New Roman" w:hAnsi="Times New Roman" w:cs="Times New Roman"/>
        <w:sz w:val="24"/>
        <w:szCs w:val="24"/>
      </w:rPr>
      <w:t>Secretaria de Auditoria Interna</w:t>
    </w:r>
  </w:p>
  <w:p w:rsidR="0037091B" w:rsidRDefault="0037091B">
    <w:pPr>
      <w:pStyle w:val="Cabealho"/>
      <w:rPr>
        <w:rFonts w:ascii="Times New Roman" w:hAnsi="Times New Roman" w:cs="Times New Roman"/>
        <w:sz w:val="24"/>
        <w:szCs w:val="24"/>
      </w:rPr>
    </w:pPr>
  </w:p>
  <w:p w:rsidR="0037091B" w:rsidRPr="003835E2" w:rsidRDefault="0037091B">
    <w:pPr>
      <w:pStyle w:val="Cabealho"/>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1B" w:rsidRPr="0080171E" w:rsidRDefault="0037091B" w:rsidP="0080171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1B" w:rsidRDefault="0037091B" w:rsidP="001439DC">
    <w:pPr>
      <w:pStyle w:val="Cabealho"/>
    </w:pPr>
  </w:p>
  <w:p w:rsidR="0037091B" w:rsidRDefault="0037091B" w:rsidP="00D1766F">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4pt;height:58.45pt" o:ole="" fillcolor="window">
          <v:imagedata r:id="rId1" o:title="" cropbottom="15491f" cropleft="9679f" cropright="9679f"/>
        </v:shape>
        <o:OLEObject Type="Embed" ProgID="Word.Picture.8" ShapeID="_x0000_i1026" DrawAspect="Content" ObjectID="_1682177189" r:id="rId2"/>
      </w:object>
    </w:r>
  </w:p>
  <w:p w:rsidR="0037091B" w:rsidRDefault="0037091B" w:rsidP="001439DC">
    <w:pPr>
      <w:pStyle w:val="Cabealho"/>
    </w:pPr>
  </w:p>
  <w:p w:rsidR="0037091B" w:rsidRDefault="0037091B" w:rsidP="001439DC">
    <w:pPr>
      <w:pStyle w:val="Cabealho"/>
    </w:pPr>
  </w:p>
  <w:p w:rsidR="0037091B" w:rsidRDefault="0037091B" w:rsidP="009F1813">
    <w:pPr>
      <w:pStyle w:val="Cabealho"/>
      <w:jc w:val="center"/>
      <w:rPr>
        <w:rFonts w:ascii="Times New Roman" w:hAnsi="Times New Roman" w:cs="Times New Roman"/>
        <w:sz w:val="24"/>
        <w:szCs w:val="24"/>
      </w:rPr>
    </w:pPr>
  </w:p>
  <w:p w:rsidR="0037091B" w:rsidRDefault="0037091B" w:rsidP="009F1813">
    <w:pPr>
      <w:pStyle w:val="Cabealho"/>
      <w:jc w:val="center"/>
      <w:rPr>
        <w:rFonts w:ascii="Times New Roman" w:hAnsi="Times New Roman" w:cs="Times New Roman"/>
        <w:sz w:val="24"/>
        <w:szCs w:val="24"/>
      </w:rPr>
    </w:pPr>
  </w:p>
  <w:p w:rsidR="0037091B" w:rsidRPr="009F1813" w:rsidRDefault="0037091B"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37091B" w:rsidRPr="00D70398" w:rsidRDefault="0037091B" w:rsidP="009F1813">
    <w:pPr>
      <w:pStyle w:val="Cabealho"/>
      <w:jc w:val="center"/>
      <w:rPr>
        <w:rFonts w:ascii="Times New Roman" w:hAnsi="Times New Roman" w:cs="Times New Roman"/>
        <w:sz w:val="24"/>
        <w:szCs w:val="24"/>
      </w:rPr>
    </w:pPr>
    <w:r w:rsidRPr="00D70398">
      <w:rPr>
        <w:rFonts w:ascii="Times New Roman" w:hAnsi="Times New Roman" w:cs="Times New Roman"/>
        <w:sz w:val="24"/>
        <w:szCs w:val="24"/>
      </w:rPr>
      <w:t>Secretaria de Auditoria Interna</w:t>
    </w:r>
  </w:p>
  <w:p w:rsidR="0037091B" w:rsidRDefault="0037091B" w:rsidP="009F1813">
    <w:pPr>
      <w:pStyle w:val="Cabealho"/>
      <w:jc w:val="center"/>
      <w:rPr>
        <w:rFonts w:ascii="Times New Roman" w:hAnsi="Times New Roman" w:cs="Times New Roman"/>
      </w:rPr>
    </w:pPr>
  </w:p>
  <w:p w:rsidR="0037091B" w:rsidRPr="009F1813" w:rsidRDefault="0037091B" w:rsidP="009F1813">
    <w:pPr>
      <w:pStyle w:val="Cabealho"/>
      <w:jc w:val="center"/>
      <w:rPr>
        <w:rFonts w:ascii="Times New Roman" w:hAnsi="Times New Roman" w:cs="Times New Roma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1B" w:rsidRDefault="0037091B" w:rsidP="004B46F4">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4pt;height:58.45pt" o:ole="" fillcolor="window">
          <v:imagedata r:id="rId1" o:title="" cropbottom="15491f" cropleft="9679f" cropright="9679f"/>
        </v:shape>
        <o:OLEObject Type="Embed" ProgID="Word.Picture.8" ShapeID="_x0000_i1027" DrawAspect="Content" ObjectID="_1682177190" r:id="rId2"/>
      </w:object>
    </w:r>
  </w:p>
  <w:p w:rsidR="0037091B" w:rsidRDefault="0037091B" w:rsidP="008511F8">
    <w:pPr>
      <w:pStyle w:val="Cabealho"/>
    </w:pPr>
  </w:p>
  <w:p w:rsidR="0037091B" w:rsidRDefault="0037091B" w:rsidP="008511F8">
    <w:pPr>
      <w:pStyle w:val="Cabealho"/>
    </w:pPr>
  </w:p>
  <w:p w:rsidR="0037091B" w:rsidRDefault="0037091B" w:rsidP="008511F8">
    <w:pPr>
      <w:pStyle w:val="Cabealho"/>
    </w:pPr>
  </w:p>
  <w:p w:rsidR="0037091B" w:rsidRDefault="0037091B" w:rsidP="008511F8">
    <w:pPr>
      <w:pStyle w:val="Cabealho"/>
    </w:pPr>
  </w:p>
  <w:p w:rsidR="0037091B" w:rsidRDefault="0037091B" w:rsidP="008511F8">
    <w:pPr>
      <w:pStyle w:val="Cabealho"/>
    </w:pPr>
  </w:p>
  <w:p w:rsidR="0037091B" w:rsidRPr="009F1813" w:rsidRDefault="0037091B" w:rsidP="004B46F4">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37091B" w:rsidRPr="009F1813" w:rsidRDefault="0037091B" w:rsidP="004B46F4">
    <w:pPr>
      <w:pStyle w:val="Cabealho"/>
      <w:jc w:val="center"/>
      <w:rPr>
        <w:rFonts w:ascii="Times New Roman" w:hAnsi="Times New Roman" w:cs="Times New Roman"/>
        <w:sz w:val="24"/>
        <w:szCs w:val="24"/>
      </w:rPr>
    </w:pPr>
    <w:r w:rsidRPr="009F1813">
      <w:rPr>
        <w:rFonts w:ascii="Times New Roman" w:hAnsi="Times New Roman" w:cs="Times New Roman"/>
        <w:sz w:val="24"/>
        <w:szCs w:val="24"/>
      </w:rPr>
      <w:t xml:space="preserve">Secretaria </w:t>
    </w:r>
    <w:r w:rsidRPr="00D70398">
      <w:rPr>
        <w:rFonts w:ascii="Times New Roman" w:hAnsi="Times New Roman" w:cs="Times New Roman"/>
        <w:sz w:val="24"/>
        <w:szCs w:val="24"/>
      </w:rPr>
      <w:t>de Auditoria Interna</w:t>
    </w:r>
  </w:p>
  <w:p w:rsidR="0037091B" w:rsidRPr="004B46F4" w:rsidRDefault="0037091B" w:rsidP="004B46F4">
    <w:pPr>
      <w:pStyle w:val="Cabealho"/>
      <w:jc w:val="center"/>
      <w:rPr>
        <w:rFonts w:ascii="Times New Roman" w:hAnsi="Times New Roman" w:cs="Times New Roman"/>
        <w:sz w:val="24"/>
        <w:szCs w:val="24"/>
      </w:rPr>
    </w:pPr>
  </w:p>
  <w:p w:rsidR="0037091B" w:rsidRPr="008511F8" w:rsidRDefault="0037091B" w:rsidP="008511F8">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1B" w:rsidRPr="008511F8" w:rsidRDefault="0037091B" w:rsidP="008511F8">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1B" w:rsidRDefault="0037091B" w:rsidP="001439DC">
    <w:pPr>
      <w:pStyle w:val="Cabealho"/>
    </w:pPr>
  </w:p>
  <w:p w:rsidR="0037091B" w:rsidRDefault="0037091B" w:rsidP="00D1766F">
    <w:pPr>
      <w:pStyle w:val="Cabealho"/>
      <w:framePr w:w="1361" w:h="1134" w:hRule="exact" w:wrap="around" w:vAnchor="page" w:hAnchor="page" w:x="5293" w:y="409"/>
      <w:ind w:right="89"/>
    </w:pPr>
    <w: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4pt;height:58.45pt" o:ole="" fillcolor="window">
          <v:imagedata r:id="rId1" o:title="" cropbottom="15491f" cropleft="9679f" cropright="9679f"/>
        </v:shape>
        <o:OLEObject Type="Embed" ProgID="Word.Picture.8" ShapeID="_x0000_i1028" DrawAspect="Content" ObjectID="_1682177191" r:id="rId2"/>
      </w:object>
    </w:r>
  </w:p>
  <w:p w:rsidR="0037091B" w:rsidRDefault="0037091B" w:rsidP="001439DC">
    <w:pPr>
      <w:pStyle w:val="Cabealho"/>
    </w:pPr>
  </w:p>
  <w:p w:rsidR="0037091B" w:rsidRDefault="0037091B" w:rsidP="001439DC">
    <w:pPr>
      <w:pStyle w:val="Cabealho"/>
    </w:pPr>
  </w:p>
  <w:p w:rsidR="0037091B" w:rsidRDefault="0037091B" w:rsidP="009F1813">
    <w:pPr>
      <w:pStyle w:val="Cabealho"/>
      <w:jc w:val="center"/>
      <w:rPr>
        <w:rFonts w:ascii="Times New Roman" w:hAnsi="Times New Roman" w:cs="Times New Roman"/>
        <w:sz w:val="24"/>
        <w:szCs w:val="24"/>
      </w:rPr>
    </w:pPr>
  </w:p>
  <w:p w:rsidR="0037091B" w:rsidRDefault="0037091B" w:rsidP="009F1813">
    <w:pPr>
      <w:pStyle w:val="Cabealho"/>
      <w:jc w:val="center"/>
      <w:rPr>
        <w:rFonts w:ascii="Times New Roman" w:hAnsi="Times New Roman" w:cs="Times New Roman"/>
        <w:sz w:val="24"/>
        <w:szCs w:val="24"/>
      </w:rPr>
    </w:pPr>
  </w:p>
  <w:p w:rsidR="0037091B" w:rsidRPr="009F1813" w:rsidRDefault="0037091B"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TRIBUNAL REGIONAL ELEITORAL DA BAHIA</w:t>
    </w:r>
  </w:p>
  <w:p w:rsidR="0037091B" w:rsidRPr="00FF46A3" w:rsidRDefault="0037091B" w:rsidP="009F1813">
    <w:pPr>
      <w:pStyle w:val="Cabealho"/>
      <w:jc w:val="center"/>
      <w:rPr>
        <w:rFonts w:ascii="Times New Roman" w:hAnsi="Times New Roman" w:cs="Times New Roman"/>
        <w:sz w:val="24"/>
        <w:szCs w:val="24"/>
      </w:rPr>
    </w:pPr>
    <w:r w:rsidRPr="009F1813">
      <w:rPr>
        <w:rFonts w:ascii="Times New Roman" w:hAnsi="Times New Roman" w:cs="Times New Roman"/>
        <w:sz w:val="24"/>
        <w:szCs w:val="24"/>
      </w:rPr>
      <w:t xml:space="preserve">Secretaria </w:t>
    </w:r>
    <w:r w:rsidRPr="00FF46A3">
      <w:rPr>
        <w:rFonts w:ascii="Times New Roman" w:hAnsi="Times New Roman" w:cs="Times New Roman"/>
        <w:sz w:val="24"/>
        <w:szCs w:val="24"/>
      </w:rPr>
      <w:t>de Auditoria Interna</w:t>
    </w:r>
  </w:p>
  <w:p w:rsidR="0037091B" w:rsidRDefault="0037091B" w:rsidP="009F1813">
    <w:pPr>
      <w:pStyle w:val="Cabealho"/>
      <w:jc w:val="center"/>
      <w:rPr>
        <w:rFonts w:ascii="Times New Roman" w:hAnsi="Times New Roman" w:cs="Times New Roman"/>
      </w:rPr>
    </w:pPr>
  </w:p>
  <w:p w:rsidR="0037091B" w:rsidRPr="009F1813" w:rsidRDefault="0037091B" w:rsidP="009F1813">
    <w:pPr>
      <w:pStyle w:val="Cabealho"/>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07299"/>
    <w:multiLevelType w:val="hybridMultilevel"/>
    <w:tmpl w:val="981A987C"/>
    <w:lvl w:ilvl="0" w:tplc="5C3CD3C2">
      <w:start w:val="1"/>
      <w:numFmt w:val="lowerLetter"/>
      <w:lvlText w:val="%1)"/>
      <w:lvlJc w:val="left"/>
      <w:pPr>
        <w:ind w:left="1440" w:hanging="360"/>
      </w:pPr>
      <w:rPr>
        <w:rFonts w:ascii="Times New Roman" w:hAnsi="Times New Roman" w:cs="Times New Roman" w:hint="default"/>
        <w:sz w:val="24"/>
        <w:szCs w:val="24"/>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nsid w:val="369833A3"/>
    <w:multiLevelType w:val="hybridMultilevel"/>
    <w:tmpl w:val="03F2A1B4"/>
    <w:lvl w:ilvl="0" w:tplc="0778E062">
      <w:start w:val="1"/>
      <w:numFmt w:val="decimal"/>
      <w:lvlText w:val="%1."/>
      <w:lvlJc w:val="left"/>
      <w:pPr>
        <w:ind w:left="360" w:hanging="360"/>
      </w:pPr>
      <w:rPr>
        <w:color w:val="auto"/>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38293BB9"/>
    <w:multiLevelType w:val="hybridMultilevel"/>
    <w:tmpl w:val="29D42C5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4773595B"/>
    <w:multiLevelType w:val="multilevel"/>
    <w:tmpl w:val="F6104A90"/>
    <w:lvl w:ilvl="0">
      <w:start w:val="1"/>
      <w:numFmt w:val="decimal"/>
      <w:pStyle w:val="PargrafodaLista"/>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i w:val="0"/>
        <w:strike w:val="0"/>
        <w:color w:val="auto"/>
      </w:rPr>
    </w:lvl>
    <w:lvl w:ilvl="3">
      <w:start w:val="1"/>
      <w:numFmt w:val="decimal"/>
      <w:isLgl/>
      <w:lvlText w:val="%1.%2.%3.%4"/>
      <w:lvlJc w:val="left"/>
      <w:pPr>
        <w:ind w:left="1364" w:hanging="1080"/>
      </w:pPr>
      <w:rPr>
        <w:rFonts w:hint="default"/>
        <w:i w:val="0"/>
      </w:rPr>
    </w:lvl>
    <w:lvl w:ilvl="4">
      <w:start w:val="1"/>
      <w:numFmt w:val="decimal"/>
      <w:isLgl/>
      <w:lvlText w:val="%1.%2.%3.%4.%5"/>
      <w:lvlJc w:val="left"/>
      <w:pPr>
        <w:ind w:left="1080" w:hanging="1080"/>
      </w:pPr>
      <w:rPr>
        <w:rFonts w:hint="default"/>
        <w:i w:val="0"/>
        <w:strike w:val="0"/>
        <w:color w:val="auto"/>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4BB76E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123651"/>
    <w:multiLevelType w:val="hybridMultilevel"/>
    <w:tmpl w:val="F0D48990"/>
    <w:lvl w:ilvl="0" w:tplc="04160017">
      <w:start w:val="1"/>
      <w:numFmt w:val="lowerLetter"/>
      <w:lvlText w:val="%1)"/>
      <w:lvlJc w:val="left"/>
      <w:pPr>
        <w:ind w:left="720" w:hanging="360"/>
      </w:pPr>
      <w:rPr>
        <w:rFonts w:hint="default"/>
        <w:b w:val="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CE920CB"/>
    <w:multiLevelType w:val="hybridMultilevel"/>
    <w:tmpl w:val="29D42C5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331281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08E591A"/>
    <w:multiLevelType w:val="hybridMultilevel"/>
    <w:tmpl w:val="29D42C5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6"/>
  </w:num>
  <w:num w:numId="6">
    <w:abstractNumId w:val="3"/>
  </w:num>
  <w:num w:numId="7">
    <w:abstractNumId w:val="8"/>
  </w:num>
  <w:num w:numId="8">
    <w:abstractNumId w:val="0"/>
  </w:num>
  <w:num w:numId="9">
    <w:abstractNumId w:val="5"/>
  </w:num>
  <w:num w:numId="10">
    <w:abstractNumId w:val="3"/>
  </w:num>
  <w:num w:numId="11">
    <w:abstractNumId w:val="3"/>
  </w:num>
  <w:num w:numId="12">
    <w:abstractNumId w:val="7"/>
  </w:num>
  <w:num w:numId="13">
    <w:abstractNumId w:val="3"/>
  </w:num>
  <w:num w:numId="14">
    <w:abstractNumId w:val="3"/>
    <w:lvlOverride w:ilvl="0">
      <w:startOverride w:val="3"/>
    </w:lvlOverride>
    <w:lvlOverride w:ilvl="1">
      <w:startOverride w:val="4"/>
    </w:lvlOverride>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143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225"/>
    <w:rsid w:val="0000127C"/>
    <w:rsid w:val="0000339D"/>
    <w:rsid w:val="00003874"/>
    <w:rsid w:val="00003884"/>
    <w:rsid w:val="0000428C"/>
    <w:rsid w:val="000043A3"/>
    <w:rsid w:val="000054AC"/>
    <w:rsid w:val="00007163"/>
    <w:rsid w:val="00010170"/>
    <w:rsid w:val="000112F2"/>
    <w:rsid w:val="000115E4"/>
    <w:rsid w:val="00014CB1"/>
    <w:rsid w:val="000153C9"/>
    <w:rsid w:val="000164DB"/>
    <w:rsid w:val="00016EDE"/>
    <w:rsid w:val="00017386"/>
    <w:rsid w:val="000209D8"/>
    <w:rsid w:val="0002188B"/>
    <w:rsid w:val="00023C13"/>
    <w:rsid w:val="000249FC"/>
    <w:rsid w:val="000252EA"/>
    <w:rsid w:val="00025324"/>
    <w:rsid w:val="00026B93"/>
    <w:rsid w:val="0003145F"/>
    <w:rsid w:val="00031475"/>
    <w:rsid w:val="00032DA9"/>
    <w:rsid w:val="00033039"/>
    <w:rsid w:val="00033ACE"/>
    <w:rsid w:val="000353EB"/>
    <w:rsid w:val="00036ADF"/>
    <w:rsid w:val="00036FD0"/>
    <w:rsid w:val="0004179A"/>
    <w:rsid w:val="000449E5"/>
    <w:rsid w:val="00044E00"/>
    <w:rsid w:val="00046A5B"/>
    <w:rsid w:val="000478D5"/>
    <w:rsid w:val="000503A7"/>
    <w:rsid w:val="000519AA"/>
    <w:rsid w:val="00054C0C"/>
    <w:rsid w:val="0005631B"/>
    <w:rsid w:val="00056DD1"/>
    <w:rsid w:val="000577D8"/>
    <w:rsid w:val="0005787A"/>
    <w:rsid w:val="00062261"/>
    <w:rsid w:val="000625C1"/>
    <w:rsid w:val="000629FD"/>
    <w:rsid w:val="00063340"/>
    <w:rsid w:val="000638C9"/>
    <w:rsid w:val="00064FBB"/>
    <w:rsid w:val="000652D0"/>
    <w:rsid w:val="00070B87"/>
    <w:rsid w:val="000713C7"/>
    <w:rsid w:val="000713D2"/>
    <w:rsid w:val="00071568"/>
    <w:rsid w:val="000731DD"/>
    <w:rsid w:val="00073263"/>
    <w:rsid w:val="00074A1A"/>
    <w:rsid w:val="00074D5C"/>
    <w:rsid w:val="00075221"/>
    <w:rsid w:val="0007557B"/>
    <w:rsid w:val="00075807"/>
    <w:rsid w:val="00076FC6"/>
    <w:rsid w:val="00076FF0"/>
    <w:rsid w:val="00077092"/>
    <w:rsid w:val="00077193"/>
    <w:rsid w:val="00077D71"/>
    <w:rsid w:val="00081961"/>
    <w:rsid w:val="00081B18"/>
    <w:rsid w:val="00082920"/>
    <w:rsid w:val="00082929"/>
    <w:rsid w:val="000848DE"/>
    <w:rsid w:val="00086218"/>
    <w:rsid w:val="00086AAF"/>
    <w:rsid w:val="00087548"/>
    <w:rsid w:val="000904BE"/>
    <w:rsid w:val="0009054C"/>
    <w:rsid w:val="000908A1"/>
    <w:rsid w:val="000916B1"/>
    <w:rsid w:val="00091ED5"/>
    <w:rsid w:val="00094159"/>
    <w:rsid w:val="00095558"/>
    <w:rsid w:val="00096EB7"/>
    <w:rsid w:val="000976B6"/>
    <w:rsid w:val="000A3875"/>
    <w:rsid w:val="000A45FD"/>
    <w:rsid w:val="000A5262"/>
    <w:rsid w:val="000A7463"/>
    <w:rsid w:val="000B42F0"/>
    <w:rsid w:val="000B4674"/>
    <w:rsid w:val="000B5B8F"/>
    <w:rsid w:val="000B6885"/>
    <w:rsid w:val="000B69EA"/>
    <w:rsid w:val="000B6E93"/>
    <w:rsid w:val="000C0977"/>
    <w:rsid w:val="000C0C83"/>
    <w:rsid w:val="000C1329"/>
    <w:rsid w:val="000C2576"/>
    <w:rsid w:val="000C42E6"/>
    <w:rsid w:val="000C481C"/>
    <w:rsid w:val="000C4A4B"/>
    <w:rsid w:val="000C4F8E"/>
    <w:rsid w:val="000C67B8"/>
    <w:rsid w:val="000C6D10"/>
    <w:rsid w:val="000D0414"/>
    <w:rsid w:val="000D05CD"/>
    <w:rsid w:val="000D07A2"/>
    <w:rsid w:val="000D0FF5"/>
    <w:rsid w:val="000D177E"/>
    <w:rsid w:val="000D29CA"/>
    <w:rsid w:val="000D37C1"/>
    <w:rsid w:val="000D3CCE"/>
    <w:rsid w:val="000D59DA"/>
    <w:rsid w:val="000D612B"/>
    <w:rsid w:val="000D66F5"/>
    <w:rsid w:val="000D7979"/>
    <w:rsid w:val="000E04C3"/>
    <w:rsid w:val="000E1806"/>
    <w:rsid w:val="000E18CC"/>
    <w:rsid w:val="000E2633"/>
    <w:rsid w:val="000E4502"/>
    <w:rsid w:val="000E51EA"/>
    <w:rsid w:val="000E536D"/>
    <w:rsid w:val="000F0B40"/>
    <w:rsid w:val="000F0DAD"/>
    <w:rsid w:val="000F109F"/>
    <w:rsid w:val="000F3F94"/>
    <w:rsid w:val="000F506F"/>
    <w:rsid w:val="000F6626"/>
    <w:rsid w:val="000F6FAD"/>
    <w:rsid w:val="000F7624"/>
    <w:rsid w:val="000F7746"/>
    <w:rsid w:val="00100E5C"/>
    <w:rsid w:val="00101537"/>
    <w:rsid w:val="001015BB"/>
    <w:rsid w:val="00101D65"/>
    <w:rsid w:val="00102269"/>
    <w:rsid w:val="0010333B"/>
    <w:rsid w:val="001033C3"/>
    <w:rsid w:val="001035F0"/>
    <w:rsid w:val="001049A8"/>
    <w:rsid w:val="001068FD"/>
    <w:rsid w:val="00106993"/>
    <w:rsid w:val="00106C08"/>
    <w:rsid w:val="001114B6"/>
    <w:rsid w:val="0011167B"/>
    <w:rsid w:val="00111C08"/>
    <w:rsid w:val="00112E18"/>
    <w:rsid w:val="00113123"/>
    <w:rsid w:val="00113866"/>
    <w:rsid w:val="001139EA"/>
    <w:rsid w:val="00113E6B"/>
    <w:rsid w:val="00114170"/>
    <w:rsid w:val="001158DB"/>
    <w:rsid w:val="001158E4"/>
    <w:rsid w:val="001165F9"/>
    <w:rsid w:val="00116BCA"/>
    <w:rsid w:val="00116E60"/>
    <w:rsid w:val="00121876"/>
    <w:rsid w:val="00122297"/>
    <w:rsid w:val="001230CF"/>
    <w:rsid w:val="001237CD"/>
    <w:rsid w:val="001255A5"/>
    <w:rsid w:val="00125B44"/>
    <w:rsid w:val="00125CA1"/>
    <w:rsid w:val="00127080"/>
    <w:rsid w:val="00130838"/>
    <w:rsid w:val="00132FD8"/>
    <w:rsid w:val="0013420D"/>
    <w:rsid w:val="001347BE"/>
    <w:rsid w:val="00135E04"/>
    <w:rsid w:val="00136A3B"/>
    <w:rsid w:val="001412A2"/>
    <w:rsid w:val="0014297F"/>
    <w:rsid w:val="00142BD3"/>
    <w:rsid w:val="001439DC"/>
    <w:rsid w:val="00143A29"/>
    <w:rsid w:val="00145A84"/>
    <w:rsid w:val="001511BD"/>
    <w:rsid w:val="00152799"/>
    <w:rsid w:val="00153C4C"/>
    <w:rsid w:val="00155122"/>
    <w:rsid w:val="00157052"/>
    <w:rsid w:val="001605E0"/>
    <w:rsid w:val="00160939"/>
    <w:rsid w:val="001622CA"/>
    <w:rsid w:val="001625F3"/>
    <w:rsid w:val="00162B73"/>
    <w:rsid w:val="00162D47"/>
    <w:rsid w:val="00163BAF"/>
    <w:rsid w:val="00164FB2"/>
    <w:rsid w:val="001653B4"/>
    <w:rsid w:val="00165AD6"/>
    <w:rsid w:val="00165C2F"/>
    <w:rsid w:val="00166A01"/>
    <w:rsid w:val="00166F11"/>
    <w:rsid w:val="00167280"/>
    <w:rsid w:val="00167932"/>
    <w:rsid w:val="00167BCB"/>
    <w:rsid w:val="001701F1"/>
    <w:rsid w:val="00171632"/>
    <w:rsid w:val="00171743"/>
    <w:rsid w:val="001725B5"/>
    <w:rsid w:val="00172D83"/>
    <w:rsid w:val="001731AA"/>
    <w:rsid w:val="00173483"/>
    <w:rsid w:val="00173D3D"/>
    <w:rsid w:val="00173FC1"/>
    <w:rsid w:val="00175653"/>
    <w:rsid w:val="00175DE2"/>
    <w:rsid w:val="001761D8"/>
    <w:rsid w:val="0017659F"/>
    <w:rsid w:val="00176711"/>
    <w:rsid w:val="00176783"/>
    <w:rsid w:val="001824CB"/>
    <w:rsid w:val="001825ED"/>
    <w:rsid w:val="00182F92"/>
    <w:rsid w:val="001839E7"/>
    <w:rsid w:val="0018541A"/>
    <w:rsid w:val="001860F2"/>
    <w:rsid w:val="0019054C"/>
    <w:rsid w:val="00190BB0"/>
    <w:rsid w:val="001913FD"/>
    <w:rsid w:val="001918C8"/>
    <w:rsid w:val="00193CB2"/>
    <w:rsid w:val="00195000"/>
    <w:rsid w:val="00196096"/>
    <w:rsid w:val="001960B7"/>
    <w:rsid w:val="001967B9"/>
    <w:rsid w:val="00196880"/>
    <w:rsid w:val="00196E39"/>
    <w:rsid w:val="001A048B"/>
    <w:rsid w:val="001A10AA"/>
    <w:rsid w:val="001A126F"/>
    <w:rsid w:val="001A17F9"/>
    <w:rsid w:val="001A1AE0"/>
    <w:rsid w:val="001A3753"/>
    <w:rsid w:val="001A3D9E"/>
    <w:rsid w:val="001A4F70"/>
    <w:rsid w:val="001A5507"/>
    <w:rsid w:val="001A55F4"/>
    <w:rsid w:val="001A62A0"/>
    <w:rsid w:val="001A657C"/>
    <w:rsid w:val="001A6A5A"/>
    <w:rsid w:val="001A7B3F"/>
    <w:rsid w:val="001B0125"/>
    <w:rsid w:val="001B36CC"/>
    <w:rsid w:val="001B3B39"/>
    <w:rsid w:val="001B4E7B"/>
    <w:rsid w:val="001B5474"/>
    <w:rsid w:val="001B5E64"/>
    <w:rsid w:val="001B6210"/>
    <w:rsid w:val="001B6608"/>
    <w:rsid w:val="001B7467"/>
    <w:rsid w:val="001B7533"/>
    <w:rsid w:val="001C0985"/>
    <w:rsid w:val="001C1859"/>
    <w:rsid w:val="001C2BB5"/>
    <w:rsid w:val="001C3FDD"/>
    <w:rsid w:val="001C41B0"/>
    <w:rsid w:val="001C492B"/>
    <w:rsid w:val="001C4B05"/>
    <w:rsid w:val="001C5BEA"/>
    <w:rsid w:val="001C627F"/>
    <w:rsid w:val="001C6F68"/>
    <w:rsid w:val="001C763C"/>
    <w:rsid w:val="001D2A90"/>
    <w:rsid w:val="001D2C8F"/>
    <w:rsid w:val="001D3224"/>
    <w:rsid w:val="001D3CB7"/>
    <w:rsid w:val="001D3F59"/>
    <w:rsid w:val="001D5199"/>
    <w:rsid w:val="001D72D4"/>
    <w:rsid w:val="001E128B"/>
    <w:rsid w:val="001E35B3"/>
    <w:rsid w:val="001E3863"/>
    <w:rsid w:val="001E3B23"/>
    <w:rsid w:val="001E4675"/>
    <w:rsid w:val="001F062E"/>
    <w:rsid w:val="001F256C"/>
    <w:rsid w:val="001F3A79"/>
    <w:rsid w:val="001F5360"/>
    <w:rsid w:val="001F5B29"/>
    <w:rsid w:val="002018AB"/>
    <w:rsid w:val="00201F21"/>
    <w:rsid w:val="0020259F"/>
    <w:rsid w:val="00202C02"/>
    <w:rsid w:val="00202D83"/>
    <w:rsid w:val="0020406F"/>
    <w:rsid w:val="002055B7"/>
    <w:rsid w:val="002078EA"/>
    <w:rsid w:val="00210006"/>
    <w:rsid w:val="002108AC"/>
    <w:rsid w:val="00211796"/>
    <w:rsid w:val="00211AC2"/>
    <w:rsid w:val="00213D0D"/>
    <w:rsid w:val="00214B74"/>
    <w:rsid w:val="00215014"/>
    <w:rsid w:val="00215797"/>
    <w:rsid w:val="002173D2"/>
    <w:rsid w:val="00217686"/>
    <w:rsid w:val="00217AF9"/>
    <w:rsid w:val="002213C9"/>
    <w:rsid w:val="00221581"/>
    <w:rsid w:val="0022165F"/>
    <w:rsid w:val="0022231F"/>
    <w:rsid w:val="00222416"/>
    <w:rsid w:val="002228C6"/>
    <w:rsid w:val="00222C6A"/>
    <w:rsid w:val="00222E47"/>
    <w:rsid w:val="002244DA"/>
    <w:rsid w:val="0022587C"/>
    <w:rsid w:val="002272ED"/>
    <w:rsid w:val="002300F2"/>
    <w:rsid w:val="00231326"/>
    <w:rsid w:val="002327FD"/>
    <w:rsid w:val="0023316D"/>
    <w:rsid w:val="002331BA"/>
    <w:rsid w:val="00233372"/>
    <w:rsid w:val="00233866"/>
    <w:rsid w:val="0023464B"/>
    <w:rsid w:val="00241070"/>
    <w:rsid w:val="002411CA"/>
    <w:rsid w:val="002440AB"/>
    <w:rsid w:val="00244AB7"/>
    <w:rsid w:val="00244B8A"/>
    <w:rsid w:val="00245C41"/>
    <w:rsid w:val="00245DC9"/>
    <w:rsid w:val="002461F0"/>
    <w:rsid w:val="002465D3"/>
    <w:rsid w:val="0025072D"/>
    <w:rsid w:val="00250A27"/>
    <w:rsid w:val="00250CB6"/>
    <w:rsid w:val="002512F5"/>
    <w:rsid w:val="00251397"/>
    <w:rsid w:val="00251543"/>
    <w:rsid w:val="002518D1"/>
    <w:rsid w:val="00251B8A"/>
    <w:rsid w:val="0025238C"/>
    <w:rsid w:val="00252A45"/>
    <w:rsid w:val="00252B48"/>
    <w:rsid w:val="0025309E"/>
    <w:rsid w:val="00254849"/>
    <w:rsid w:val="00254D1B"/>
    <w:rsid w:val="00254E98"/>
    <w:rsid w:val="00254EE8"/>
    <w:rsid w:val="00254F84"/>
    <w:rsid w:val="0025520B"/>
    <w:rsid w:val="00255E11"/>
    <w:rsid w:val="002561CF"/>
    <w:rsid w:val="00256405"/>
    <w:rsid w:val="00257517"/>
    <w:rsid w:val="00257AD0"/>
    <w:rsid w:val="0026015A"/>
    <w:rsid w:val="0026030A"/>
    <w:rsid w:val="002610BC"/>
    <w:rsid w:val="002629DA"/>
    <w:rsid w:val="002631B6"/>
    <w:rsid w:val="0026364C"/>
    <w:rsid w:val="002644D7"/>
    <w:rsid w:val="002650FE"/>
    <w:rsid w:val="002659A7"/>
    <w:rsid w:val="00267A37"/>
    <w:rsid w:val="00270ED3"/>
    <w:rsid w:val="00271D92"/>
    <w:rsid w:val="00273029"/>
    <w:rsid w:val="00273205"/>
    <w:rsid w:val="002743F0"/>
    <w:rsid w:val="00274987"/>
    <w:rsid w:val="00274F93"/>
    <w:rsid w:val="00275C25"/>
    <w:rsid w:val="00276221"/>
    <w:rsid w:val="00277704"/>
    <w:rsid w:val="002805DF"/>
    <w:rsid w:val="002807BD"/>
    <w:rsid w:val="00283C68"/>
    <w:rsid w:val="0028455A"/>
    <w:rsid w:val="00284AAF"/>
    <w:rsid w:val="00284EA3"/>
    <w:rsid w:val="0028618A"/>
    <w:rsid w:val="00286A69"/>
    <w:rsid w:val="00287397"/>
    <w:rsid w:val="00287454"/>
    <w:rsid w:val="00287F17"/>
    <w:rsid w:val="0029039C"/>
    <w:rsid w:val="00290A7E"/>
    <w:rsid w:val="002932C5"/>
    <w:rsid w:val="002935C5"/>
    <w:rsid w:val="002936D5"/>
    <w:rsid w:val="002950F7"/>
    <w:rsid w:val="0029541A"/>
    <w:rsid w:val="002958B9"/>
    <w:rsid w:val="0029640E"/>
    <w:rsid w:val="00296AA6"/>
    <w:rsid w:val="00297BD2"/>
    <w:rsid w:val="002A1332"/>
    <w:rsid w:val="002A1BC3"/>
    <w:rsid w:val="002A2B47"/>
    <w:rsid w:val="002A356B"/>
    <w:rsid w:val="002A4FA1"/>
    <w:rsid w:val="002A6CA4"/>
    <w:rsid w:val="002A6EBF"/>
    <w:rsid w:val="002B041C"/>
    <w:rsid w:val="002B124D"/>
    <w:rsid w:val="002B35E8"/>
    <w:rsid w:val="002B4F83"/>
    <w:rsid w:val="002B5060"/>
    <w:rsid w:val="002B6FFE"/>
    <w:rsid w:val="002B7B29"/>
    <w:rsid w:val="002C000A"/>
    <w:rsid w:val="002C287F"/>
    <w:rsid w:val="002C4F5D"/>
    <w:rsid w:val="002C6174"/>
    <w:rsid w:val="002C68C5"/>
    <w:rsid w:val="002C7127"/>
    <w:rsid w:val="002D06AB"/>
    <w:rsid w:val="002D0D51"/>
    <w:rsid w:val="002D1178"/>
    <w:rsid w:val="002D2410"/>
    <w:rsid w:val="002D306D"/>
    <w:rsid w:val="002D5858"/>
    <w:rsid w:val="002D590D"/>
    <w:rsid w:val="002D6A01"/>
    <w:rsid w:val="002E08B7"/>
    <w:rsid w:val="002E24C1"/>
    <w:rsid w:val="002E625A"/>
    <w:rsid w:val="002E679C"/>
    <w:rsid w:val="002E7056"/>
    <w:rsid w:val="002F0FBE"/>
    <w:rsid w:val="002F188C"/>
    <w:rsid w:val="002F1DAC"/>
    <w:rsid w:val="002F4C57"/>
    <w:rsid w:val="002F5202"/>
    <w:rsid w:val="002F5E30"/>
    <w:rsid w:val="002F7AFF"/>
    <w:rsid w:val="002F7DCE"/>
    <w:rsid w:val="00304720"/>
    <w:rsid w:val="00304E15"/>
    <w:rsid w:val="00305CF8"/>
    <w:rsid w:val="00306322"/>
    <w:rsid w:val="00306AD0"/>
    <w:rsid w:val="0031055F"/>
    <w:rsid w:val="003118BB"/>
    <w:rsid w:val="00311EF2"/>
    <w:rsid w:val="00312248"/>
    <w:rsid w:val="00313111"/>
    <w:rsid w:val="003146BC"/>
    <w:rsid w:val="0031664F"/>
    <w:rsid w:val="00316960"/>
    <w:rsid w:val="00316BF2"/>
    <w:rsid w:val="00317E37"/>
    <w:rsid w:val="0032037B"/>
    <w:rsid w:val="00320A73"/>
    <w:rsid w:val="003240B4"/>
    <w:rsid w:val="00325D26"/>
    <w:rsid w:val="00325DCB"/>
    <w:rsid w:val="003269AC"/>
    <w:rsid w:val="00327CBA"/>
    <w:rsid w:val="00330CC6"/>
    <w:rsid w:val="00331C27"/>
    <w:rsid w:val="00331CBF"/>
    <w:rsid w:val="00334238"/>
    <w:rsid w:val="00336873"/>
    <w:rsid w:val="00337236"/>
    <w:rsid w:val="0033726D"/>
    <w:rsid w:val="00337419"/>
    <w:rsid w:val="00340398"/>
    <w:rsid w:val="003404EF"/>
    <w:rsid w:val="003438A8"/>
    <w:rsid w:val="00344371"/>
    <w:rsid w:val="00344515"/>
    <w:rsid w:val="00344802"/>
    <w:rsid w:val="00344CCC"/>
    <w:rsid w:val="0034639A"/>
    <w:rsid w:val="00346713"/>
    <w:rsid w:val="003472D1"/>
    <w:rsid w:val="003475DA"/>
    <w:rsid w:val="00351143"/>
    <w:rsid w:val="00353D65"/>
    <w:rsid w:val="00355E37"/>
    <w:rsid w:val="0035713A"/>
    <w:rsid w:val="00357E29"/>
    <w:rsid w:val="00360273"/>
    <w:rsid w:val="00361E65"/>
    <w:rsid w:val="0036284B"/>
    <w:rsid w:val="00362FA5"/>
    <w:rsid w:val="00363087"/>
    <w:rsid w:val="003631A1"/>
    <w:rsid w:val="00363402"/>
    <w:rsid w:val="00363C92"/>
    <w:rsid w:val="00364157"/>
    <w:rsid w:val="00364163"/>
    <w:rsid w:val="003665C6"/>
    <w:rsid w:val="0036696E"/>
    <w:rsid w:val="00366A84"/>
    <w:rsid w:val="00366ACD"/>
    <w:rsid w:val="00367FEE"/>
    <w:rsid w:val="0037066D"/>
    <w:rsid w:val="0037091B"/>
    <w:rsid w:val="00370A8F"/>
    <w:rsid w:val="003715DF"/>
    <w:rsid w:val="003717BA"/>
    <w:rsid w:val="00371B28"/>
    <w:rsid w:val="00374493"/>
    <w:rsid w:val="0037569C"/>
    <w:rsid w:val="00376DB8"/>
    <w:rsid w:val="00382887"/>
    <w:rsid w:val="003835E2"/>
    <w:rsid w:val="00383CB2"/>
    <w:rsid w:val="00384D4E"/>
    <w:rsid w:val="003853FC"/>
    <w:rsid w:val="003863BE"/>
    <w:rsid w:val="003869C7"/>
    <w:rsid w:val="00387CB1"/>
    <w:rsid w:val="00390541"/>
    <w:rsid w:val="00391210"/>
    <w:rsid w:val="00393A9F"/>
    <w:rsid w:val="00394636"/>
    <w:rsid w:val="003947E8"/>
    <w:rsid w:val="00394A00"/>
    <w:rsid w:val="00395843"/>
    <w:rsid w:val="00396BE1"/>
    <w:rsid w:val="003A131D"/>
    <w:rsid w:val="003A1E77"/>
    <w:rsid w:val="003A2C45"/>
    <w:rsid w:val="003A2C48"/>
    <w:rsid w:val="003A5B7A"/>
    <w:rsid w:val="003A5C7D"/>
    <w:rsid w:val="003A6A09"/>
    <w:rsid w:val="003A6FB4"/>
    <w:rsid w:val="003A71FA"/>
    <w:rsid w:val="003B0092"/>
    <w:rsid w:val="003B16DF"/>
    <w:rsid w:val="003B3C5B"/>
    <w:rsid w:val="003B5612"/>
    <w:rsid w:val="003B5950"/>
    <w:rsid w:val="003B5DBA"/>
    <w:rsid w:val="003B70E5"/>
    <w:rsid w:val="003B7E13"/>
    <w:rsid w:val="003C0730"/>
    <w:rsid w:val="003C11ED"/>
    <w:rsid w:val="003C2113"/>
    <w:rsid w:val="003C277F"/>
    <w:rsid w:val="003C2BB2"/>
    <w:rsid w:val="003C391C"/>
    <w:rsid w:val="003C392C"/>
    <w:rsid w:val="003C3BB0"/>
    <w:rsid w:val="003C3C5A"/>
    <w:rsid w:val="003C5FD6"/>
    <w:rsid w:val="003C6976"/>
    <w:rsid w:val="003C7124"/>
    <w:rsid w:val="003C7587"/>
    <w:rsid w:val="003C795A"/>
    <w:rsid w:val="003C7BEC"/>
    <w:rsid w:val="003D0BA3"/>
    <w:rsid w:val="003D1455"/>
    <w:rsid w:val="003D27D1"/>
    <w:rsid w:val="003D6CEF"/>
    <w:rsid w:val="003D7495"/>
    <w:rsid w:val="003D7546"/>
    <w:rsid w:val="003E0558"/>
    <w:rsid w:val="003E135E"/>
    <w:rsid w:val="003E3004"/>
    <w:rsid w:val="003E433C"/>
    <w:rsid w:val="003E4554"/>
    <w:rsid w:val="003E4C76"/>
    <w:rsid w:val="003F04E0"/>
    <w:rsid w:val="003F12F4"/>
    <w:rsid w:val="003F1422"/>
    <w:rsid w:val="003F16AF"/>
    <w:rsid w:val="003F24C1"/>
    <w:rsid w:val="003F2B98"/>
    <w:rsid w:val="003F3CB4"/>
    <w:rsid w:val="003F5A00"/>
    <w:rsid w:val="003F5B14"/>
    <w:rsid w:val="003F769F"/>
    <w:rsid w:val="00400321"/>
    <w:rsid w:val="004004E7"/>
    <w:rsid w:val="004024D0"/>
    <w:rsid w:val="00402A88"/>
    <w:rsid w:val="004038BA"/>
    <w:rsid w:val="004038CC"/>
    <w:rsid w:val="0040553A"/>
    <w:rsid w:val="00406AE0"/>
    <w:rsid w:val="00406D06"/>
    <w:rsid w:val="0040752E"/>
    <w:rsid w:val="00411B24"/>
    <w:rsid w:val="00412B5A"/>
    <w:rsid w:val="00412D37"/>
    <w:rsid w:val="00413629"/>
    <w:rsid w:val="0041394C"/>
    <w:rsid w:val="00413DE8"/>
    <w:rsid w:val="00414605"/>
    <w:rsid w:val="00414DB8"/>
    <w:rsid w:val="00414DBC"/>
    <w:rsid w:val="004153DA"/>
    <w:rsid w:val="00416FBB"/>
    <w:rsid w:val="00417CB5"/>
    <w:rsid w:val="0042019E"/>
    <w:rsid w:val="004209DA"/>
    <w:rsid w:val="00420EB7"/>
    <w:rsid w:val="00421C8F"/>
    <w:rsid w:val="0042289B"/>
    <w:rsid w:val="004229FD"/>
    <w:rsid w:val="004231FA"/>
    <w:rsid w:val="0042335F"/>
    <w:rsid w:val="00425097"/>
    <w:rsid w:val="004267FF"/>
    <w:rsid w:val="004270E3"/>
    <w:rsid w:val="0043009D"/>
    <w:rsid w:val="0043041C"/>
    <w:rsid w:val="004329D1"/>
    <w:rsid w:val="0043312F"/>
    <w:rsid w:val="00434DE3"/>
    <w:rsid w:val="004360D5"/>
    <w:rsid w:val="00436186"/>
    <w:rsid w:val="00436724"/>
    <w:rsid w:val="0043694B"/>
    <w:rsid w:val="00437350"/>
    <w:rsid w:val="00440E73"/>
    <w:rsid w:val="0044190E"/>
    <w:rsid w:val="004454BC"/>
    <w:rsid w:val="004457CB"/>
    <w:rsid w:val="004458D2"/>
    <w:rsid w:val="00445CA6"/>
    <w:rsid w:val="00446117"/>
    <w:rsid w:val="0044615C"/>
    <w:rsid w:val="00446BEF"/>
    <w:rsid w:val="00447395"/>
    <w:rsid w:val="0045058F"/>
    <w:rsid w:val="00450969"/>
    <w:rsid w:val="00453BB1"/>
    <w:rsid w:val="00456218"/>
    <w:rsid w:val="00462470"/>
    <w:rsid w:val="00462A4E"/>
    <w:rsid w:val="004636E8"/>
    <w:rsid w:val="00463AA7"/>
    <w:rsid w:val="00464507"/>
    <w:rsid w:val="004646CC"/>
    <w:rsid w:val="00464C28"/>
    <w:rsid w:val="00464CEB"/>
    <w:rsid w:val="00464DEF"/>
    <w:rsid w:val="00465217"/>
    <w:rsid w:val="004656E6"/>
    <w:rsid w:val="004660A7"/>
    <w:rsid w:val="00466927"/>
    <w:rsid w:val="00466A8E"/>
    <w:rsid w:val="004675C2"/>
    <w:rsid w:val="00467BFC"/>
    <w:rsid w:val="00470241"/>
    <w:rsid w:val="00470B8C"/>
    <w:rsid w:val="004711A1"/>
    <w:rsid w:val="00472D4C"/>
    <w:rsid w:val="00474ADC"/>
    <w:rsid w:val="00475DCB"/>
    <w:rsid w:val="00476FF3"/>
    <w:rsid w:val="00477532"/>
    <w:rsid w:val="00477DAD"/>
    <w:rsid w:val="004808EF"/>
    <w:rsid w:val="00480B16"/>
    <w:rsid w:val="00481CF5"/>
    <w:rsid w:val="004821EE"/>
    <w:rsid w:val="004825A8"/>
    <w:rsid w:val="0048462F"/>
    <w:rsid w:val="0048498F"/>
    <w:rsid w:val="004851E0"/>
    <w:rsid w:val="00485796"/>
    <w:rsid w:val="0048638E"/>
    <w:rsid w:val="00486ED8"/>
    <w:rsid w:val="00486F61"/>
    <w:rsid w:val="00487549"/>
    <w:rsid w:val="00487901"/>
    <w:rsid w:val="004879E1"/>
    <w:rsid w:val="004909EE"/>
    <w:rsid w:val="00494196"/>
    <w:rsid w:val="00494745"/>
    <w:rsid w:val="00495844"/>
    <w:rsid w:val="00496DD6"/>
    <w:rsid w:val="00497D1A"/>
    <w:rsid w:val="004A0535"/>
    <w:rsid w:val="004A1763"/>
    <w:rsid w:val="004A21CE"/>
    <w:rsid w:val="004A2528"/>
    <w:rsid w:val="004A2C00"/>
    <w:rsid w:val="004A76C5"/>
    <w:rsid w:val="004A7CC8"/>
    <w:rsid w:val="004A7CF9"/>
    <w:rsid w:val="004B175E"/>
    <w:rsid w:val="004B19D4"/>
    <w:rsid w:val="004B20CA"/>
    <w:rsid w:val="004B22F1"/>
    <w:rsid w:val="004B2CAF"/>
    <w:rsid w:val="004B2DE5"/>
    <w:rsid w:val="004B46F4"/>
    <w:rsid w:val="004B516B"/>
    <w:rsid w:val="004B6B8C"/>
    <w:rsid w:val="004B7673"/>
    <w:rsid w:val="004B7CED"/>
    <w:rsid w:val="004B7CF9"/>
    <w:rsid w:val="004B7E4F"/>
    <w:rsid w:val="004C07E2"/>
    <w:rsid w:val="004C3BD0"/>
    <w:rsid w:val="004C3E04"/>
    <w:rsid w:val="004C5315"/>
    <w:rsid w:val="004C56A8"/>
    <w:rsid w:val="004C5B4F"/>
    <w:rsid w:val="004C640B"/>
    <w:rsid w:val="004C7E5B"/>
    <w:rsid w:val="004D2912"/>
    <w:rsid w:val="004D2CB4"/>
    <w:rsid w:val="004D31C8"/>
    <w:rsid w:val="004D6780"/>
    <w:rsid w:val="004D6F58"/>
    <w:rsid w:val="004E1F87"/>
    <w:rsid w:val="004E35EB"/>
    <w:rsid w:val="004E3B02"/>
    <w:rsid w:val="004E3B9F"/>
    <w:rsid w:val="004E4B0E"/>
    <w:rsid w:val="004E5688"/>
    <w:rsid w:val="004E7179"/>
    <w:rsid w:val="004F147B"/>
    <w:rsid w:val="004F185B"/>
    <w:rsid w:val="004F4E98"/>
    <w:rsid w:val="004F5753"/>
    <w:rsid w:val="004F5B4C"/>
    <w:rsid w:val="00502CE3"/>
    <w:rsid w:val="005041D2"/>
    <w:rsid w:val="005041E0"/>
    <w:rsid w:val="00504965"/>
    <w:rsid w:val="00504DE9"/>
    <w:rsid w:val="005058AE"/>
    <w:rsid w:val="00505C34"/>
    <w:rsid w:val="00506CE1"/>
    <w:rsid w:val="00510FA5"/>
    <w:rsid w:val="00511225"/>
    <w:rsid w:val="00512008"/>
    <w:rsid w:val="00512989"/>
    <w:rsid w:val="005132F4"/>
    <w:rsid w:val="00515926"/>
    <w:rsid w:val="00515CF7"/>
    <w:rsid w:val="00517335"/>
    <w:rsid w:val="00517F9C"/>
    <w:rsid w:val="005230A4"/>
    <w:rsid w:val="005230A6"/>
    <w:rsid w:val="00523741"/>
    <w:rsid w:val="00524550"/>
    <w:rsid w:val="0052557C"/>
    <w:rsid w:val="005257E9"/>
    <w:rsid w:val="00526DCE"/>
    <w:rsid w:val="00527631"/>
    <w:rsid w:val="00530C24"/>
    <w:rsid w:val="00530F4F"/>
    <w:rsid w:val="005351D7"/>
    <w:rsid w:val="00535F81"/>
    <w:rsid w:val="005364F0"/>
    <w:rsid w:val="0054099A"/>
    <w:rsid w:val="00541F26"/>
    <w:rsid w:val="00542C89"/>
    <w:rsid w:val="00543A8D"/>
    <w:rsid w:val="00545218"/>
    <w:rsid w:val="00547778"/>
    <w:rsid w:val="0054790E"/>
    <w:rsid w:val="00550244"/>
    <w:rsid w:val="005508C4"/>
    <w:rsid w:val="00551419"/>
    <w:rsid w:val="00551B6F"/>
    <w:rsid w:val="005526CA"/>
    <w:rsid w:val="00553306"/>
    <w:rsid w:val="0055369D"/>
    <w:rsid w:val="00553E4C"/>
    <w:rsid w:val="005546F9"/>
    <w:rsid w:val="00555039"/>
    <w:rsid w:val="00555A0C"/>
    <w:rsid w:val="00555D71"/>
    <w:rsid w:val="00556134"/>
    <w:rsid w:val="00556954"/>
    <w:rsid w:val="005569F7"/>
    <w:rsid w:val="00556F36"/>
    <w:rsid w:val="005573BB"/>
    <w:rsid w:val="0055787E"/>
    <w:rsid w:val="00557C75"/>
    <w:rsid w:val="005607C7"/>
    <w:rsid w:val="005616E5"/>
    <w:rsid w:val="0056216F"/>
    <w:rsid w:val="00562217"/>
    <w:rsid w:val="00564129"/>
    <w:rsid w:val="00564418"/>
    <w:rsid w:val="005648C8"/>
    <w:rsid w:val="00564981"/>
    <w:rsid w:val="0056576E"/>
    <w:rsid w:val="00565E61"/>
    <w:rsid w:val="00566468"/>
    <w:rsid w:val="005667BB"/>
    <w:rsid w:val="00566EE4"/>
    <w:rsid w:val="0056756A"/>
    <w:rsid w:val="0056786C"/>
    <w:rsid w:val="00571717"/>
    <w:rsid w:val="00571AF9"/>
    <w:rsid w:val="00572383"/>
    <w:rsid w:val="00572603"/>
    <w:rsid w:val="00572B37"/>
    <w:rsid w:val="00574714"/>
    <w:rsid w:val="00574C23"/>
    <w:rsid w:val="00574D68"/>
    <w:rsid w:val="00575663"/>
    <w:rsid w:val="005763FE"/>
    <w:rsid w:val="005778A6"/>
    <w:rsid w:val="0057794C"/>
    <w:rsid w:val="005805FA"/>
    <w:rsid w:val="00580BC2"/>
    <w:rsid w:val="00581652"/>
    <w:rsid w:val="00582030"/>
    <w:rsid w:val="00582336"/>
    <w:rsid w:val="00585220"/>
    <w:rsid w:val="00587593"/>
    <w:rsid w:val="00587876"/>
    <w:rsid w:val="0059034C"/>
    <w:rsid w:val="00590A1F"/>
    <w:rsid w:val="00590D64"/>
    <w:rsid w:val="005914B8"/>
    <w:rsid w:val="0059297D"/>
    <w:rsid w:val="00592ECB"/>
    <w:rsid w:val="00594FE3"/>
    <w:rsid w:val="00595918"/>
    <w:rsid w:val="0059600B"/>
    <w:rsid w:val="00596E1B"/>
    <w:rsid w:val="005A2043"/>
    <w:rsid w:val="005A2351"/>
    <w:rsid w:val="005A42EA"/>
    <w:rsid w:val="005A45EF"/>
    <w:rsid w:val="005A58FA"/>
    <w:rsid w:val="005A6F29"/>
    <w:rsid w:val="005A7088"/>
    <w:rsid w:val="005A767C"/>
    <w:rsid w:val="005A7715"/>
    <w:rsid w:val="005A7A14"/>
    <w:rsid w:val="005A7D0E"/>
    <w:rsid w:val="005B0D12"/>
    <w:rsid w:val="005B28C7"/>
    <w:rsid w:val="005B2B09"/>
    <w:rsid w:val="005B2F00"/>
    <w:rsid w:val="005B3505"/>
    <w:rsid w:val="005B3C90"/>
    <w:rsid w:val="005B589D"/>
    <w:rsid w:val="005B60BB"/>
    <w:rsid w:val="005B6442"/>
    <w:rsid w:val="005B6E33"/>
    <w:rsid w:val="005B71E0"/>
    <w:rsid w:val="005B7C1B"/>
    <w:rsid w:val="005C052E"/>
    <w:rsid w:val="005C0861"/>
    <w:rsid w:val="005C2BD0"/>
    <w:rsid w:val="005C46CF"/>
    <w:rsid w:val="005C5480"/>
    <w:rsid w:val="005C54EC"/>
    <w:rsid w:val="005D0091"/>
    <w:rsid w:val="005D0183"/>
    <w:rsid w:val="005D02DB"/>
    <w:rsid w:val="005D24DC"/>
    <w:rsid w:val="005D27FD"/>
    <w:rsid w:val="005D2DCF"/>
    <w:rsid w:val="005D3259"/>
    <w:rsid w:val="005D3372"/>
    <w:rsid w:val="005D3E60"/>
    <w:rsid w:val="005D45DA"/>
    <w:rsid w:val="005D4DDE"/>
    <w:rsid w:val="005D4FC8"/>
    <w:rsid w:val="005D5679"/>
    <w:rsid w:val="005D5927"/>
    <w:rsid w:val="005D6F9E"/>
    <w:rsid w:val="005E1296"/>
    <w:rsid w:val="005E161E"/>
    <w:rsid w:val="005E18D8"/>
    <w:rsid w:val="005E19AE"/>
    <w:rsid w:val="005E30E3"/>
    <w:rsid w:val="005E3620"/>
    <w:rsid w:val="005E36DF"/>
    <w:rsid w:val="005E549C"/>
    <w:rsid w:val="005E6661"/>
    <w:rsid w:val="005F04B2"/>
    <w:rsid w:val="005F13DB"/>
    <w:rsid w:val="005F3856"/>
    <w:rsid w:val="005F507C"/>
    <w:rsid w:val="005F6071"/>
    <w:rsid w:val="006005D5"/>
    <w:rsid w:val="00600906"/>
    <w:rsid w:val="00600A57"/>
    <w:rsid w:val="00600CC8"/>
    <w:rsid w:val="0060197E"/>
    <w:rsid w:val="00601E7D"/>
    <w:rsid w:val="00602091"/>
    <w:rsid w:val="006035E3"/>
    <w:rsid w:val="0060585B"/>
    <w:rsid w:val="00606873"/>
    <w:rsid w:val="00606FF3"/>
    <w:rsid w:val="00607065"/>
    <w:rsid w:val="00607202"/>
    <w:rsid w:val="00607EFA"/>
    <w:rsid w:val="006105F9"/>
    <w:rsid w:val="0061178F"/>
    <w:rsid w:val="00611E5B"/>
    <w:rsid w:val="006137DA"/>
    <w:rsid w:val="0061440E"/>
    <w:rsid w:val="00614A4E"/>
    <w:rsid w:val="0061555E"/>
    <w:rsid w:val="0061719E"/>
    <w:rsid w:val="00617290"/>
    <w:rsid w:val="00617477"/>
    <w:rsid w:val="0062069E"/>
    <w:rsid w:val="0062088D"/>
    <w:rsid w:val="00621A9F"/>
    <w:rsid w:val="00621CDF"/>
    <w:rsid w:val="00622642"/>
    <w:rsid w:val="00622BB8"/>
    <w:rsid w:val="00624908"/>
    <w:rsid w:val="006256FF"/>
    <w:rsid w:val="00625848"/>
    <w:rsid w:val="006261D5"/>
    <w:rsid w:val="00626AC9"/>
    <w:rsid w:val="00626F23"/>
    <w:rsid w:val="00627446"/>
    <w:rsid w:val="0062748A"/>
    <w:rsid w:val="006279F6"/>
    <w:rsid w:val="00630036"/>
    <w:rsid w:val="006301FE"/>
    <w:rsid w:val="00630D25"/>
    <w:rsid w:val="00630DCB"/>
    <w:rsid w:val="0063234E"/>
    <w:rsid w:val="006332B3"/>
    <w:rsid w:val="00633912"/>
    <w:rsid w:val="0063398C"/>
    <w:rsid w:val="00636A39"/>
    <w:rsid w:val="006378A5"/>
    <w:rsid w:val="00640450"/>
    <w:rsid w:val="0064096B"/>
    <w:rsid w:val="00641B76"/>
    <w:rsid w:val="00642D15"/>
    <w:rsid w:val="0064376B"/>
    <w:rsid w:val="006464C3"/>
    <w:rsid w:val="0064749C"/>
    <w:rsid w:val="006479F8"/>
    <w:rsid w:val="006508E0"/>
    <w:rsid w:val="00650923"/>
    <w:rsid w:val="0065177A"/>
    <w:rsid w:val="00652D3B"/>
    <w:rsid w:val="00654579"/>
    <w:rsid w:val="0065519F"/>
    <w:rsid w:val="00655FF8"/>
    <w:rsid w:val="00656015"/>
    <w:rsid w:val="00656913"/>
    <w:rsid w:val="00660491"/>
    <w:rsid w:val="006604E9"/>
    <w:rsid w:val="00661A13"/>
    <w:rsid w:val="00662760"/>
    <w:rsid w:val="00663FA2"/>
    <w:rsid w:val="0066478D"/>
    <w:rsid w:val="00666459"/>
    <w:rsid w:val="00666736"/>
    <w:rsid w:val="006667AA"/>
    <w:rsid w:val="00670188"/>
    <w:rsid w:val="0067032B"/>
    <w:rsid w:val="00670D5D"/>
    <w:rsid w:val="0067170E"/>
    <w:rsid w:val="0067183E"/>
    <w:rsid w:val="00671FC2"/>
    <w:rsid w:val="0067269C"/>
    <w:rsid w:val="006768DD"/>
    <w:rsid w:val="00677034"/>
    <w:rsid w:val="006778C2"/>
    <w:rsid w:val="006828C8"/>
    <w:rsid w:val="00682BB5"/>
    <w:rsid w:val="00683DD9"/>
    <w:rsid w:val="00686CD0"/>
    <w:rsid w:val="00687172"/>
    <w:rsid w:val="00692C81"/>
    <w:rsid w:val="00694BEB"/>
    <w:rsid w:val="0069515C"/>
    <w:rsid w:val="00695645"/>
    <w:rsid w:val="00696955"/>
    <w:rsid w:val="00696DA1"/>
    <w:rsid w:val="00697B58"/>
    <w:rsid w:val="006A0E7C"/>
    <w:rsid w:val="006A3BC9"/>
    <w:rsid w:val="006A4542"/>
    <w:rsid w:val="006A4B36"/>
    <w:rsid w:val="006A4D08"/>
    <w:rsid w:val="006A551F"/>
    <w:rsid w:val="006A598F"/>
    <w:rsid w:val="006A60D2"/>
    <w:rsid w:val="006A6B99"/>
    <w:rsid w:val="006A720F"/>
    <w:rsid w:val="006A7473"/>
    <w:rsid w:val="006B1093"/>
    <w:rsid w:val="006B28D7"/>
    <w:rsid w:val="006B2C59"/>
    <w:rsid w:val="006B3036"/>
    <w:rsid w:val="006B36F9"/>
    <w:rsid w:val="006B3C42"/>
    <w:rsid w:val="006B4803"/>
    <w:rsid w:val="006B486A"/>
    <w:rsid w:val="006B5DD8"/>
    <w:rsid w:val="006C1326"/>
    <w:rsid w:val="006C216E"/>
    <w:rsid w:val="006C3479"/>
    <w:rsid w:val="006C43CE"/>
    <w:rsid w:val="006C4DD9"/>
    <w:rsid w:val="006C5F2B"/>
    <w:rsid w:val="006C69C4"/>
    <w:rsid w:val="006C75AF"/>
    <w:rsid w:val="006D1604"/>
    <w:rsid w:val="006D2E03"/>
    <w:rsid w:val="006D5558"/>
    <w:rsid w:val="006D5B99"/>
    <w:rsid w:val="006D7989"/>
    <w:rsid w:val="006D7E1B"/>
    <w:rsid w:val="006D7FC1"/>
    <w:rsid w:val="006E0180"/>
    <w:rsid w:val="006E1F2D"/>
    <w:rsid w:val="006E24BB"/>
    <w:rsid w:val="006E31AC"/>
    <w:rsid w:val="006E44EF"/>
    <w:rsid w:val="006E5D1C"/>
    <w:rsid w:val="006E61F9"/>
    <w:rsid w:val="006E62F1"/>
    <w:rsid w:val="006E71CD"/>
    <w:rsid w:val="006F02EC"/>
    <w:rsid w:val="006F115F"/>
    <w:rsid w:val="006F1432"/>
    <w:rsid w:val="006F14E4"/>
    <w:rsid w:val="006F2133"/>
    <w:rsid w:val="006F2ACB"/>
    <w:rsid w:val="006F3F29"/>
    <w:rsid w:val="006F40C7"/>
    <w:rsid w:val="006F4394"/>
    <w:rsid w:val="006F7FE5"/>
    <w:rsid w:val="007005DD"/>
    <w:rsid w:val="00701317"/>
    <w:rsid w:val="0070202A"/>
    <w:rsid w:val="007029AA"/>
    <w:rsid w:val="00702CFB"/>
    <w:rsid w:val="00702DAA"/>
    <w:rsid w:val="00702F25"/>
    <w:rsid w:val="00703820"/>
    <w:rsid w:val="007046D2"/>
    <w:rsid w:val="00704AE4"/>
    <w:rsid w:val="007054B1"/>
    <w:rsid w:val="00705A22"/>
    <w:rsid w:val="00705D11"/>
    <w:rsid w:val="0070601C"/>
    <w:rsid w:val="007067FA"/>
    <w:rsid w:val="00706A1D"/>
    <w:rsid w:val="00707C01"/>
    <w:rsid w:val="00710CAC"/>
    <w:rsid w:val="007113DA"/>
    <w:rsid w:val="00712018"/>
    <w:rsid w:val="00712842"/>
    <w:rsid w:val="00713236"/>
    <w:rsid w:val="007157EE"/>
    <w:rsid w:val="0071588B"/>
    <w:rsid w:val="00721CEB"/>
    <w:rsid w:val="00722690"/>
    <w:rsid w:val="00723686"/>
    <w:rsid w:val="007236EC"/>
    <w:rsid w:val="007244A7"/>
    <w:rsid w:val="007255D0"/>
    <w:rsid w:val="0072660F"/>
    <w:rsid w:val="00726DB0"/>
    <w:rsid w:val="00726F5C"/>
    <w:rsid w:val="00727C73"/>
    <w:rsid w:val="00730169"/>
    <w:rsid w:val="00731135"/>
    <w:rsid w:val="00731D53"/>
    <w:rsid w:val="0073304A"/>
    <w:rsid w:val="00733CE9"/>
    <w:rsid w:val="007368CA"/>
    <w:rsid w:val="00736A78"/>
    <w:rsid w:val="007435EB"/>
    <w:rsid w:val="00743EEC"/>
    <w:rsid w:val="00744A8B"/>
    <w:rsid w:val="00746002"/>
    <w:rsid w:val="007473E9"/>
    <w:rsid w:val="00747A87"/>
    <w:rsid w:val="0075092C"/>
    <w:rsid w:val="007514E0"/>
    <w:rsid w:val="00752E0A"/>
    <w:rsid w:val="0075410B"/>
    <w:rsid w:val="00754B50"/>
    <w:rsid w:val="007556AF"/>
    <w:rsid w:val="00755738"/>
    <w:rsid w:val="00755ACC"/>
    <w:rsid w:val="007567BF"/>
    <w:rsid w:val="007571A5"/>
    <w:rsid w:val="00757B68"/>
    <w:rsid w:val="007612A7"/>
    <w:rsid w:val="00761D86"/>
    <w:rsid w:val="0076379E"/>
    <w:rsid w:val="00763FE3"/>
    <w:rsid w:val="00764693"/>
    <w:rsid w:val="00764E70"/>
    <w:rsid w:val="00765A87"/>
    <w:rsid w:val="00765C8A"/>
    <w:rsid w:val="00766595"/>
    <w:rsid w:val="00766953"/>
    <w:rsid w:val="00766C52"/>
    <w:rsid w:val="00766F57"/>
    <w:rsid w:val="00767299"/>
    <w:rsid w:val="00771D95"/>
    <w:rsid w:val="0077238C"/>
    <w:rsid w:val="00772933"/>
    <w:rsid w:val="0077297A"/>
    <w:rsid w:val="00772AC2"/>
    <w:rsid w:val="00775054"/>
    <w:rsid w:val="00775583"/>
    <w:rsid w:val="00775AC7"/>
    <w:rsid w:val="00775E39"/>
    <w:rsid w:val="00776AD5"/>
    <w:rsid w:val="00776BEE"/>
    <w:rsid w:val="0077735F"/>
    <w:rsid w:val="007802C2"/>
    <w:rsid w:val="00781DF3"/>
    <w:rsid w:val="00785265"/>
    <w:rsid w:val="0078587B"/>
    <w:rsid w:val="00786085"/>
    <w:rsid w:val="00786374"/>
    <w:rsid w:val="007869B6"/>
    <w:rsid w:val="00786B37"/>
    <w:rsid w:val="0079082A"/>
    <w:rsid w:val="00790DCA"/>
    <w:rsid w:val="00790E61"/>
    <w:rsid w:val="00791BF0"/>
    <w:rsid w:val="00793C56"/>
    <w:rsid w:val="00795313"/>
    <w:rsid w:val="00797BAD"/>
    <w:rsid w:val="007A1898"/>
    <w:rsid w:val="007A34FA"/>
    <w:rsid w:val="007A5C14"/>
    <w:rsid w:val="007A5E33"/>
    <w:rsid w:val="007A67DB"/>
    <w:rsid w:val="007A7C05"/>
    <w:rsid w:val="007B1131"/>
    <w:rsid w:val="007B17CA"/>
    <w:rsid w:val="007B1D3C"/>
    <w:rsid w:val="007B3CCC"/>
    <w:rsid w:val="007B3FB7"/>
    <w:rsid w:val="007B5091"/>
    <w:rsid w:val="007B6191"/>
    <w:rsid w:val="007B729D"/>
    <w:rsid w:val="007B7326"/>
    <w:rsid w:val="007B7932"/>
    <w:rsid w:val="007C0F9C"/>
    <w:rsid w:val="007C15B8"/>
    <w:rsid w:val="007C21C9"/>
    <w:rsid w:val="007C321F"/>
    <w:rsid w:val="007C3F0D"/>
    <w:rsid w:val="007C4F9F"/>
    <w:rsid w:val="007C6BAF"/>
    <w:rsid w:val="007C6F2A"/>
    <w:rsid w:val="007C72C0"/>
    <w:rsid w:val="007D27DA"/>
    <w:rsid w:val="007D300F"/>
    <w:rsid w:val="007D3A03"/>
    <w:rsid w:val="007D54BE"/>
    <w:rsid w:val="007D6596"/>
    <w:rsid w:val="007D78D3"/>
    <w:rsid w:val="007E0B35"/>
    <w:rsid w:val="007E22AF"/>
    <w:rsid w:val="007E310C"/>
    <w:rsid w:val="007E3D1A"/>
    <w:rsid w:val="007E5129"/>
    <w:rsid w:val="007E5CAE"/>
    <w:rsid w:val="007E6B9B"/>
    <w:rsid w:val="007E6C09"/>
    <w:rsid w:val="007F23FA"/>
    <w:rsid w:val="007F3226"/>
    <w:rsid w:val="007F3287"/>
    <w:rsid w:val="007F3431"/>
    <w:rsid w:val="007F599D"/>
    <w:rsid w:val="007F5C02"/>
    <w:rsid w:val="007F5D8A"/>
    <w:rsid w:val="007F5DCE"/>
    <w:rsid w:val="007F6D29"/>
    <w:rsid w:val="007F7C39"/>
    <w:rsid w:val="00800660"/>
    <w:rsid w:val="00801028"/>
    <w:rsid w:val="0080171E"/>
    <w:rsid w:val="0080401B"/>
    <w:rsid w:val="008059D2"/>
    <w:rsid w:val="00805C94"/>
    <w:rsid w:val="008060A9"/>
    <w:rsid w:val="008062C9"/>
    <w:rsid w:val="00807842"/>
    <w:rsid w:val="00810FC9"/>
    <w:rsid w:val="00812893"/>
    <w:rsid w:val="00812BF8"/>
    <w:rsid w:val="00813116"/>
    <w:rsid w:val="0081328C"/>
    <w:rsid w:val="00813A8C"/>
    <w:rsid w:val="008146A2"/>
    <w:rsid w:val="008154D7"/>
    <w:rsid w:val="00815629"/>
    <w:rsid w:val="008159C0"/>
    <w:rsid w:val="00816B63"/>
    <w:rsid w:val="00816EF5"/>
    <w:rsid w:val="008175D4"/>
    <w:rsid w:val="00817F82"/>
    <w:rsid w:val="00820103"/>
    <w:rsid w:val="00822082"/>
    <w:rsid w:val="00822A46"/>
    <w:rsid w:val="00823CFE"/>
    <w:rsid w:val="0082483B"/>
    <w:rsid w:val="008249E2"/>
    <w:rsid w:val="00830DCB"/>
    <w:rsid w:val="00830FDB"/>
    <w:rsid w:val="00830FE7"/>
    <w:rsid w:val="00831CC0"/>
    <w:rsid w:val="00832017"/>
    <w:rsid w:val="00833980"/>
    <w:rsid w:val="00834A73"/>
    <w:rsid w:val="00834F41"/>
    <w:rsid w:val="00835B27"/>
    <w:rsid w:val="00835EF5"/>
    <w:rsid w:val="0083733B"/>
    <w:rsid w:val="00840CAA"/>
    <w:rsid w:val="008411AC"/>
    <w:rsid w:val="00842690"/>
    <w:rsid w:val="008433DB"/>
    <w:rsid w:val="00843CE5"/>
    <w:rsid w:val="00843ED4"/>
    <w:rsid w:val="008451D3"/>
    <w:rsid w:val="008455A3"/>
    <w:rsid w:val="008459B7"/>
    <w:rsid w:val="00850357"/>
    <w:rsid w:val="008508FF"/>
    <w:rsid w:val="008511F8"/>
    <w:rsid w:val="0085182F"/>
    <w:rsid w:val="00852C16"/>
    <w:rsid w:val="00853CEB"/>
    <w:rsid w:val="0085540D"/>
    <w:rsid w:val="00855DD2"/>
    <w:rsid w:val="00856BB8"/>
    <w:rsid w:val="0086042E"/>
    <w:rsid w:val="00860FEF"/>
    <w:rsid w:val="008612D6"/>
    <w:rsid w:val="00861D3C"/>
    <w:rsid w:val="00862339"/>
    <w:rsid w:val="008629D5"/>
    <w:rsid w:val="00865BE6"/>
    <w:rsid w:val="00867ED9"/>
    <w:rsid w:val="00867F91"/>
    <w:rsid w:val="0087011E"/>
    <w:rsid w:val="008706F6"/>
    <w:rsid w:val="00870BF1"/>
    <w:rsid w:val="00870EEF"/>
    <w:rsid w:val="0087220E"/>
    <w:rsid w:val="00872302"/>
    <w:rsid w:val="0087246F"/>
    <w:rsid w:val="00872C05"/>
    <w:rsid w:val="00872C81"/>
    <w:rsid w:val="0087360D"/>
    <w:rsid w:val="00874F84"/>
    <w:rsid w:val="0087682D"/>
    <w:rsid w:val="008769B3"/>
    <w:rsid w:val="00876EE6"/>
    <w:rsid w:val="00876F90"/>
    <w:rsid w:val="00881BC0"/>
    <w:rsid w:val="00882286"/>
    <w:rsid w:val="0088238B"/>
    <w:rsid w:val="0088297E"/>
    <w:rsid w:val="00883007"/>
    <w:rsid w:val="00883023"/>
    <w:rsid w:val="00883AE1"/>
    <w:rsid w:val="00883D24"/>
    <w:rsid w:val="00884808"/>
    <w:rsid w:val="00884AA9"/>
    <w:rsid w:val="00884F25"/>
    <w:rsid w:val="0088569C"/>
    <w:rsid w:val="0088633B"/>
    <w:rsid w:val="00890613"/>
    <w:rsid w:val="00890A88"/>
    <w:rsid w:val="00890E42"/>
    <w:rsid w:val="0089120A"/>
    <w:rsid w:val="00893634"/>
    <w:rsid w:val="00893FCC"/>
    <w:rsid w:val="0089406C"/>
    <w:rsid w:val="00897452"/>
    <w:rsid w:val="00897BB5"/>
    <w:rsid w:val="008A09FB"/>
    <w:rsid w:val="008A2723"/>
    <w:rsid w:val="008A4C97"/>
    <w:rsid w:val="008A55A2"/>
    <w:rsid w:val="008A6131"/>
    <w:rsid w:val="008B05E2"/>
    <w:rsid w:val="008B0EDB"/>
    <w:rsid w:val="008B2F58"/>
    <w:rsid w:val="008B3411"/>
    <w:rsid w:val="008B36BF"/>
    <w:rsid w:val="008B370E"/>
    <w:rsid w:val="008B4367"/>
    <w:rsid w:val="008B4425"/>
    <w:rsid w:val="008B5400"/>
    <w:rsid w:val="008B7581"/>
    <w:rsid w:val="008B7A73"/>
    <w:rsid w:val="008B7D32"/>
    <w:rsid w:val="008C0DC0"/>
    <w:rsid w:val="008C0E04"/>
    <w:rsid w:val="008C0F05"/>
    <w:rsid w:val="008C1338"/>
    <w:rsid w:val="008C2750"/>
    <w:rsid w:val="008C45B1"/>
    <w:rsid w:val="008C4ECE"/>
    <w:rsid w:val="008C63B3"/>
    <w:rsid w:val="008C7C65"/>
    <w:rsid w:val="008D1C76"/>
    <w:rsid w:val="008D293E"/>
    <w:rsid w:val="008D2E33"/>
    <w:rsid w:val="008D3CDF"/>
    <w:rsid w:val="008D4E44"/>
    <w:rsid w:val="008D5FAE"/>
    <w:rsid w:val="008D6222"/>
    <w:rsid w:val="008D668C"/>
    <w:rsid w:val="008E1393"/>
    <w:rsid w:val="008E405D"/>
    <w:rsid w:val="008E458B"/>
    <w:rsid w:val="008E5615"/>
    <w:rsid w:val="008E65C6"/>
    <w:rsid w:val="008E6CA4"/>
    <w:rsid w:val="008E7E12"/>
    <w:rsid w:val="008F0FC3"/>
    <w:rsid w:val="008F1C72"/>
    <w:rsid w:val="008F27E4"/>
    <w:rsid w:val="008F29DA"/>
    <w:rsid w:val="008F47B6"/>
    <w:rsid w:val="008F6E60"/>
    <w:rsid w:val="008F73D1"/>
    <w:rsid w:val="008F75B2"/>
    <w:rsid w:val="00900FF2"/>
    <w:rsid w:val="00902819"/>
    <w:rsid w:val="00907EF2"/>
    <w:rsid w:val="00910798"/>
    <w:rsid w:val="00910CA1"/>
    <w:rsid w:val="00911231"/>
    <w:rsid w:val="009115F6"/>
    <w:rsid w:val="00911A23"/>
    <w:rsid w:val="00911DC6"/>
    <w:rsid w:val="00912557"/>
    <w:rsid w:val="00912AD7"/>
    <w:rsid w:val="00914B70"/>
    <w:rsid w:val="00914EAD"/>
    <w:rsid w:val="00916C5E"/>
    <w:rsid w:val="00920DBF"/>
    <w:rsid w:val="00920E49"/>
    <w:rsid w:val="0092140E"/>
    <w:rsid w:val="0092199F"/>
    <w:rsid w:val="00922F6D"/>
    <w:rsid w:val="00923121"/>
    <w:rsid w:val="00924BD8"/>
    <w:rsid w:val="00924DDA"/>
    <w:rsid w:val="009266A5"/>
    <w:rsid w:val="00927726"/>
    <w:rsid w:val="00930547"/>
    <w:rsid w:val="00931F88"/>
    <w:rsid w:val="0093316D"/>
    <w:rsid w:val="00940D6D"/>
    <w:rsid w:val="00941793"/>
    <w:rsid w:val="00941D55"/>
    <w:rsid w:val="009431D1"/>
    <w:rsid w:val="00943699"/>
    <w:rsid w:val="00943A7B"/>
    <w:rsid w:val="009445C6"/>
    <w:rsid w:val="00944CEB"/>
    <w:rsid w:val="009460D2"/>
    <w:rsid w:val="0094632F"/>
    <w:rsid w:val="00947456"/>
    <w:rsid w:val="00947C69"/>
    <w:rsid w:val="0095027F"/>
    <w:rsid w:val="009510C8"/>
    <w:rsid w:val="009517DD"/>
    <w:rsid w:val="009527CC"/>
    <w:rsid w:val="009535F6"/>
    <w:rsid w:val="00954467"/>
    <w:rsid w:val="00954742"/>
    <w:rsid w:val="009554ED"/>
    <w:rsid w:val="00955DA7"/>
    <w:rsid w:val="009560A0"/>
    <w:rsid w:val="00957231"/>
    <w:rsid w:val="00961313"/>
    <w:rsid w:val="00962108"/>
    <w:rsid w:val="00964B0E"/>
    <w:rsid w:val="00965708"/>
    <w:rsid w:val="00965C85"/>
    <w:rsid w:val="00966E0D"/>
    <w:rsid w:val="009702AA"/>
    <w:rsid w:val="0097044A"/>
    <w:rsid w:val="00971311"/>
    <w:rsid w:val="0097187F"/>
    <w:rsid w:val="009720E7"/>
    <w:rsid w:val="00973259"/>
    <w:rsid w:val="009738F8"/>
    <w:rsid w:val="00975383"/>
    <w:rsid w:val="0097548E"/>
    <w:rsid w:val="009762B9"/>
    <w:rsid w:val="009774F0"/>
    <w:rsid w:val="00977B68"/>
    <w:rsid w:val="009800B1"/>
    <w:rsid w:val="00981B16"/>
    <w:rsid w:val="00981D51"/>
    <w:rsid w:val="009823A7"/>
    <w:rsid w:val="009836C7"/>
    <w:rsid w:val="00984BB9"/>
    <w:rsid w:val="00984CA9"/>
    <w:rsid w:val="0098539B"/>
    <w:rsid w:val="00985DD4"/>
    <w:rsid w:val="009860FB"/>
    <w:rsid w:val="009863B8"/>
    <w:rsid w:val="0098734D"/>
    <w:rsid w:val="00987466"/>
    <w:rsid w:val="00987FDE"/>
    <w:rsid w:val="009914A2"/>
    <w:rsid w:val="00997BEA"/>
    <w:rsid w:val="009A1799"/>
    <w:rsid w:val="009A2088"/>
    <w:rsid w:val="009A258E"/>
    <w:rsid w:val="009A3298"/>
    <w:rsid w:val="009A42DC"/>
    <w:rsid w:val="009A5A86"/>
    <w:rsid w:val="009B10AC"/>
    <w:rsid w:val="009B312F"/>
    <w:rsid w:val="009B4423"/>
    <w:rsid w:val="009B5067"/>
    <w:rsid w:val="009B6F89"/>
    <w:rsid w:val="009B780E"/>
    <w:rsid w:val="009C0EE2"/>
    <w:rsid w:val="009C10BF"/>
    <w:rsid w:val="009C10CF"/>
    <w:rsid w:val="009C13DE"/>
    <w:rsid w:val="009C15A7"/>
    <w:rsid w:val="009C21A7"/>
    <w:rsid w:val="009C23A5"/>
    <w:rsid w:val="009C3293"/>
    <w:rsid w:val="009C67A8"/>
    <w:rsid w:val="009C6E69"/>
    <w:rsid w:val="009C765B"/>
    <w:rsid w:val="009D3556"/>
    <w:rsid w:val="009D5C18"/>
    <w:rsid w:val="009D68D4"/>
    <w:rsid w:val="009D74F4"/>
    <w:rsid w:val="009D7903"/>
    <w:rsid w:val="009E4327"/>
    <w:rsid w:val="009E6796"/>
    <w:rsid w:val="009E754D"/>
    <w:rsid w:val="009E794C"/>
    <w:rsid w:val="009F044D"/>
    <w:rsid w:val="009F0D60"/>
    <w:rsid w:val="009F15C9"/>
    <w:rsid w:val="009F1813"/>
    <w:rsid w:val="009F4666"/>
    <w:rsid w:val="009F5261"/>
    <w:rsid w:val="009F5F5A"/>
    <w:rsid w:val="00A00119"/>
    <w:rsid w:val="00A00A54"/>
    <w:rsid w:val="00A00F70"/>
    <w:rsid w:val="00A0107F"/>
    <w:rsid w:val="00A02CD6"/>
    <w:rsid w:val="00A03ABE"/>
    <w:rsid w:val="00A05376"/>
    <w:rsid w:val="00A05581"/>
    <w:rsid w:val="00A06D76"/>
    <w:rsid w:val="00A073B8"/>
    <w:rsid w:val="00A10DF1"/>
    <w:rsid w:val="00A11A79"/>
    <w:rsid w:val="00A120D2"/>
    <w:rsid w:val="00A12217"/>
    <w:rsid w:val="00A14FC8"/>
    <w:rsid w:val="00A16624"/>
    <w:rsid w:val="00A16B68"/>
    <w:rsid w:val="00A17831"/>
    <w:rsid w:val="00A17EAD"/>
    <w:rsid w:val="00A20761"/>
    <w:rsid w:val="00A20D74"/>
    <w:rsid w:val="00A254E4"/>
    <w:rsid w:val="00A25F1E"/>
    <w:rsid w:val="00A2679F"/>
    <w:rsid w:val="00A307B0"/>
    <w:rsid w:val="00A31537"/>
    <w:rsid w:val="00A31E18"/>
    <w:rsid w:val="00A31F42"/>
    <w:rsid w:val="00A329E4"/>
    <w:rsid w:val="00A338DB"/>
    <w:rsid w:val="00A35591"/>
    <w:rsid w:val="00A355F8"/>
    <w:rsid w:val="00A36E94"/>
    <w:rsid w:val="00A3776B"/>
    <w:rsid w:val="00A40A63"/>
    <w:rsid w:val="00A41230"/>
    <w:rsid w:val="00A42671"/>
    <w:rsid w:val="00A43B18"/>
    <w:rsid w:val="00A43D93"/>
    <w:rsid w:val="00A441AA"/>
    <w:rsid w:val="00A44A52"/>
    <w:rsid w:val="00A455DB"/>
    <w:rsid w:val="00A468B9"/>
    <w:rsid w:val="00A47294"/>
    <w:rsid w:val="00A503A1"/>
    <w:rsid w:val="00A50773"/>
    <w:rsid w:val="00A515F1"/>
    <w:rsid w:val="00A52668"/>
    <w:rsid w:val="00A52B84"/>
    <w:rsid w:val="00A52E74"/>
    <w:rsid w:val="00A54EE1"/>
    <w:rsid w:val="00A558E3"/>
    <w:rsid w:val="00A5626B"/>
    <w:rsid w:val="00A571D8"/>
    <w:rsid w:val="00A572AD"/>
    <w:rsid w:val="00A60650"/>
    <w:rsid w:val="00A62876"/>
    <w:rsid w:val="00A62911"/>
    <w:rsid w:val="00A62B0A"/>
    <w:rsid w:val="00A63358"/>
    <w:rsid w:val="00A645E3"/>
    <w:rsid w:val="00A65413"/>
    <w:rsid w:val="00A667B9"/>
    <w:rsid w:val="00A70BAE"/>
    <w:rsid w:val="00A728E1"/>
    <w:rsid w:val="00A72BF8"/>
    <w:rsid w:val="00A730CD"/>
    <w:rsid w:val="00A73563"/>
    <w:rsid w:val="00A73D8A"/>
    <w:rsid w:val="00A7484A"/>
    <w:rsid w:val="00A75C7A"/>
    <w:rsid w:val="00A76B86"/>
    <w:rsid w:val="00A76F7A"/>
    <w:rsid w:val="00A8001A"/>
    <w:rsid w:val="00A8087E"/>
    <w:rsid w:val="00A8092C"/>
    <w:rsid w:val="00A80C53"/>
    <w:rsid w:val="00A81165"/>
    <w:rsid w:val="00A81944"/>
    <w:rsid w:val="00A81C3E"/>
    <w:rsid w:val="00A82AD2"/>
    <w:rsid w:val="00A855DA"/>
    <w:rsid w:val="00A86CAF"/>
    <w:rsid w:val="00A87C75"/>
    <w:rsid w:val="00A900AC"/>
    <w:rsid w:val="00A90666"/>
    <w:rsid w:val="00A918F7"/>
    <w:rsid w:val="00A92DA1"/>
    <w:rsid w:val="00A92E28"/>
    <w:rsid w:val="00A94FF6"/>
    <w:rsid w:val="00A957C0"/>
    <w:rsid w:val="00A958F1"/>
    <w:rsid w:val="00A964F4"/>
    <w:rsid w:val="00AA0209"/>
    <w:rsid w:val="00AA1060"/>
    <w:rsid w:val="00AA2503"/>
    <w:rsid w:val="00AA2987"/>
    <w:rsid w:val="00AA3436"/>
    <w:rsid w:val="00AA493C"/>
    <w:rsid w:val="00AA4F12"/>
    <w:rsid w:val="00AA5804"/>
    <w:rsid w:val="00AA681D"/>
    <w:rsid w:val="00AA76A0"/>
    <w:rsid w:val="00AB00D6"/>
    <w:rsid w:val="00AB0841"/>
    <w:rsid w:val="00AB3789"/>
    <w:rsid w:val="00AB57AD"/>
    <w:rsid w:val="00AB666B"/>
    <w:rsid w:val="00AB7D1A"/>
    <w:rsid w:val="00AB7EC5"/>
    <w:rsid w:val="00AC31AE"/>
    <w:rsid w:val="00AC59FE"/>
    <w:rsid w:val="00AC61A1"/>
    <w:rsid w:val="00AD2165"/>
    <w:rsid w:val="00AD39FA"/>
    <w:rsid w:val="00AD44C3"/>
    <w:rsid w:val="00AD5730"/>
    <w:rsid w:val="00AD72B2"/>
    <w:rsid w:val="00AE16FD"/>
    <w:rsid w:val="00AE239C"/>
    <w:rsid w:val="00AE24C9"/>
    <w:rsid w:val="00AE2B73"/>
    <w:rsid w:val="00AE3603"/>
    <w:rsid w:val="00AE459F"/>
    <w:rsid w:val="00AE5173"/>
    <w:rsid w:val="00AE549D"/>
    <w:rsid w:val="00AE58B6"/>
    <w:rsid w:val="00AE6715"/>
    <w:rsid w:val="00AE7284"/>
    <w:rsid w:val="00AE786B"/>
    <w:rsid w:val="00AE7A76"/>
    <w:rsid w:val="00AF1D72"/>
    <w:rsid w:val="00AF21A4"/>
    <w:rsid w:val="00AF4150"/>
    <w:rsid w:val="00AF53D3"/>
    <w:rsid w:val="00AF56AD"/>
    <w:rsid w:val="00AF669E"/>
    <w:rsid w:val="00AF675B"/>
    <w:rsid w:val="00AF6AB7"/>
    <w:rsid w:val="00B01548"/>
    <w:rsid w:val="00B0322F"/>
    <w:rsid w:val="00B036D8"/>
    <w:rsid w:val="00B03A6A"/>
    <w:rsid w:val="00B03BDF"/>
    <w:rsid w:val="00B0407A"/>
    <w:rsid w:val="00B0415B"/>
    <w:rsid w:val="00B068C9"/>
    <w:rsid w:val="00B06B85"/>
    <w:rsid w:val="00B0702A"/>
    <w:rsid w:val="00B0714E"/>
    <w:rsid w:val="00B100F5"/>
    <w:rsid w:val="00B10D19"/>
    <w:rsid w:val="00B10F3F"/>
    <w:rsid w:val="00B13043"/>
    <w:rsid w:val="00B1318F"/>
    <w:rsid w:val="00B131D2"/>
    <w:rsid w:val="00B16730"/>
    <w:rsid w:val="00B17A49"/>
    <w:rsid w:val="00B17D38"/>
    <w:rsid w:val="00B20A71"/>
    <w:rsid w:val="00B20B1F"/>
    <w:rsid w:val="00B20F67"/>
    <w:rsid w:val="00B2379D"/>
    <w:rsid w:val="00B24076"/>
    <w:rsid w:val="00B244E5"/>
    <w:rsid w:val="00B24BAB"/>
    <w:rsid w:val="00B260BB"/>
    <w:rsid w:val="00B26F36"/>
    <w:rsid w:val="00B301BD"/>
    <w:rsid w:val="00B307B1"/>
    <w:rsid w:val="00B30E12"/>
    <w:rsid w:val="00B347AE"/>
    <w:rsid w:val="00B348F1"/>
    <w:rsid w:val="00B348F8"/>
    <w:rsid w:val="00B374B7"/>
    <w:rsid w:val="00B41341"/>
    <w:rsid w:val="00B41C5E"/>
    <w:rsid w:val="00B42170"/>
    <w:rsid w:val="00B436E8"/>
    <w:rsid w:val="00B43860"/>
    <w:rsid w:val="00B4476F"/>
    <w:rsid w:val="00B45BD7"/>
    <w:rsid w:val="00B468A7"/>
    <w:rsid w:val="00B46B06"/>
    <w:rsid w:val="00B47166"/>
    <w:rsid w:val="00B504D1"/>
    <w:rsid w:val="00B51E61"/>
    <w:rsid w:val="00B520AE"/>
    <w:rsid w:val="00B54F0A"/>
    <w:rsid w:val="00B56773"/>
    <w:rsid w:val="00B60A8A"/>
    <w:rsid w:val="00B60ED2"/>
    <w:rsid w:val="00B65A8D"/>
    <w:rsid w:val="00B660C6"/>
    <w:rsid w:val="00B700E4"/>
    <w:rsid w:val="00B7025E"/>
    <w:rsid w:val="00B70C41"/>
    <w:rsid w:val="00B71742"/>
    <w:rsid w:val="00B719F4"/>
    <w:rsid w:val="00B72A0A"/>
    <w:rsid w:val="00B741FF"/>
    <w:rsid w:val="00B74F1D"/>
    <w:rsid w:val="00B7562C"/>
    <w:rsid w:val="00B778C0"/>
    <w:rsid w:val="00B83707"/>
    <w:rsid w:val="00B83F40"/>
    <w:rsid w:val="00B83F67"/>
    <w:rsid w:val="00B845AF"/>
    <w:rsid w:val="00B84867"/>
    <w:rsid w:val="00B84CE5"/>
    <w:rsid w:val="00B84FA6"/>
    <w:rsid w:val="00B86BBE"/>
    <w:rsid w:val="00B87BAA"/>
    <w:rsid w:val="00B90AE6"/>
    <w:rsid w:val="00B91991"/>
    <w:rsid w:val="00B9487A"/>
    <w:rsid w:val="00B952EB"/>
    <w:rsid w:val="00B95AFC"/>
    <w:rsid w:val="00B9766A"/>
    <w:rsid w:val="00BA078B"/>
    <w:rsid w:val="00BA0C46"/>
    <w:rsid w:val="00BA1A64"/>
    <w:rsid w:val="00BA25F3"/>
    <w:rsid w:val="00BA2ED9"/>
    <w:rsid w:val="00BA358D"/>
    <w:rsid w:val="00BA67F0"/>
    <w:rsid w:val="00BA79C0"/>
    <w:rsid w:val="00BB03B6"/>
    <w:rsid w:val="00BB076D"/>
    <w:rsid w:val="00BB0852"/>
    <w:rsid w:val="00BB1FDD"/>
    <w:rsid w:val="00BB27B4"/>
    <w:rsid w:val="00BB3A90"/>
    <w:rsid w:val="00BB4C11"/>
    <w:rsid w:val="00BB55AF"/>
    <w:rsid w:val="00BB7027"/>
    <w:rsid w:val="00BB7065"/>
    <w:rsid w:val="00BC14C0"/>
    <w:rsid w:val="00BC20FE"/>
    <w:rsid w:val="00BC250E"/>
    <w:rsid w:val="00BC43D1"/>
    <w:rsid w:val="00BC5022"/>
    <w:rsid w:val="00BC5C34"/>
    <w:rsid w:val="00BC5CBA"/>
    <w:rsid w:val="00BC616F"/>
    <w:rsid w:val="00BC72B6"/>
    <w:rsid w:val="00BD31CF"/>
    <w:rsid w:val="00BD36C0"/>
    <w:rsid w:val="00BD3A67"/>
    <w:rsid w:val="00BD4078"/>
    <w:rsid w:val="00BD4216"/>
    <w:rsid w:val="00BD4E26"/>
    <w:rsid w:val="00BD5262"/>
    <w:rsid w:val="00BD5668"/>
    <w:rsid w:val="00BD5B8B"/>
    <w:rsid w:val="00BD69D2"/>
    <w:rsid w:val="00BD77FD"/>
    <w:rsid w:val="00BD7D60"/>
    <w:rsid w:val="00BE2C7B"/>
    <w:rsid w:val="00BE364E"/>
    <w:rsid w:val="00BE3D62"/>
    <w:rsid w:val="00BE4FF7"/>
    <w:rsid w:val="00BE6E29"/>
    <w:rsid w:val="00BE78D6"/>
    <w:rsid w:val="00BE7C33"/>
    <w:rsid w:val="00BF0FAA"/>
    <w:rsid w:val="00BF199F"/>
    <w:rsid w:val="00C0236B"/>
    <w:rsid w:val="00C03B1A"/>
    <w:rsid w:val="00C03D46"/>
    <w:rsid w:val="00C04E1D"/>
    <w:rsid w:val="00C0574A"/>
    <w:rsid w:val="00C059BF"/>
    <w:rsid w:val="00C06610"/>
    <w:rsid w:val="00C07C3F"/>
    <w:rsid w:val="00C07D09"/>
    <w:rsid w:val="00C1087E"/>
    <w:rsid w:val="00C119FA"/>
    <w:rsid w:val="00C11CC3"/>
    <w:rsid w:val="00C11F88"/>
    <w:rsid w:val="00C12B47"/>
    <w:rsid w:val="00C13399"/>
    <w:rsid w:val="00C13591"/>
    <w:rsid w:val="00C13F74"/>
    <w:rsid w:val="00C145DE"/>
    <w:rsid w:val="00C147B4"/>
    <w:rsid w:val="00C14C91"/>
    <w:rsid w:val="00C22113"/>
    <w:rsid w:val="00C228DF"/>
    <w:rsid w:val="00C23213"/>
    <w:rsid w:val="00C23726"/>
    <w:rsid w:val="00C23853"/>
    <w:rsid w:val="00C23DF3"/>
    <w:rsid w:val="00C2442B"/>
    <w:rsid w:val="00C270DC"/>
    <w:rsid w:val="00C305C3"/>
    <w:rsid w:val="00C319A0"/>
    <w:rsid w:val="00C33364"/>
    <w:rsid w:val="00C353EE"/>
    <w:rsid w:val="00C36788"/>
    <w:rsid w:val="00C36888"/>
    <w:rsid w:val="00C40207"/>
    <w:rsid w:val="00C41A8D"/>
    <w:rsid w:val="00C428BB"/>
    <w:rsid w:val="00C44C56"/>
    <w:rsid w:val="00C4526A"/>
    <w:rsid w:val="00C45B26"/>
    <w:rsid w:val="00C45D07"/>
    <w:rsid w:val="00C46725"/>
    <w:rsid w:val="00C46D38"/>
    <w:rsid w:val="00C46EF2"/>
    <w:rsid w:val="00C47084"/>
    <w:rsid w:val="00C479AB"/>
    <w:rsid w:val="00C50119"/>
    <w:rsid w:val="00C51CDC"/>
    <w:rsid w:val="00C52152"/>
    <w:rsid w:val="00C5361B"/>
    <w:rsid w:val="00C54A46"/>
    <w:rsid w:val="00C55921"/>
    <w:rsid w:val="00C6237E"/>
    <w:rsid w:val="00C65E96"/>
    <w:rsid w:val="00C66F7F"/>
    <w:rsid w:val="00C74BFF"/>
    <w:rsid w:val="00C75CD1"/>
    <w:rsid w:val="00C764AC"/>
    <w:rsid w:val="00C76D7B"/>
    <w:rsid w:val="00C81CDC"/>
    <w:rsid w:val="00C824B1"/>
    <w:rsid w:val="00C828A3"/>
    <w:rsid w:val="00C82D04"/>
    <w:rsid w:val="00C82DB5"/>
    <w:rsid w:val="00C83AD5"/>
    <w:rsid w:val="00C84651"/>
    <w:rsid w:val="00C849AC"/>
    <w:rsid w:val="00C84EBA"/>
    <w:rsid w:val="00C86CF3"/>
    <w:rsid w:val="00C87610"/>
    <w:rsid w:val="00C905CD"/>
    <w:rsid w:val="00C92970"/>
    <w:rsid w:val="00C93183"/>
    <w:rsid w:val="00C94054"/>
    <w:rsid w:val="00C940AE"/>
    <w:rsid w:val="00C96329"/>
    <w:rsid w:val="00C9684C"/>
    <w:rsid w:val="00CA05D0"/>
    <w:rsid w:val="00CA0EF5"/>
    <w:rsid w:val="00CA219C"/>
    <w:rsid w:val="00CA2274"/>
    <w:rsid w:val="00CA2465"/>
    <w:rsid w:val="00CA2DDE"/>
    <w:rsid w:val="00CA3181"/>
    <w:rsid w:val="00CA3445"/>
    <w:rsid w:val="00CA4EE2"/>
    <w:rsid w:val="00CA54DC"/>
    <w:rsid w:val="00CA5D42"/>
    <w:rsid w:val="00CB0490"/>
    <w:rsid w:val="00CB191B"/>
    <w:rsid w:val="00CB1B59"/>
    <w:rsid w:val="00CB275D"/>
    <w:rsid w:val="00CB493F"/>
    <w:rsid w:val="00CB4A14"/>
    <w:rsid w:val="00CB4E37"/>
    <w:rsid w:val="00CB577E"/>
    <w:rsid w:val="00CB5DF4"/>
    <w:rsid w:val="00CB640A"/>
    <w:rsid w:val="00CB67A6"/>
    <w:rsid w:val="00CB7813"/>
    <w:rsid w:val="00CC073A"/>
    <w:rsid w:val="00CC1183"/>
    <w:rsid w:val="00CC1BB8"/>
    <w:rsid w:val="00CC1C29"/>
    <w:rsid w:val="00CC21D4"/>
    <w:rsid w:val="00CC255C"/>
    <w:rsid w:val="00CC3E79"/>
    <w:rsid w:val="00CC5702"/>
    <w:rsid w:val="00CC63B4"/>
    <w:rsid w:val="00CC74A0"/>
    <w:rsid w:val="00CC7616"/>
    <w:rsid w:val="00CD03C0"/>
    <w:rsid w:val="00CD050C"/>
    <w:rsid w:val="00CD089A"/>
    <w:rsid w:val="00CD25BC"/>
    <w:rsid w:val="00CD44A4"/>
    <w:rsid w:val="00CD6075"/>
    <w:rsid w:val="00CD674D"/>
    <w:rsid w:val="00CD7B16"/>
    <w:rsid w:val="00CE2B62"/>
    <w:rsid w:val="00CE3C92"/>
    <w:rsid w:val="00CE3DBB"/>
    <w:rsid w:val="00CE41D4"/>
    <w:rsid w:val="00CE44AF"/>
    <w:rsid w:val="00CE4800"/>
    <w:rsid w:val="00CE72D3"/>
    <w:rsid w:val="00CF064F"/>
    <w:rsid w:val="00CF0A19"/>
    <w:rsid w:val="00CF1289"/>
    <w:rsid w:val="00CF1B56"/>
    <w:rsid w:val="00CF204B"/>
    <w:rsid w:val="00CF21AF"/>
    <w:rsid w:val="00CF2F4E"/>
    <w:rsid w:val="00CF3A14"/>
    <w:rsid w:val="00CF3B12"/>
    <w:rsid w:val="00CF46C2"/>
    <w:rsid w:val="00CF5335"/>
    <w:rsid w:val="00CF5724"/>
    <w:rsid w:val="00CF79C3"/>
    <w:rsid w:val="00D00275"/>
    <w:rsid w:val="00D0146F"/>
    <w:rsid w:val="00D01530"/>
    <w:rsid w:val="00D01767"/>
    <w:rsid w:val="00D0295D"/>
    <w:rsid w:val="00D06FCA"/>
    <w:rsid w:val="00D0727A"/>
    <w:rsid w:val="00D07785"/>
    <w:rsid w:val="00D07D17"/>
    <w:rsid w:val="00D1032B"/>
    <w:rsid w:val="00D11303"/>
    <w:rsid w:val="00D12CDC"/>
    <w:rsid w:val="00D1355D"/>
    <w:rsid w:val="00D13831"/>
    <w:rsid w:val="00D1401B"/>
    <w:rsid w:val="00D14537"/>
    <w:rsid w:val="00D14DE8"/>
    <w:rsid w:val="00D155C9"/>
    <w:rsid w:val="00D15647"/>
    <w:rsid w:val="00D158E0"/>
    <w:rsid w:val="00D17240"/>
    <w:rsid w:val="00D1766F"/>
    <w:rsid w:val="00D21041"/>
    <w:rsid w:val="00D211DA"/>
    <w:rsid w:val="00D21A21"/>
    <w:rsid w:val="00D2265C"/>
    <w:rsid w:val="00D23437"/>
    <w:rsid w:val="00D238C9"/>
    <w:rsid w:val="00D24700"/>
    <w:rsid w:val="00D252C5"/>
    <w:rsid w:val="00D265EE"/>
    <w:rsid w:val="00D3229B"/>
    <w:rsid w:val="00D3244C"/>
    <w:rsid w:val="00D35816"/>
    <w:rsid w:val="00D359C2"/>
    <w:rsid w:val="00D3652C"/>
    <w:rsid w:val="00D36AF6"/>
    <w:rsid w:val="00D37452"/>
    <w:rsid w:val="00D40353"/>
    <w:rsid w:val="00D40C75"/>
    <w:rsid w:val="00D416EE"/>
    <w:rsid w:val="00D41D98"/>
    <w:rsid w:val="00D42E37"/>
    <w:rsid w:val="00D430F4"/>
    <w:rsid w:val="00D43278"/>
    <w:rsid w:val="00D443CA"/>
    <w:rsid w:val="00D452C0"/>
    <w:rsid w:val="00D45E96"/>
    <w:rsid w:val="00D46501"/>
    <w:rsid w:val="00D4732C"/>
    <w:rsid w:val="00D50488"/>
    <w:rsid w:val="00D50D81"/>
    <w:rsid w:val="00D515B8"/>
    <w:rsid w:val="00D522CB"/>
    <w:rsid w:val="00D5299D"/>
    <w:rsid w:val="00D549A2"/>
    <w:rsid w:val="00D54E1C"/>
    <w:rsid w:val="00D551D6"/>
    <w:rsid w:val="00D557AB"/>
    <w:rsid w:val="00D60191"/>
    <w:rsid w:val="00D6023C"/>
    <w:rsid w:val="00D60D75"/>
    <w:rsid w:val="00D61B30"/>
    <w:rsid w:val="00D63660"/>
    <w:rsid w:val="00D63B71"/>
    <w:rsid w:val="00D647CA"/>
    <w:rsid w:val="00D6675D"/>
    <w:rsid w:val="00D66AC2"/>
    <w:rsid w:val="00D67C34"/>
    <w:rsid w:val="00D70014"/>
    <w:rsid w:val="00D7031F"/>
    <w:rsid w:val="00D70398"/>
    <w:rsid w:val="00D70800"/>
    <w:rsid w:val="00D70983"/>
    <w:rsid w:val="00D70A3B"/>
    <w:rsid w:val="00D716A6"/>
    <w:rsid w:val="00D717D6"/>
    <w:rsid w:val="00D71C07"/>
    <w:rsid w:val="00D71DCE"/>
    <w:rsid w:val="00D72ABC"/>
    <w:rsid w:val="00D72BE3"/>
    <w:rsid w:val="00D72C8B"/>
    <w:rsid w:val="00D72F1B"/>
    <w:rsid w:val="00D7343B"/>
    <w:rsid w:val="00D74502"/>
    <w:rsid w:val="00D74C64"/>
    <w:rsid w:val="00D76210"/>
    <w:rsid w:val="00D801D3"/>
    <w:rsid w:val="00D81084"/>
    <w:rsid w:val="00D817CA"/>
    <w:rsid w:val="00D819FE"/>
    <w:rsid w:val="00D82A45"/>
    <w:rsid w:val="00D82D39"/>
    <w:rsid w:val="00D837F9"/>
    <w:rsid w:val="00D853D6"/>
    <w:rsid w:val="00D865DF"/>
    <w:rsid w:val="00D868D2"/>
    <w:rsid w:val="00D8776C"/>
    <w:rsid w:val="00D878C7"/>
    <w:rsid w:val="00D878F7"/>
    <w:rsid w:val="00D9101B"/>
    <w:rsid w:val="00D919F1"/>
    <w:rsid w:val="00D926D4"/>
    <w:rsid w:val="00D92A0A"/>
    <w:rsid w:val="00D93F81"/>
    <w:rsid w:val="00D9418B"/>
    <w:rsid w:val="00D95195"/>
    <w:rsid w:val="00D95C8E"/>
    <w:rsid w:val="00D964DD"/>
    <w:rsid w:val="00D966D3"/>
    <w:rsid w:val="00D9751B"/>
    <w:rsid w:val="00DA3E3E"/>
    <w:rsid w:val="00DA46B5"/>
    <w:rsid w:val="00DA473F"/>
    <w:rsid w:val="00DA6666"/>
    <w:rsid w:val="00DA6C2F"/>
    <w:rsid w:val="00DA6E19"/>
    <w:rsid w:val="00DA7E67"/>
    <w:rsid w:val="00DB16EA"/>
    <w:rsid w:val="00DB29B7"/>
    <w:rsid w:val="00DB31F2"/>
    <w:rsid w:val="00DB362E"/>
    <w:rsid w:val="00DB3A79"/>
    <w:rsid w:val="00DB3AA1"/>
    <w:rsid w:val="00DB3E5A"/>
    <w:rsid w:val="00DB6ACC"/>
    <w:rsid w:val="00DB7750"/>
    <w:rsid w:val="00DC02F5"/>
    <w:rsid w:val="00DC0F78"/>
    <w:rsid w:val="00DC20E1"/>
    <w:rsid w:val="00DC229F"/>
    <w:rsid w:val="00DC3E16"/>
    <w:rsid w:val="00DC46A1"/>
    <w:rsid w:val="00DC50DA"/>
    <w:rsid w:val="00DC628F"/>
    <w:rsid w:val="00DC718E"/>
    <w:rsid w:val="00DC774C"/>
    <w:rsid w:val="00DD0187"/>
    <w:rsid w:val="00DD1101"/>
    <w:rsid w:val="00DD187A"/>
    <w:rsid w:val="00DD1A2B"/>
    <w:rsid w:val="00DD2F79"/>
    <w:rsid w:val="00DD39E3"/>
    <w:rsid w:val="00DD3CCD"/>
    <w:rsid w:val="00DD7C89"/>
    <w:rsid w:val="00DE202A"/>
    <w:rsid w:val="00DE2292"/>
    <w:rsid w:val="00DE425F"/>
    <w:rsid w:val="00DE448B"/>
    <w:rsid w:val="00DE51B7"/>
    <w:rsid w:val="00DE59C4"/>
    <w:rsid w:val="00DE77B1"/>
    <w:rsid w:val="00DF0E11"/>
    <w:rsid w:val="00DF16F6"/>
    <w:rsid w:val="00DF31A2"/>
    <w:rsid w:val="00DF52D3"/>
    <w:rsid w:val="00DF5884"/>
    <w:rsid w:val="00DF7221"/>
    <w:rsid w:val="00DF73A7"/>
    <w:rsid w:val="00DF7A5A"/>
    <w:rsid w:val="00E0068D"/>
    <w:rsid w:val="00E0306F"/>
    <w:rsid w:val="00E031E6"/>
    <w:rsid w:val="00E03D7B"/>
    <w:rsid w:val="00E0403E"/>
    <w:rsid w:val="00E0441A"/>
    <w:rsid w:val="00E045B1"/>
    <w:rsid w:val="00E0526F"/>
    <w:rsid w:val="00E064BA"/>
    <w:rsid w:val="00E06BEC"/>
    <w:rsid w:val="00E06D46"/>
    <w:rsid w:val="00E070E6"/>
    <w:rsid w:val="00E109DB"/>
    <w:rsid w:val="00E11EAC"/>
    <w:rsid w:val="00E13BFC"/>
    <w:rsid w:val="00E13F4B"/>
    <w:rsid w:val="00E142AD"/>
    <w:rsid w:val="00E14A88"/>
    <w:rsid w:val="00E15BD5"/>
    <w:rsid w:val="00E201B2"/>
    <w:rsid w:val="00E202B6"/>
    <w:rsid w:val="00E2333C"/>
    <w:rsid w:val="00E248A5"/>
    <w:rsid w:val="00E26047"/>
    <w:rsid w:val="00E26FA8"/>
    <w:rsid w:val="00E31AE0"/>
    <w:rsid w:val="00E330E3"/>
    <w:rsid w:val="00E333F7"/>
    <w:rsid w:val="00E34007"/>
    <w:rsid w:val="00E361C3"/>
    <w:rsid w:val="00E3664D"/>
    <w:rsid w:val="00E36DD5"/>
    <w:rsid w:val="00E37480"/>
    <w:rsid w:val="00E37C75"/>
    <w:rsid w:val="00E40B07"/>
    <w:rsid w:val="00E419FE"/>
    <w:rsid w:val="00E42A22"/>
    <w:rsid w:val="00E42C34"/>
    <w:rsid w:val="00E46B3A"/>
    <w:rsid w:val="00E50518"/>
    <w:rsid w:val="00E538B8"/>
    <w:rsid w:val="00E5418B"/>
    <w:rsid w:val="00E543AB"/>
    <w:rsid w:val="00E5520C"/>
    <w:rsid w:val="00E5570D"/>
    <w:rsid w:val="00E55AD4"/>
    <w:rsid w:val="00E55AF7"/>
    <w:rsid w:val="00E55D4F"/>
    <w:rsid w:val="00E56764"/>
    <w:rsid w:val="00E573D5"/>
    <w:rsid w:val="00E5749C"/>
    <w:rsid w:val="00E60802"/>
    <w:rsid w:val="00E60BF6"/>
    <w:rsid w:val="00E61250"/>
    <w:rsid w:val="00E632AF"/>
    <w:rsid w:val="00E648A3"/>
    <w:rsid w:val="00E65557"/>
    <w:rsid w:val="00E65B0C"/>
    <w:rsid w:val="00E719BE"/>
    <w:rsid w:val="00E72AD6"/>
    <w:rsid w:val="00E73F5B"/>
    <w:rsid w:val="00E76E29"/>
    <w:rsid w:val="00E81FF7"/>
    <w:rsid w:val="00E82EEF"/>
    <w:rsid w:val="00E8481E"/>
    <w:rsid w:val="00E84EAD"/>
    <w:rsid w:val="00E852D6"/>
    <w:rsid w:val="00E86D43"/>
    <w:rsid w:val="00E90ECD"/>
    <w:rsid w:val="00E910F1"/>
    <w:rsid w:val="00E93046"/>
    <w:rsid w:val="00E94FA3"/>
    <w:rsid w:val="00E95B02"/>
    <w:rsid w:val="00E96147"/>
    <w:rsid w:val="00E973F0"/>
    <w:rsid w:val="00EA1F7A"/>
    <w:rsid w:val="00EA268B"/>
    <w:rsid w:val="00EA3A73"/>
    <w:rsid w:val="00EA4759"/>
    <w:rsid w:val="00EA5962"/>
    <w:rsid w:val="00EA5FD1"/>
    <w:rsid w:val="00EA6C4A"/>
    <w:rsid w:val="00EA7149"/>
    <w:rsid w:val="00EA7ED4"/>
    <w:rsid w:val="00EB1262"/>
    <w:rsid w:val="00EB14A7"/>
    <w:rsid w:val="00EB194D"/>
    <w:rsid w:val="00EB1BC4"/>
    <w:rsid w:val="00EB2651"/>
    <w:rsid w:val="00EB3004"/>
    <w:rsid w:val="00EB4E88"/>
    <w:rsid w:val="00EB5AA3"/>
    <w:rsid w:val="00EC06AF"/>
    <w:rsid w:val="00EC0BC8"/>
    <w:rsid w:val="00EC210D"/>
    <w:rsid w:val="00EC3A9D"/>
    <w:rsid w:val="00EC3E81"/>
    <w:rsid w:val="00EC46B1"/>
    <w:rsid w:val="00EC5175"/>
    <w:rsid w:val="00EC5C7C"/>
    <w:rsid w:val="00EC6221"/>
    <w:rsid w:val="00ED21A5"/>
    <w:rsid w:val="00ED2DC4"/>
    <w:rsid w:val="00ED3BBC"/>
    <w:rsid w:val="00ED4396"/>
    <w:rsid w:val="00ED4DDA"/>
    <w:rsid w:val="00ED56F8"/>
    <w:rsid w:val="00ED6EA5"/>
    <w:rsid w:val="00ED73CF"/>
    <w:rsid w:val="00EE2C68"/>
    <w:rsid w:val="00EE516E"/>
    <w:rsid w:val="00EE58EF"/>
    <w:rsid w:val="00EE6725"/>
    <w:rsid w:val="00EE7B1B"/>
    <w:rsid w:val="00EF0DC8"/>
    <w:rsid w:val="00EF30B2"/>
    <w:rsid w:val="00EF32FE"/>
    <w:rsid w:val="00EF3591"/>
    <w:rsid w:val="00EF4903"/>
    <w:rsid w:val="00EF5D02"/>
    <w:rsid w:val="00EF67A0"/>
    <w:rsid w:val="00EF7651"/>
    <w:rsid w:val="00EF7A24"/>
    <w:rsid w:val="00F00225"/>
    <w:rsid w:val="00F0035F"/>
    <w:rsid w:val="00F00581"/>
    <w:rsid w:val="00F0156A"/>
    <w:rsid w:val="00F01F95"/>
    <w:rsid w:val="00F02ADF"/>
    <w:rsid w:val="00F02B78"/>
    <w:rsid w:val="00F02EBA"/>
    <w:rsid w:val="00F03551"/>
    <w:rsid w:val="00F0404F"/>
    <w:rsid w:val="00F04FCB"/>
    <w:rsid w:val="00F05444"/>
    <w:rsid w:val="00F05ED6"/>
    <w:rsid w:val="00F07D78"/>
    <w:rsid w:val="00F07EF4"/>
    <w:rsid w:val="00F120A9"/>
    <w:rsid w:val="00F12107"/>
    <w:rsid w:val="00F1239A"/>
    <w:rsid w:val="00F12853"/>
    <w:rsid w:val="00F12A56"/>
    <w:rsid w:val="00F13D94"/>
    <w:rsid w:val="00F14BE1"/>
    <w:rsid w:val="00F14C5D"/>
    <w:rsid w:val="00F15933"/>
    <w:rsid w:val="00F17308"/>
    <w:rsid w:val="00F1768A"/>
    <w:rsid w:val="00F17968"/>
    <w:rsid w:val="00F179D4"/>
    <w:rsid w:val="00F2123F"/>
    <w:rsid w:val="00F22320"/>
    <w:rsid w:val="00F23016"/>
    <w:rsid w:val="00F244D0"/>
    <w:rsid w:val="00F24C96"/>
    <w:rsid w:val="00F26018"/>
    <w:rsid w:val="00F26B9D"/>
    <w:rsid w:val="00F26E9D"/>
    <w:rsid w:val="00F312C6"/>
    <w:rsid w:val="00F338D2"/>
    <w:rsid w:val="00F33997"/>
    <w:rsid w:val="00F358DD"/>
    <w:rsid w:val="00F361CF"/>
    <w:rsid w:val="00F3655D"/>
    <w:rsid w:val="00F37575"/>
    <w:rsid w:val="00F37A8C"/>
    <w:rsid w:val="00F37C9C"/>
    <w:rsid w:val="00F40739"/>
    <w:rsid w:val="00F408F5"/>
    <w:rsid w:val="00F422EC"/>
    <w:rsid w:val="00F42553"/>
    <w:rsid w:val="00F43701"/>
    <w:rsid w:val="00F44A3E"/>
    <w:rsid w:val="00F47E06"/>
    <w:rsid w:val="00F5053C"/>
    <w:rsid w:val="00F505EF"/>
    <w:rsid w:val="00F5142B"/>
    <w:rsid w:val="00F534F7"/>
    <w:rsid w:val="00F53BB7"/>
    <w:rsid w:val="00F544E4"/>
    <w:rsid w:val="00F54A97"/>
    <w:rsid w:val="00F55641"/>
    <w:rsid w:val="00F579A1"/>
    <w:rsid w:val="00F60855"/>
    <w:rsid w:val="00F621DD"/>
    <w:rsid w:val="00F6223C"/>
    <w:rsid w:val="00F63255"/>
    <w:rsid w:val="00F63A0D"/>
    <w:rsid w:val="00F64F09"/>
    <w:rsid w:val="00F65175"/>
    <w:rsid w:val="00F65414"/>
    <w:rsid w:val="00F65D6A"/>
    <w:rsid w:val="00F668EF"/>
    <w:rsid w:val="00F66AED"/>
    <w:rsid w:val="00F678C6"/>
    <w:rsid w:val="00F7005B"/>
    <w:rsid w:val="00F71AD3"/>
    <w:rsid w:val="00F7255B"/>
    <w:rsid w:val="00F731C9"/>
    <w:rsid w:val="00F734BD"/>
    <w:rsid w:val="00F7392B"/>
    <w:rsid w:val="00F7442F"/>
    <w:rsid w:val="00F8359F"/>
    <w:rsid w:val="00F83A47"/>
    <w:rsid w:val="00F85136"/>
    <w:rsid w:val="00F85444"/>
    <w:rsid w:val="00F856A4"/>
    <w:rsid w:val="00F867BE"/>
    <w:rsid w:val="00F86DA4"/>
    <w:rsid w:val="00F87720"/>
    <w:rsid w:val="00F9026C"/>
    <w:rsid w:val="00F913E4"/>
    <w:rsid w:val="00F93A1C"/>
    <w:rsid w:val="00F945B6"/>
    <w:rsid w:val="00F94DC9"/>
    <w:rsid w:val="00F95D16"/>
    <w:rsid w:val="00FA004C"/>
    <w:rsid w:val="00FA073B"/>
    <w:rsid w:val="00FA13DB"/>
    <w:rsid w:val="00FA2161"/>
    <w:rsid w:val="00FA3048"/>
    <w:rsid w:val="00FA3B64"/>
    <w:rsid w:val="00FA4C47"/>
    <w:rsid w:val="00FA4E93"/>
    <w:rsid w:val="00FA63F3"/>
    <w:rsid w:val="00FB20C5"/>
    <w:rsid w:val="00FB48DD"/>
    <w:rsid w:val="00FB4A7A"/>
    <w:rsid w:val="00FB66B1"/>
    <w:rsid w:val="00FB7226"/>
    <w:rsid w:val="00FC0EB5"/>
    <w:rsid w:val="00FC12FC"/>
    <w:rsid w:val="00FC1766"/>
    <w:rsid w:val="00FC185D"/>
    <w:rsid w:val="00FC3DBB"/>
    <w:rsid w:val="00FC41E5"/>
    <w:rsid w:val="00FC7F7F"/>
    <w:rsid w:val="00FD0109"/>
    <w:rsid w:val="00FD02AE"/>
    <w:rsid w:val="00FD02B0"/>
    <w:rsid w:val="00FD0D37"/>
    <w:rsid w:val="00FD0E29"/>
    <w:rsid w:val="00FD3300"/>
    <w:rsid w:val="00FD33E5"/>
    <w:rsid w:val="00FD401D"/>
    <w:rsid w:val="00FD47A0"/>
    <w:rsid w:val="00FD548A"/>
    <w:rsid w:val="00FD5FC9"/>
    <w:rsid w:val="00FD6A0C"/>
    <w:rsid w:val="00FE23EA"/>
    <w:rsid w:val="00FE2843"/>
    <w:rsid w:val="00FE54FB"/>
    <w:rsid w:val="00FE7139"/>
    <w:rsid w:val="00FF0440"/>
    <w:rsid w:val="00FF088D"/>
    <w:rsid w:val="00FF1B84"/>
    <w:rsid w:val="00FF46A3"/>
    <w:rsid w:val="00FF4938"/>
    <w:rsid w:val="00FF61D6"/>
    <w:rsid w:val="00FF6D44"/>
    <w:rsid w:val="00FF7D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78"/>
  </w:style>
  <w:style w:type="paragraph" w:styleId="Ttulo1">
    <w:name w:val="heading 1"/>
    <w:basedOn w:val="Normal"/>
    <w:next w:val="Normal"/>
    <w:link w:val="Ttulo1Char"/>
    <w:qFormat/>
    <w:rsid w:val="00D70800"/>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36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0800"/>
    <w:rPr>
      <w:rFonts w:ascii="Times New Roman" w:eastAsia="Times New Roman" w:hAnsi="Times New Roman" w:cs="Times New Roman"/>
      <w:b/>
      <w:sz w:val="24"/>
      <w:szCs w:val="20"/>
      <w:lang w:eastAsia="pt-BR"/>
    </w:rPr>
  </w:style>
  <w:style w:type="paragraph" w:styleId="PargrafodaLista">
    <w:name w:val="List Paragraph"/>
    <w:aliases w:val="Estilo 1"/>
    <w:basedOn w:val="Ttulo1"/>
    <w:next w:val="TextosemFormatao"/>
    <w:link w:val="PargrafodaListaChar"/>
    <w:uiPriority w:val="34"/>
    <w:qFormat/>
    <w:rsid w:val="00683DD9"/>
    <w:pPr>
      <w:numPr>
        <w:numId w:val="1"/>
      </w:numPr>
      <w:spacing w:before="240" w:after="120"/>
      <w:contextualSpacing/>
      <w:jc w:val="left"/>
    </w:pPr>
    <w:rPr>
      <w:sz w:val="28"/>
    </w:rPr>
  </w:style>
  <w:style w:type="paragraph" w:styleId="TextosemFormatao">
    <w:name w:val="Plain Text"/>
    <w:basedOn w:val="Normal"/>
    <w:link w:val="TextosemFormataoChar"/>
    <w:uiPriority w:val="99"/>
    <w:unhideWhenUsed/>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34"/>
    <w:rsid w:val="00683DD9"/>
    <w:rPr>
      <w:rFonts w:ascii="Times New Roman" w:eastAsia="Times New Roman" w:hAnsi="Times New Roman" w:cs="Times New Roman"/>
      <w:b/>
      <w:noProof/>
      <w:sz w:val="28"/>
      <w:szCs w:val="20"/>
      <w:lang w:eastAsia="pt-BR"/>
    </w:rPr>
  </w:style>
  <w:style w:type="character" w:customStyle="1" w:styleId="Sumrio1Char">
    <w:name w:val="Sumário 1 Char"/>
    <w:basedOn w:val="Fontepargpadro"/>
    <w:link w:val="Sumrio1"/>
    <w:uiPriority w:val="39"/>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39"/>
    <w:unhideWhenUsed/>
    <w:rsid w:val="0067170E"/>
    <w:pPr>
      <w:tabs>
        <w:tab w:val="left" w:pos="440"/>
        <w:tab w:val="right" w:leader="dot" w:pos="8494"/>
      </w:tabs>
      <w:spacing w:after="120"/>
    </w:pPr>
    <w:rPr>
      <w:rFonts w:ascii="Times New Roman" w:hAnsi="Times New Roman" w:cs="Times New Roman"/>
      <w:noProof/>
      <w:sz w:val="24"/>
      <w:szCs w:val="24"/>
    </w:rPr>
  </w:style>
  <w:style w:type="table" w:styleId="Tabelacomgrade">
    <w:name w:val="Table Grid"/>
    <w:basedOn w:val="Tabelanormal"/>
    <w:uiPriority w:val="59"/>
    <w:rsid w:val="008C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unhideWhenUsed/>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0B5B8F"/>
    <w:rPr>
      <w:sz w:val="20"/>
      <w:szCs w:val="20"/>
    </w:rPr>
  </w:style>
  <w:style w:type="character" w:styleId="Refdenotaderodap">
    <w:name w:val="footnote reference"/>
    <w:basedOn w:val="Fontepargpadro"/>
    <w:unhideWhenUsed/>
    <w:rsid w:val="000B5B8F"/>
    <w:rPr>
      <w:vertAlign w:val="superscript"/>
    </w:rPr>
  </w:style>
  <w:style w:type="paragraph" w:styleId="Cabealho">
    <w:name w:val="header"/>
    <w:basedOn w:val="Normal"/>
    <w:link w:val="CabealhoChar"/>
    <w:unhideWhenUsed/>
    <w:rsid w:val="000115E4"/>
    <w:pPr>
      <w:tabs>
        <w:tab w:val="center" w:pos="4252"/>
        <w:tab w:val="right" w:pos="8504"/>
      </w:tabs>
      <w:spacing w:after="0" w:line="240" w:lineRule="auto"/>
    </w:pPr>
  </w:style>
  <w:style w:type="character" w:customStyle="1" w:styleId="CabealhoChar">
    <w:name w:val="Cabeçalho Char"/>
    <w:basedOn w:val="Fontepargpadro"/>
    <w:link w:val="Cabealho"/>
    <w:rsid w:val="000115E4"/>
  </w:style>
  <w:style w:type="paragraph" w:styleId="Rodap">
    <w:name w:val="footer"/>
    <w:basedOn w:val="Normal"/>
    <w:link w:val="RodapChar"/>
    <w:uiPriority w:val="99"/>
    <w:unhideWhenUsed/>
    <w:rsid w:val="000115E4"/>
    <w:pPr>
      <w:tabs>
        <w:tab w:val="center" w:pos="4252"/>
        <w:tab w:val="right" w:pos="8504"/>
      </w:tabs>
      <w:spacing w:after="0" w:line="240" w:lineRule="auto"/>
    </w:pPr>
  </w:style>
  <w:style w:type="character" w:customStyle="1" w:styleId="RodapChar">
    <w:name w:val="Rodapé Char"/>
    <w:basedOn w:val="Fontepargpadro"/>
    <w:link w:val="Rodap"/>
    <w:uiPriority w:val="99"/>
    <w:rsid w:val="000115E4"/>
  </w:style>
  <w:style w:type="character" w:styleId="nfase">
    <w:name w:val="Emphasis"/>
    <w:basedOn w:val="Fontepargpadro"/>
    <w:uiPriority w:val="20"/>
    <w:qFormat/>
    <w:rsid w:val="005A58FA"/>
    <w:rPr>
      <w:i/>
      <w:iCs/>
    </w:rPr>
  </w:style>
  <w:style w:type="paragraph" w:customStyle="1" w:styleId="Epgrafe">
    <w:name w:val="#Epígrafe"/>
    <w:basedOn w:val="Normal"/>
    <w:autoRedefine/>
    <w:qFormat/>
    <w:rsid w:val="00A02CD6"/>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7A5E33"/>
    <w:rPr>
      <w:color w:val="0000FF" w:themeColor="hyperlink"/>
      <w:u w:val="single"/>
    </w:rPr>
  </w:style>
  <w:style w:type="paragraph" w:styleId="CabealhodoSumrio">
    <w:name w:val="TOC Heading"/>
    <w:basedOn w:val="Ttulo1"/>
    <w:next w:val="Normal"/>
    <w:uiPriority w:val="39"/>
    <w:semiHidden/>
    <w:unhideWhenUsed/>
    <w:qFormat/>
    <w:rsid w:val="00070B8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70B87"/>
    <w:rPr>
      <w:rFonts w:ascii="Tahoma" w:hAnsi="Tahoma" w:cs="Tahoma"/>
      <w:sz w:val="16"/>
      <w:szCs w:val="16"/>
    </w:rPr>
  </w:style>
  <w:style w:type="paragraph" w:styleId="Subttulo">
    <w:name w:val="Subtitle"/>
    <w:basedOn w:val="Normal"/>
    <w:next w:val="Normal"/>
    <w:link w:val="SubttuloChar"/>
    <w:uiPriority w:val="11"/>
    <w:qFormat/>
    <w:rsid w:val="00B7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B719F4"/>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683D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683DD9"/>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D44C3"/>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7005DD"/>
    <w:rPr>
      <w:i/>
      <w:iCs/>
    </w:rPr>
  </w:style>
  <w:style w:type="paragraph" w:styleId="NormalWeb">
    <w:name w:val="Normal (Web)"/>
    <w:basedOn w:val="Normal"/>
    <w:uiPriority w:val="99"/>
    <w:semiHidden/>
    <w:unhideWhenUsed/>
    <w:rsid w:val="004909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7BFC"/>
  </w:style>
  <w:style w:type="paragraph" w:styleId="Corpodetexto">
    <w:name w:val="Body Text"/>
    <w:basedOn w:val="Normal"/>
    <w:link w:val="CorpodetextoChar"/>
    <w:semiHidden/>
    <w:rsid w:val="00C23853"/>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C23853"/>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7B729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6137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2557C"/>
    <w:rPr>
      <w:color w:val="800080"/>
      <w:u w:val="single"/>
    </w:rPr>
  </w:style>
  <w:style w:type="paragraph" w:customStyle="1" w:styleId="font5">
    <w:name w:val="font5"/>
    <w:basedOn w:val="Normal"/>
    <w:rsid w:val="0052557C"/>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2557C"/>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2557C"/>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2557C"/>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2557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2557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2557C"/>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3631A1"/>
    <w:rPr>
      <w:rFonts w:asciiTheme="majorHAnsi" w:eastAsiaTheme="majorEastAsia" w:hAnsiTheme="majorHAnsi" w:cstheme="majorBidi"/>
      <w:b/>
      <w:bCs/>
      <w:color w:val="4F81BD" w:themeColor="accent1"/>
      <w:sz w:val="26"/>
      <w:szCs w:val="26"/>
    </w:rPr>
  </w:style>
  <w:style w:type="character" w:styleId="Refdecomentrio">
    <w:name w:val="annotation reference"/>
    <w:basedOn w:val="Fontepargpadro"/>
    <w:uiPriority w:val="99"/>
    <w:semiHidden/>
    <w:unhideWhenUsed/>
    <w:rsid w:val="00E852D6"/>
    <w:rPr>
      <w:sz w:val="16"/>
      <w:szCs w:val="16"/>
    </w:rPr>
  </w:style>
  <w:style w:type="paragraph" w:styleId="Textodecomentrio">
    <w:name w:val="annotation text"/>
    <w:basedOn w:val="Normal"/>
    <w:link w:val="TextodecomentrioChar"/>
    <w:uiPriority w:val="99"/>
    <w:semiHidden/>
    <w:unhideWhenUsed/>
    <w:rsid w:val="00E852D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852D6"/>
    <w:rPr>
      <w:sz w:val="20"/>
      <w:szCs w:val="20"/>
    </w:rPr>
  </w:style>
  <w:style w:type="paragraph" w:styleId="Assuntodocomentrio">
    <w:name w:val="annotation subject"/>
    <w:basedOn w:val="Textodecomentrio"/>
    <w:next w:val="Textodecomentrio"/>
    <w:link w:val="AssuntodocomentrioChar"/>
    <w:uiPriority w:val="99"/>
    <w:semiHidden/>
    <w:unhideWhenUsed/>
    <w:rsid w:val="00E852D6"/>
    <w:rPr>
      <w:b/>
      <w:bCs/>
    </w:rPr>
  </w:style>
  <w:style w:type="character" w:customStyle="1" w:styleId="AssuntodocomentrioChar">
    <w:name w:val="Assunto do comentário Char"/>
    <w:basedOn w:val="TextodecomentrioChar"/>
    <w:link w:val="Assuntodocomentrio"/>
    <w:uiPriority w:val="99"/>
    <w:semiHidden/>
    <w:rsid w:val="00E852D6"/>
    <w:rPr>
      <w:b/>
      <w:bCs/>
      <w:sz w:val="20"/>
      <w:szCs w:val="20"/>
    </w:rPr>
  </w:style>
  <w:style w:type="paragraph" w:styleId="Sumrio2">
    <w:name w:val="toc 2"/>
    <w:basedOn w:val="Normal"/>
    <w:next w:val="Normal"/>
    <w:autoRedefine/>
    <w:uiPriority w:val="39"/>
    <w:unhideWhenUsed/>
    <w:rsid w:val="00AB00D6"/>
    <w:pPr>
      <w:spacing w:after="100"/>
      <w:ind w:left="220"/>
    </w:pPr>
  </w:style>
  <w:style w:type="paragraph" w:styleId="Pr-formataoHTML">
    <w:name w:val="HTML Preformatted"/>
    <w:basedOn w:val="Normal"/>
    <w:link w:val="Pr-formataoHTMLChar"/>
    <w:uiPriority w:val="99"/>
    <w:semiHidden/>
    <w:unhideWhenUsed/>
    <w:rsid w:val="00305CF8"/>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305CF8"/>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78"/>
  </w:style>
  <w:style w:type="paragraph" w:styleId="Ttulo1">
    <w:name w:val="heading 1"/>
    <w:basedOn w:val="Normal"/>
    <w:next w:val="Normal"/>
    <w:link w:val="Ttulo1Char"/>
    <w:qFormat/>
    <w:rsid w:val="00D70800"/>
    <w:pPr>
      <w:keepNext/>
      <w:spacing w:after="0" w:line="240" w:lineRule="auto"/>
      <w:jc w:val="center"/>
      <w:outlineLvl w:val="0"/>
    </w:pPr>
    <w:rPr>
      <w:rFonts w:ascii="Times New Roman" w:eastAsia="Times New Roman" w:hAnsi="Times New Roman" w:cs="Times New Roman"/>
      <w:b/>
      <w:sz w:val="24"/>
      <w:szCs w:val="20"/>
      <w:lang w:eastAsia="pt-BR"/>
    </w:rPr>
  </w:style>
  <w:style w:type="paragraph" w:styleId="Ttulo2">
    <w:name w:val="heading 2"/>
    <w:basedOn w:val="Normal"/>
    <w:next w:val="Normal"/>
    <w:link w:val="Ttulo2Char"/>
    <w:uiPriority w:val="9"/>
    <w:semiHidden/>
    <w:unhideWhenUsed/>
    <w:qFormat/>
    <w:rsid w:val="0036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70800"/>
    <w:rPr>
      <w:rFonts w:ascii="Times New Roman" w:eastAsia="Times New Roman" w:hAnsi="Times New Roman" w:cs="Times New Roman"/>
      <w:b/>
      <w:sz w:val="24"/>
      <w:szCs w:val="20"/>
      <w:lang w:eastAsia="pt-BR"/>
    </w:rPr>
  </w:style>
  <w:style w:type="paragraph" w:styleId="PargrafodaLista">
    <w:name w:val="List Paragraph"/>
    <w:aliases w:val="Estilo 1"/>
    <w:basedOn w:val="Ttulo1"/>
    <w:next w:val="TextosemFormatao"/>
    <w:link w:val="PargrafodaListaChar"/>
    <w:uiPriority w:val="34"/>
    <w:qFormat/>
    <w:rsid w:val="00683DD9"/>
    <w:pPr>
      <w:numPr>
        <w:numId w:val="1"/>
      </w:numPr>
      <w:spacing w:before="240" w:after="120"/>
      <w:contextualSpacing/>
      <w:jc w:val="left"/>
    </w:pPr>
    <w:rPr>
      <w:sz w:val="28"/>
    </w:rPr>
  </w:style>
  <w:style w:type="paragraph" w:styleId="TextosemFormatao">
    <w:name w:val="Plain Text"/>
    <w:basedOn w:val="Normal"/>
    <w:link w:val="TextosemFormataoChar"/>
    <w:uiPriority w:val="99"/>
    <w:unhideWhenUsed/>
    <w:rsid w:val="00683DD9"/>
    <w:pPr>
      <w:spacing w:after="0" w:line="240" w:lineRule="auto"/>
    </w:pPr>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683DD9"/>
    <w:rPr>
      <w:rFonts w:ascii="Consolas" w:hAnsi="Consolas" w:cs="Consolas"/>
      <w:sz w:val="21"/>
      <w:szCs w:val="21"/>
    </w:rPr>
  </w:style>
  <w:style w:type="character" w:customStyle="1" w:styleId="PargrafodaListaChar">
    <w:name w:val="Parágrafo da Lista Char"/>
    <w:aliases w:val="Estilo 1 Char"/>
    <w:basedOn w:val="Sumrio1Char"/>
    <w:link w:val="PargrafodaLista"/>
    <w:uiPriority w:val="34"/>
    <w:rsid w:val="00683DD9"/>
    <w:rPr>
      <w:rFonts w:ascii="Times New Roman" w:eastAsia="Times New Roman" w:hAnsi="Times New Roman" w:cs="Times New Roman"/>
      <w:b/>
      <w:noProof/>
      <w:sz w:val="28"/>
      <w:szCs w:val="20"/>
      <w:lang w:eastAsia="pt-BR"/>
    </w:rPr>
  </w:style>
  <w:style w:type="character" w:customStyle="1" w:styleId="Sumrio1Char">
    <w:name w:val="Sumário 1 Char"/>
    <w:basedOn w:val="Fontepargpadro"/>
    <w:link w:val="Sumrio1"/>
    <w:uiPriority w:val="39"/>
    <w:rsid w:val="0067170E"/>
    <w:rPr>
      <w:rFonts w:ascii="Times New Roman" w:hAnsi="Times New Roman" w:cs="Times New Roman"/>
      <w:noProof/>
      <w:sz w:val="24"/>
      <w:szCs w:val="24"/>
    </w:rPr>
  </w:style>
  <w:style w:type="paragraph" w:styleId="Sumrio1">
    <w:name w:val="toc 1"/>
    <w:basedOn w:val="Normal"/>
    <w:next w:val="Normal"/>
    <w:link w:val="Sumrio1Char"/>
    <w:autoRedefine/>
    <w:uiPriority w:val="39"/>
    <w:unhideWhenUsed/>
    <w:rsid w:val="0067170E"/>
    <w:pPr>
      <w:tabs>
        <w:tab w:val="left" w:pos="440"/>
        <w:tab w:val="right" w:leader="dot" w:pos="8494"/>
      </w:tabs>
      <w:spacing w:after="120"/>
    </w:pPr>
    <w:rPr>
      <w:rFonts w:ascii="Times New Roman" w:hAnsi="Times New Roman" w:cs="Times New Roman"/>
      <w:noProof/>
      <w:sz w:val="24"/>
      <w:szCs w:val="24"/>
    </w:rPr>
  </w:style>
  <w:style w:type="table" w:styleId="Tabelacomgrade">
    <w:name w:val="Table Grid"/>
    <w:basedOn w:val="Tabelanormal"/>
    <w:uiPriority w:val="59"/>
    <w:rsid w:val="008C7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unhideWhenUsed/>
    <w:rsid w:val="000B5B8F"/>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0B5B8F"/>
    <w:rPr>
      <w:sz w:val="20"/>
      <w:szCs w:val="20"/>
    </w:rPr>
  </w:style>
  <w:style w:type="character" w:styleId="Refdenotaderodap">
    <w:name w:val="footnote reference"/>
    <w:basedOn w:val="Fontepargpadro"/>
    <w:unhideWhenUsed/>
    <w:rsid w:val="000B5B8F"/>
    <w:rPr>
      <w:vertAlign w:val="superscript"/>
    </w:rPr>
  </w:style>
  <w:style w:type="paragraph" w:styleId="Cabealho">
    <w:name w:val="header"/>
    <w:basedOn w:val="Normal"/>
    <w:link w:val="CabealhoChar"/>
    <w:unhideWhenUsed/>
    <w:rsid w:val="000115E4"/>
    <w:pPr>
      <w:tabs>
        <w:tab w:val="center" w:pos="4252"/>
        <w:tab w:val="right" w:pos="8504"/>
      </w:tabs>
      <w:spacing w:after="0" w:line="240" w:lineRule="auto"/>
    </w:pPr>
  </w:style>
  <w:style w:type="character" w:customStyle="1" w:styleId="CabealhoChar">
    <w:name w:val="Cabeçalho Char"/>
    <w:basedOn w:val="Fontepargpadro"/>
    <w:link w:val="Cabealho"/>
    <w:rsid w:val="000115E4"/>
  </w:style>
  <w:style w:type="paragraph" w:styleId="Rodap">
    <w:name w:val="footer"/>
    <w:basedOn w:val="Normal"/>
    <w:link w:val="RodapChar"/>
    <w:uiPriority w:val="99"/>
    <w:unhideWhenUsed/>
    <w:rsid w:val="000115E4"/>
    <w:pPr>
      <w:tabs>
        <w:tab w:val="center" w:pos="4252"/>
        <w:tab w:val="right" w:pos="8504"/>
      </w:tabs>
      <w:spacing w:after="0" w:line="240" w:lineRule="auto"/>
    </w:pPr>
  </w:style>
  <w:style w:type="character" w:customStyle="1" w:styleId="RodapChar">
    <w:name w:val="Rodapé Char"/>
    <w:basedOn w:val="Fontepargpadro"/>
    <w:link w:val="Rodap"/>
    <w:uiPriority w:val="99"/>
    <w:rsid w:val="000115E4"/>
  </w:style>
  <w:style w:type="character" w:styleId="nfase">
    <w:name w:val="Emphasis"/>
    <w:basedOn w:val="Fontepargpadro"/>
    <w:uiPriority w:val="20"/>
    <w:qFormat/>
    <w:rsid w:val="005A58FA"/>
    <w:rPr>
      <w:i/>
      <w:iCs/>
    </w:rPr>
  </w:style>
  <w:style w:type="paragraph" w:customStyle="1" w:styleId="Epgrafe">
    <w:name w:val="#Epígrafe"/>
    <w:basedOn w:val="Normal"/>
    <w:autoRedefine/>
    <w:qFormat/>
    <w:rsid w:val="00A02CD6"/>
    <w:pPr>
      <w:widowControl w:val="0"/>
      <w:suppressAutoHyphens/>
      <w:spacing w:before="120" w:after="90" w:line="240" w:lineRule="auto"/>
      <w:jc w:val="center"/>
    </w:pPr>
    <w:rPr>
      <w:rFonts w:ascii="Times New Roman" w:eastAsia="Calibri" w:hAnsi="Times New Roman" w:cs="Times New Roman"/>
      <w:b/>
      <w:caps/>
      <w:color w:val="0070C0"/>
      <w:sz w:val="36"/>
      <w:szCs w:val="36"/>
      <w:lang w:bidi="en-US"/>
    </w:rPr>
  </w:style>
  <w:style w:type="character" w:styleId="Hyperlink">
    <w:name w:val="Hyperlink"/>
    <w:basedOn w:val="Fontepargpadro"/>
    <w:uiPriority w:val="99"/>
    <w:unhideWhenUsed/>
    <w:rsid w:val="007A5E33"/>
    <w:rPr>
      <w:color w:val="0000FF" w:themeColor="hyperlink"/>
      <w:u w:val="single"/>
    </w:rPr>
  </w:style>
  <w:style w:type="paragraph" w:styleId="CabealhodoSumrio">
    <w:name w:val="TOC Heading"/>
    <w:basedOn w:val="Ttulo1"/>
    <w:next w:val="Normal"/>
    <w:uiPriority w:val="39"/>
    <w:semiHidden/>
    <w:unhideWhenUsed/>
    <w:qFormat/>
    <w:rsid w:val="00070B87"/>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rPr>
  </w:style>
  <w:style w:type="paragraph" w:styleId="Textodebalo">
    <w:name w:val="Balloon Text"/>
    <w:basedOn w:val="Normal"/>
    <w:link w:val="TextodebaloChar"/>
    <w:uiPriority w:val="99"/>
    <w:semiHidden/>
    <w:unhideWhenUsed/>
    <w:rsid w:val="00070B8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70B87"/>
    <w:rPr>
      <w:rFonts w:ascii="Tahoma" w:hAnsi="Tahoma" w:cs="Tahoma"/>
      <w:sz w:val="16"/>
      <w:szCs w:val="16"/>
    </w:rPr>
  </w:style>
  <w:style w:type="paragraph" w:styleId="Subttulo">
    <w:name w:val="Subtitle"/>
    <w:basedOn w:val="Normal"/>
    <w:next w:val="Normal"/>
    <w:link w:val="SubttuloChar"/>
    <w:uiPriority w:val="11"/>
    <w:qFormat/>
    <w:rsid w:val="00B719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B719F4"/>
    <w:rPr>
      <w:rFonts w:asciiTheme="majorHAnsi" w:eastAsiaTheme="majorEastAsia" w:hAnsiTheme="majorHAnsi" w:cstheme="majorBidi"/>
      <w:i/>
      <w:iCs/>
      <w:color w:val="4F81BD" w:themeColor="accent1"/>
      <w:spacing w:val="15"/>
      <w:sz w:val="24"/>
      <w:szCs w:val="24"/>
    </w:rPr>
  </w:style>
  <w:style w:type="paragraph" w:styleId="Ttulo">
    <w:name w:val="Title"/>
    <w:basedOn w:val="Normal"/>
    <w:next w:val="Normal"/>
    <w:link w:val="TtuloChar"/>
    <w:uiPriority w:val="10"/>
    <w:qFormat/>
    <w:rsid w:val="00683D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683DD9"/>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AD44C3"/>
    <w:pPr>
      <w:autoSpaceDE w:val="0"/>
      <w:autoSpaceDN w:val="0"/>
      <w:adjustRightInd w:val="0"/>
      <w:spacing w:after="0" w:line="240" w:lineRule="auto"/>
    </w:pPr>
    <w:rPr>
      <w:rFonts w:ascii="Times New Roman" w:hAnsi="Times New Roman" w:cs="Times New Roman"/>
      <w:color w:val="000000"/>
      <w:sz w:val="24"/>
      <w:szCs w:val="24"/>
    </w:rPr>
  </w:style>
  <w:style w:type="character" w:styleId="CitaoHTML">
    <w:name w:val="HTML Cite"/>
    <w:basedOn w:val="Fontepargpadro"/>
    <w:uiPriority w:val="99"/>
    <w:semiHidden/>
    <w:unhideWhenUsed/>
    <w:rsid w:val="007005DD"/>
    <w:rPr>
      <w:i/>
      <w:iCs/>
    </w:rPr>
  </w:style>
  <w:style w:type="paragraph" w:styleId="NormalWeb">
    <w:name w:val="Normal (Web)"/>
    <w:basedOn w:val="Normal"/>
    <w:uiPriority w:val="99"/>
    <w:semiHidden/>
    <w:unhideWhenUsed/>
    <w:rsid w:val="004909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467BFC"/>
  </w:style>
  <w:style w:type="paragraph" w:styleId="Corpodetexto">
    <w:name w:val="Body Text"/>
    <w:basedOn w:val="Normal"/>
    <w:link w:val="CorpodetextoChar"/>
    <w:semiHidden/>
    <w:rsid w:val="00C23853"/>
    <w:pPr>
      <w:spacing w:after="0" w:line="240" w:lineRule="auto"/>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semiHidden/>
    <w:rsid w:val="00C23853"/>
    <w:rPr>
      <w:rFonts w:ascii="Times New Roman" w:eastAsia="Times New Roman" w:hAnsi="Times New Roman" w:cs="Times New Roman"/>
      <w:sz w:val="24"/>
      <w:szCs w:val="20"/>
      <w:lang w:eastAsia="pt-BR"/>
    </w:rPr>
  </w:style>
  <w:style w:type="paragraph" w:customStyle="1" w:styleId="ecxmsonormal">
    <w:name w:val="ecxmsonormal"/>
    <w:basedOn w:val="Normal"/>
    <w:uiPriority w:val="99"/>
    <w:rsid w:val="007B729D"/>
    <w:pPr>
      <w:spacing w:after="324" w:line="240" w:lineRule="auto"/>
    </w:pPr>
    <w:rPr>
      <w:rFonts w:ascii="Times New Roman" w:eastAsia="Times New Roman" w:hAnsi="Times New Roman" w:cs="Times New Roman"/>
      <w:sz w:val="24"/>
      <w:szCs w:val="24"/>
      <w:lang w:eastAsia="pt-BR"/>
    </w:rPr>
  </w:style>
  <w:style w:type="table" w:customStyle="1" w:styleId="TabeladeGrade4-nfase11">
    <w:name w:val="Tabela de Grade 4 - Ênfase 11"/>
    <w:basedOn w:val="Tabelanormal"/>
    <w:uiPriority w:val="49"/>
    <w:rsid w:val="006137D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iperlinkVisitado">
    <w:name w:val="FollowedHyperlink"/>
    <w:basedOn w:val="Fontepargpadro"/>
    <w:uiPriority w:val="99"/>
    <w:semiHidden/>
    <w:unhideWhenUsed/>
    <w:rsid w:val="0052557C"/>
    <w:rPr>
      <w:color w:val="800080"/>
      <w:u w:val="single"/>
    </w:rPr>
  </w:style>
  <w:style w:type="paragraph" w:customStyle="1" w:styleId="font5">
    <w:name w:val="font5"/>
    <w:basedOn w:val="Normal"/>
    <w:rsid w:val="0052557C"/>
    <w:pPr>
      <w:spacing w:before="100" w:beforeAutospacing="1" w:after="100" w:afterAutospacing="1" w:line="240" w:lineRule="auto"/>
    </w:pPr>
    <w:rPr>
      <w:rFonts w:ascii="Times New Roman" w:eastAsia="Times New Roman" w:hAnsi="Times New Roman" w:cs="Times New Roman"/>
      <w:color w:val="000000"/>
      <w:sz w:val="20"/>
      <w:szCs w:val="20"/>
      <w:lang w:eastAsia="pt-BR"/>
    </w:rPr>
  </w:style>
  <w:style w:type="paragraph" w:customStyle="1" w:styleId="font6">
    <w:name w:val="font6"/>
    <w:basedOn w:val="Normal"/>
    <w:rsid w:val="0052557C"/>
    <w:pPr>
      <w:spacing w:before="100" w:beforeAutospacing="1" w:after="100" w:afterAutospacing="1" w:line="240" w:lineRule="auto"/>
    </w:pPr>
    <w:rPr>
      <w:rFonts w:ascii="Times New Roman" w:eastAsia="Times New Roman" w:hAnsi="Times New Roman" w:cs="Times New Roman"/>
      <w:i/>
      <w:iCs/>
      <w:color w:val="000000"/>
      <w:sz w:val="20"/>
      <w:szCs w:val="20"/>
      <w:lang w:eastAsia="pt-BR"/>
    </w:rPr>
  </w:style>
  <w:style w:type="paragraph" w:customStyle="1" w:styleId="font7">
    <w:name w:val="font7"/>
    <w:basedOn w:val="Normal"/>
    <w:rsid w:val="0052557C"/>
    <w:pPr>
      <w:spacing w:before="100" w:beforeAutospacing="1" w:after="100" w:afterAutospacing="1" w:line="240" w:lineRule="auto"/>
    </w:pPr>
    <w:rPr>
      <w:rFonts w:ascii="Times New Roman" w:eastAsia="Times New Roman" w:hAnsi="Times New Roman" w:cs="Times New Roman"/>
      <w:sz w:val="20"/>
      <w:szCs w:val="20"/>
      <w:lang w:eastAsia="pt-BR"/>
    </w:rPr>
  </w:style>
  <w:style w:type="paragraph" w:customStyle="1" w:styleId="font8">
    <w:name w:val="font8"/>
    <w:basedOn w:val="Normal"/>
    <w:rsid w:val="0052557C"/>
    <w:pPr>
      <w:spacing w:before="100" w:beforeAutospacing="1" w:after="100" w:afterAutospacing="1" w:line="240" w:lineRule="auto"/>
    </w:pPr>
    <w:rPr>
      <w:rFonts w:ascii="Times New Roman" w:eastAsia="Times New Roman" w:hAnsi="Times New Roman" w:cs="Times New Roman"/>
      <w:i/>
      <w:iCs/>
      <w:sz w:val="20"/>
      <w:szCs w:val="20"/>
      <w:lang w:eastAsia="pt-BR"/>
    </w:rPr>
  </w:style>
  <w:style w:type="paragraph" w:customStyle="1" w:styleId="xl63">
    <w:name w:val="xl63"/>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4">
    <w:name w:val="xl64"/>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5">
    <w:name w:val="xl65"/>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6">
    <w:name w:val="xl66"/>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7">
    <w:name w:val="xl67"/>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68">
    <w:name w:val="xl68"/>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69">
    <w:name w:val="xl69"/>
    <w:basedOn w:val="Normal"/>
    <w:rsid w:val="005255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t-BR"/>
    </w:rPr>
  </w:style>
  <w:style w:type="paragraph" w:customStyle="1" w:styleId="xl70">
    <w:name w:val="xl70"/>
    <w:basedOn w:val="Normal"/>
    <w:rsid w:val="0052557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 w:type="paragraph" w:customStyle="1" w:styleId="xl71">
    <w:name w:val="xl71"/>
    <w:basedOn w:val="Normal"/>
    <w:rsid w:val="0052557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paragraph" w:customStyle="1" w:styleId="xl72">
    <w:name w:val="xl72"/>
    <w:basedOn w:val="Normal"/>
    <w:rsid w:val="0052557C"/>
    <w:pPr>
      <w:spacing w:before="100" w:beforeAutospacing="1" w:after="100" w:afterAutospacing="1" w:line="240" w:lineRule="auto"/>
      <w:textAlignment w:val="center"/>
    </w:pPr>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3631A1"/>
    <w:rPr>
      <w:rFonts w:asciiTheme="majorHAnsi" w:eastAsiaTheme="majorEastAsia" w:hAnsiTheme="majorHAnsi" w:cstheme="majorBidi"/>
      <w:b/>
      <w:bCs/>
      <w:color w:val="4F81BD" w:themeColor="accent1"/>
      <w:sz w:val="26"/>
      <w:szCs w:val="26"/>
    </w:rPr>
  </w:style>
  <w:style w:type="character" w:styleId="Refdecomentrio">
    <w:name w:val="annotation reference"/>
    <w:basedOn w:val="Fontepargpadro"/>
    <w:uiPriority w:val="99"/>
    <w:semiHidden/>
    <w:unhideWhenUsed/>
    <w:rsid w:val="00E852D6"/>
    <w:rPr>
      <w:sz w:val="16"/>
      <w:szCs w:val="16"/>
    </w:rPr>
  </w:style>
  <w:style w:type="paragraph" w:styleId="Textodecomentrio">
    <w:name w:val="annotation text"/>
    <w:basedOn w:val="Normal"/>
    <w:link w:val="TextodecomentrioChar"/>
    <w:uiPriority w:val="99"/>
    <w:semiHidden/>
    <w:unhideWhenUsed/>
    <w:rsid w:val="00E852D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852D6"/>
    <w:rPr>
      <w:sz w:val="20"/>
      <w:szCs w:val="20"/>
    </w:rPr>
  </w:style>
  <w:style w:type="paragraph" w:styleId="Assuntodocomentrio">
    <w:name w:val="annotation subject"/>
    <w:basedOn w:val="Textodecomentrio"/>
    <w:next w:val="Textodecomentrio"/>
    <w:link w:val="AssuntodocomentrioChar"/>
    <w:uiPriority w:val="99"/>
    <w:semiHidden/>
    <w:unhideWhenUsed/>
    <w:rsid w:val="00E852D6"/>
    <w:rPr>
      <w:b/>
      <w:bCs/>
    </w:rPr>
  </w:style>
  <w:style w:type="character" w:customStyle="1" w:styleId="AssuntodocomentrioChar">
    <w:name w:val="Assunto do comentário Char"/>
    <w:basedOn w:val="TextodecomentrioChar"/>
    <w:link w:val="Assuntodocomentrio"/>
    <w:uiPriority w:val="99"/>
    <w:semiHidden/>
    <w:rsid w:val="00E852D6"/>
    <w:rPr>
      <w:b/>
      <w:bCs/>
      <w:sz w:val="20"/>
      <w:szCs w:val="20"/>
    </w:rPr>
  </w:style>
  <w:style w:type="paragraph" w:styleId="Sumrio2">
    <w:name w:val="toc 2"/>
    <w:basedOn w:val="Normal"/>
    <w:next w:val="Normal"/>
    <w:autoRedefine/>
    <w:uiPriority w:val="39"/>
    <w:unhideWhenUsed/>
    <w:rsid w:val="00AB00D6"/>
    <w:pPr>
      <w:spacing w:after="100"/>
      <w:ind w:left="220"/>
    </w:pPr>
  </w:style>
  <w:style w:type="paragraph" w:styleId="Pr-formataoHTML">
    <w:name w:val="HTML Preformatted"/>
    <w:basedOn w:val="Normal"/>
    <w:link w:val="Pr-formataoHTMLChar"/>
    <w:uiPriority w:val="99"/>
    <w:semiHidden/>
    <w:unhideWhenUsed/>
    <w:rsid w:val="00305CF8"/>
    <w:pPr>
      <w:spacing w:after="0" w:line="240" w:lineRule="auto"/>
    </w:pPr>
    <w:rPr>
      <w:rFonts w:ascii="Consolas" w:hAnsi="Consolas" w:cs="Consolas"/>
      <w:sz w:val="20"/>
      <w:szCs w:val="20"/>
    </w:rPr>
  </w:style>
  <w:style w:type="character" w:customStyle="1" w:styleId="Pr-formataoHTMLChar">
    <w:name w:val="Pré-formatação HTML Char"/>
    <w:basedOn w:val="Fontepargpadro"/>
    <w:link w:val="Pr-formataoHTML"/>
    <w:uiPriority w:val="99"/>
    <w:semiHidden/>
    <w:rsid w:val="00305CF8"/>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6262">
      <w:bodyDiv w:val="1"/>
      <w:marLeft w:val="0"/>
      <w:marRight w:val="0"/>
      <w:marTop w:val="0"/>
      <w:marBottom w:val="0"/>
      <w:divBdr>
        <w:top w:val="none" w:sz="0" w:space="0" w:color="auto"/>
        <w:left w:val="none" w:sz="0" w:space="0" w:color="auto"/>
        <w:bottom w:val="none" w:sz="0" w:space="0" w:color="auto"/>
        <w:right w:val="none" w:sz="0" w:space="0" w:color="auto"/>
      </w:divBdr>
      <w:divsChild>
        <w:div w:id="1920478393">
          <w:marLeft w:val="0"/>
          <w:marRight w:val="0"/>
          <w:marTop w:val="0"/>
          <w:marBottom w:val="0"/>
          <w:divBdr>
            <w:top w:val="none" w:sz="0" w:space="0" w:color="auto"/>
            <w:left w:val="none" w:sz="0" w:space="0" w:color="auto"/>
            <w:bottom w:val="none" w:sz="0" w:space="0" w:color="auto"/>
            <w:right w:val="none" w:sz="0" w:space="0" w:color="auto"/>
          </w:divBdr>
        </w:div>
        <w:div w:id="1484391945">
          <w:marLeft w:val="0"/>
          <w:marRight w:val="0"/>
          <w:marTop w:val="0"/>
          <w:marBottom w:val="0"/>
          <w:divBdr>
            <w:top w:val="none" w:sz="0" w:space="0" w:color="auto"/>
            <w:left w:val="none" w:sz="0" w:space="0" w:color="auto"/>
            <w:bottom w:val="none" w:sz="0" w:space="0" w:color="auto"/>
            <w:right w:val="none" w:sz="0" w:space="0" w:color="auto"/>
          </w:divBdr>
        </w:div>
        <w:div w:id="382219678">
          <w:marLeft w:val="0"/>
          <w:marRight w:val="0"/>
          <w:marTop w:val="0"/>
          <w:marBottom w:val="0"/>
          <w:divBdr>
            <w:top w:val="none" w:sz="0" w:space="0" w:color="auto"/>
            <w:left w:val="none" w:sz="0" w:space="0" w:color="auto"/>
            <w:bottom w:val="none" w:sz="0" w:space="0" w:color="auto"/>
            <w:right w:val="none" w:sz="0" w:space="0" w:color="auto"/>
          </w:divBdr>
        </w:div>
      </w:divsChild>
    </w:div>
    <w:div w:id="69086685">
      <w:bodyDiv w:val="1"/>
      <w:marLeft w:val="0"/>
      <w:marRight w:val="0"/>
      <w:marTop w:val="0"/>
      <w:marBottom w:val="0"/>
      <w:divBdr>
        <w:top w:val="none" w:sz="0" w:space="0" w:color="auto"/>
        <w:left w:val="none" w:sz="0" w:space="0" w:color="auto"/>
        <w:bottom w:val="none" w:sz="0" w:space="0" w:color="auto"/>
        <w:right w:val="none" w:sz="0" w:space="0" w:color="auto"/>
      </w:divBdr>
    </w:div>
    <w:div w:id="73282879">
      <w:bodyDiv w:val="1"/>
      <w:marLeft w:val="0"/>
      <w:marRight w:val="0"/>
      <w:marTop w:val="0"/>
      <w:marBottom w:val="0"/>
      <w:divBdr>
        <w:top w:val="none" w:sz="0" w:space="0" w:color="auto"/>
        <w:left w:val="none" w:sz="0" w:space="0" w:color="auto"/>
        <w:bottom w:val="none" w:sz="0" w:space="0" w:color="auto"/>
        <w:right w:val="none" w:sz="0" w:space="0" w:color="auto"/>
      </w:divBdr>
    </w:div>
    <w:div w:id="209155446">
      <w:bodyDiv w:val="1"/>
      <w:marLeft w:val="0"/>
      <w:marRight w:val="0"/>
      <w:marTop w:val="0"/>
      <w:marBottom w:val="0"/>
      <w:divBdr>
        <w:top w:val="none" w:sz="0" w:space="0" w:color="auto"/>
        <w:left w:val="none" w:sz="0" w:space="0" w:color="auto"/>
        <w:bottom w:val="none" w:sz="0" w:space="0" w:color="auto"/>
        <w:right w:val="none" w:sz="0" w:space="0" w:color="auto"/>
      </w:divBdr>
    </w:div>
    <w:div w:id="228226156">
      <w:bodyDiv w:val="1"/>
      <w:marLeft w:val="0"/>
      <w:marRight w:val="0"/>
      <w:marTop w:val="0"/>
      <w:marBottom w:val="0"/>
      <w:divBdr>
        <w:top w:val="none" w:sz="0" w:space="0" w:color="auto"/>
        <w:left w:val="none" w:sz="0" w:space="0" w:color="auto"/>
        <w:bottom w:val="none" w:sz="0" w:space="0" w:color="auto"/>
        <w:right w:val="none" w:sz="0" w:space="0" w:color="auto"/>
      </w:divBdr>
    </w:div>
    <w:div w:id="328410331">
      <w:bodyDiv w:val="1"/>
      <w:marLeft w:val="0"/>
      <w:marRight w:val="0"/>
      <w:marTop w:val="0"/>
      <w:marBottom w:val="0"/>
      <w:divBdr>
        <w:top w:val="none" w:sz="0" w:space="0" w:color="auto"/>
        <w:left w:val="none" w:sz="0" w:space="0" w:color="auto"/>
        <w:bottom w:val="none" w:sz="0" w:space="0" w:color="auto"/>
        <w:right w:val="none" w:sz="0" w:space="0" w:color="auto"/>
      </w:divBdr>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9185838">
          <w:marLeft w:val="0"/>
          <w:marRight w:val="0"/>
          <w:marTop w:val="0"/>
          <w:marBottom w:val="0"/>
          <w:divBdr>
            <w:top w:val="none" w:sz="0" w:space="0" w:color="auto"/>
            <w:left w:val="none" w:sz="0" w:space="0" w:color="auto"/>
            <w:bottom w:val="none" w:sz="0" w:space="0" w:color="auto"/>
            <w:right w:val="none" w:sz="0" w:space="0" w:color="auto"/>
          </w:divBdr>
        </w:div>
        <w:div w:id="24523623">
          <w:marLeft w:val="0"/>
          <w:marRight w:val="0"/>
          <w:marTop w:val="0"/>
          <w:marBottom w:val="0"/>
          <w:divBdr>
            <w:top w:val="none" w:sz="0" w:space="0" w:color="auto"/>
            <w:left w:val="none" w:sz="0" w:space="0" w:color="auto"/>
            <w:bottom w:val="none" w:sz="0" w:space="0" w:color="auto"/>
            <w:right w:val="none" w:sz="0" w:space="0" w:color="auto"/>
          </w:divBdr>
        </w:div>
        <w:div w:id="259878089">
          <w:marLeft w:val="0"/>
          <w:marRight w:val="0"/>
          <w:marTop w:val="0"/>
          <w:marBottom w:val="0"/>
          <w:divBdr>
            <w:top w:val="none" w:sz="0" w:space="0" w:color="auto"/>
            <w:left w:val="none" w:sz="0" w:space="0" w:color="auto"/>
            <w:bottom w:val="none" w:sz="0" w:space="0" w:color="auto"/>
            <w:right w:val="none" w:sz="0" w:space="0" w:color="auto"/>
          </w:divBdr>
        </w:div>
        <w:div w:id="333266976">
          <w:marLeft w:val="0"/>
          <w:marRight w:val="0"/>
          <w:marTop w:val="0"/>
          <w:marBottom w:val="0"/>
          <w:divBdr>
            <w:top w:val="none" w:sz="0" w:space="0" w:color="auto"/>
            <w:left w:val="none" w:sz="0" w:space="0" w:color="auto"/>
            <w:bottom w:val="none" w:sz="0" w:space="0" w:color="auto"/>
            <w:right w:val="none" w:sz="0" w:space="0" w:color="auto"/>
          </w:divBdr>
        </w:div>
        <w:div w:id="612250564">
          <w:marLeft w:val="0"/>
          <w:marRight w:val="0"/>
          <w:marTop w:val="0"/>
          <w:marBottom w:val="0"/>
          <w:divBdr>
            <w:top w:val="none" w:sz="0" w:space="0" w:color="auto"/>
            <w:left w:val="none" w:sz="0" w:space="0" w:color="auto"/>
            <w:bottom w:val="none" w:sz="0" w:space="0" w:color="auto"/>
            <w:right w:val="none" w:sz="0" w:space="0" w:color="auto"/>
          </w:divBdr>
        </w:div>
        <w:div w:id="793863366">
          <w:marLeft w:val="0"/>
          <w:marRight w:val="0"/>
          <w:marTop w:val="0"/>
          <w:marBottom w:val="0"/>
          <w:divBdr>
            <w:top w:val="none" w:sz="0" w:space="0" w:color="auto"/>
            <w:left w:val="none" w:sz="0" w:space="0" w:color="auto"/>
            <w:bottom w:val="none" w:sz="0" w:space="0" w:color="auto"/>
            <w:right w:val="none" w:sz="0" w:space="0" w:color="auto"/>
          </w:divBdr>
        </w:div>
        <w:div w:id="878787099">
          <w:marLeft w:val="0"/>
          <w:marRight w:val="0"/>
          <w:marTop w:val="0"/>
          <w:marBottom w:val="0"/>
          <w:divBdr>
            <w:top w:val="none" w:sz="0" w:space="0" w:color="auto"/>
            <w:left w:val="none" w:sz="0" w:space="0" w:color="auto"/>
            <w:bottom w:val="none" w:sz="0" w:space="0" w:color="auto"/>
            <w:right w:val="none" w:sz="0" w:space="0" w:color="auto"/>
          </w:divBdr>
        </w:div>
      </w:divsChild>
    </w:div>
    <w:div w:id="482427422">
      <w:bodyDiv w:val="1"/>
      <w:marLeft w:val="0"/>
      <w:marRight w:val="0"/>
      <w:marTop w:val="0"/>
      <w:marBottom w:val="0"/>
      <w:divBdr>
        <w:top w:val="none" w:sz="0" w:space="0" w:color="auto"/>
        <w:left w:val="none" w:sz="0" w:space="0" w:color="auto"/>
        <w:bottom w:val="none" w:sz="0" w:space="0" w:color="auto"/>
        <w:right w:val="none" w:sz="0" w:space="0" w:color="auto"/>
      </w:divBdr>
    </w:div>
    <w:div w:id="493230232">
      <w:bodyDiv w:val="1"/>
      <w:marLeft w:val="0"/>
      <w:marRight w:val="0"/>
      <w:marTop w:val="0"/>
      <w:marBottom w:val="0"/>
      <w:divBdr>
        <w:top w:val="none" w:sz="0" w:space="0" w:color="auto"/>
        <w:left w:val="none" w:sz="0" w:space="0" w:color="auto"/>
        <w:bottom w:val="none" w:sz="0" w:space="0" w:color="auto"/>
        <w:right w:val="none" w:sz="0" w:space="0" w:color="auto"/>
      </w:divBdr>
    </w:div>
    <w:div w:id="510340323">
      <w:bodyDiv w:val="1"/>
      <w:marLeft w:val="0"/>
      <w:marRight w:val="0"/>
      <w:marTop w:val="0"/>
      <w:marBottom w:val="0"/>
      <w:divBdr>
        <w:top w:val="none" w:sz="0" w:space="0" w:color="auto"/>
        <w:left w:val="none" w:sz="0" w:space="0" w:color="auto"/>
        <w:bottom w:val="none" w:sz="0" w:space="0" w:color="auto"/>
        <w:right w:val="none" w:sz="0" w:space="0" w:color="auto"/>
      </w:divBdr>
    </w:div>
    <w:div w:id="521549935">
      <w:bodyDiv w:val="1"/>
      <w:marLeft w:val="0"/>
      <w:marRight w:val="0"/>
      <w:marTop w:val="0"/>
      <w:marBottom w:val="0"/>
      <w:divBdr>
        <w:top w:val="none" w:sz="0" w:space="0" w:color="auto"/>
        <w:left w:val="none" w:sz="0" w:space="0" w:color="auto"/>
        <w:bottom w:val="none" w:sz="0" w:space="0" w:color="auto"/>
        <w:right w:val="none" w:sz="0" w:space="0" w:color="auto"/>
      </w:divBdr>
      <w:divsChild>
        <w:div w:id="941110470">
          <w:marLeft w:val="0"/>
          <w:marRight w:val="0"/>
          <w:marTop w:val="0"/>
          <w:marBottom w:val="0"/>
          <w:divBdr>
            <w:top w:val="none" w:sz="0" w:space="0" w:color="auto"/>
            <w:left w:val="none" w:sz="0" w:space="0" w:color="auto"/>
            <w:bottom w:val="none" w:sz="0" w:space="0" w:color="auto"/>
            <w:right w:val="none" w:sz="0" w:space="0" w:color="auto"/>
          </w:divBdr>
        </w:div>
        <w:div w:id="1256357481">
          <w:marLeft w:val="0"/>
          <w:marRight w:val="0"/>
          <w:marTop w:val="0"/>
          <w:marBottom w:val="0"/>
          <w:divBdr>
            <w:top w:val="none" w:sz="0" w:space="0" w:color="auto"/>
            <w:left w:val="none" w:sz="0" w:space="0" w:color="auto"/>
            <w:bottom w:val="none" w:sz="0" w:space="0" w:color="auto"/>
            <w:right w:val="none" w:sz="0" w:space="0" w:color="auto"/>
          </w:divBdr>
        </w:div>
      </w:divsChild>
    </w:div>
    <w:div w:id="544606564">
      <w:bodyDiv w:val="1"/>
      <w:marLeft w:val="0"/>
      <w:marRight w:val="0"/>
      <w:marTop w:val="0"/>
      <w:marBottom w:val="0"/>
      <w:divBdr>
        <w:top w:val="none" w:sz="0" w:space="0" w:color="auto"/>
        <w:left w:val="none" w:sz="0" w:space="0" w:color="auto"/>
        <w:bottom w:val="none" w:sz="0" w:space="0" w:color="auto"/>
        <w:right w:val="none" w:sz="0" w:space="0" w:color="auto"/>
      </w:divBdr>
    </w:div>
    <w:div w:id="622420973">
      <w:bodyDiv w:val="1"/>
      <w:marLeft w:val="0"/>
      <w:marRight w:val="0"/>
      <w:marTop w:val="0"/>
      <w:marBottom w:val="0"/>
      <w:divBdr>
        <w:top w:val="none" w:sz="0" w:space="0" w:color="auto"/>
        <w:left w:val="none" w:sz="0" w:space="0" w:color="auto"/>
        <w:bottom w:val="none" w:sz="0" w:space="0" w:color="auto"/>
        <w:right w:val="none" w:sz="0" w:space="0" w:color="auto"/>
      </w:divBdr>
    </w:div>
    <w:div w:id="644815894">
      <w:bodyDiv w:val="1"/>
      <w:marLeft w:val="0"/>
      <w:marRight w:val="0"/>
      <w:marTop w:val="0"/>
      <w:marBottom w:val="0"/>
      <w:divBdr>
        <w:top w:val="none" w:sz="0" w:space="0" w:color="auto"/>
        <w:left w:val="none" w:sz="0" w:space="0" w:color="auto"/>
        <w:bottom w:val="none" w:sz="0" w:space="0" w:color="auto"/>
        <w:right w:val="none" w:sz="0" w:space="0" w:color="auto"/>
      </w:divBdr>
      <w:divsChild>
        <w:div w:id="1844196198">
          <w:marLeft w:val="0"/>
          <w:marRight w:val="0"/>
          <w:marTop w:val="0"/>
          <w:marBottom w:val="0"/>
          <w:divBdr>
            <w:top w:val="none" w:sz="0" w:space="0" w:color="auto"/>
            <w:left w:val="none" w:sz="0" w:space="0" w:color="auto"/>
            <w:bottom w:val="none" w:sz="0" w:space="0" w:color="auto"/>
            <w:right w:val="none" w:sz="0" w:space="0" w:color="auto"/>
          </w:divBdr>
        </w:div>
        <w:div w:id="1763451566">
          <w:marLeft w:val="0"/>
          <w:marRight w:val="0"/>
          <w:marTop w:val="0"/>
          <w:marBottom w:val="0"/>
          <w:divBdr>
            <w:top w:val="none" w:sz="0" w:space="0" w:color="auto"/>
            <w:left w:val="none" w:sz="0" w:space="0" w:color="auto"/>
            <w:bottom w:val="none" w:sz="0" w:space="0" w:color="auto"/>
            <w:right w:val="none" w:sz="0" w:space="0" w:color="auto"/>
          </w:divBdr>
        </w:div>
        <w:div w:id="2071339725">
          <w:marLeft w:val="0"/>
          <w:marRight w:val="0"/>
          <w:marTop w:val="0"/>
          <w:marBottom w:val="0"/>
          <w:divBdr>
            <w:top w:val="none" w:sz="0" w:space="0" w:color="auto"/>
            <w:left w:val="none" w:sz="0" w:space="0" w:color="auto"/>
            <w:bottom w:val="none" w:sz="0" w:space="0" w:color="auto"/>
            <w:right w:val="none" w:sz="0" w:space="0" w:color="auto"/>
          </w:divBdr>
        </w:div>
      </w:divsChild>
    </w:div>
    <w:div w:id="741564846">
      <w:bodyDiv w:val="1"/>
      <w:marLeft w:val="0"/>
      <w:marRight w:val="0"/>
      <w:marTop w:val="0"/>
      <w:marBottom w:val="0"/>
      <w:divBdr>
        <w:top w:val="none" w:sz="0" w:space="0" w:color="auto"/>
        <w:left w:val="none" w:sz="0" w:space="0" w:color="auto"/>
        <w:bottom w:val="none" w:sz="0" w:space="0" w:color="auto"/>
        <w:right w:val="none" w:sz="0" w:space="0" w:color="auto"/>
      </w:divBdr>
    </w:div>
    <w:div w:id="862398581">
      <w:bodyDiv w:val="1"/>
      <w:marLeft w:val="0"/>
      <w:marRight w:val="0"/>
      <w:marTop w:val="0"/>
      <w:marBottom w:val="0"/>
      <w:divBdr>
        <w:top w:val="none" w:sz="0" w:space="0" w:color="auto"/>
        <w:left w:val="none" w:sz="0" w:space="0" w:color="auto"/>
        <w:bottom w:val="none" w:sz="0" w:space="0" w:color="auto"/>
        <w:right w:val="none" w:sz="0" w:space="0" w:color="auto"/>
      </w:divBdr>
    </w:div>
    <w:div w:id="969016624">
      <w:bodyDiv w:val="1"/>
      <w:marLeft w:val="0"/>
      <w:marRight w:val="0"/>
      <w:marTop w:val="0"/>
      <w:marBottom w:val="0"/>
      <w:divBdr>
        <w:top w:val="none" w:sz="0" w:space="0" w:color="auto"/>
        <w:left w:val="none" w:sz="0" w:space="0" w:color="auto"/>
        <w:bottom w:val="none" w:sz="0" w:space="0" w:color="auto"/>
        <w:right w:val="none" w:sz="0" w:space="0" w:color="auto"/>
      </w:divBdr>
    </w:div>
    <w:div w:id="969097299">
      <w:bodyDiv w:val="1"/>
      <w:marLeft w:val="0"/>
      <w:marRight w:val="0"/>
      <w:marTop w:val="0"/>
      <w:marBottom w:val="0"/>
      <w:divBdr>
        <w:top w:val="none" w:sz="0" w:space="0" w:color="auto"/>
        <w:left w:val="none" w:sz="0" w:space="0" w:color="auto"/>
        <w:bottom w:val="none" w:sz="0" w:space="0" w:color="auto"/>
        <w:right w:val="none" w:sz="0" w:space="0" w:color="auto"/>
      </w:divBdr>
    </w:div>
    <w:div w:id="1157964606">
      <w:bodyDiv w:val="1"/>
      <w:marLeft w:val="0"/>
      <w:marRight w:val="0"/>
      <w:marTop w:val="0"/>
      <w:marBottom w:val="0"/>
      <w:divBdr>
        <w:top w:val="none" w:sz="0" w:space="0" w:color="auto"/>
        <w:left w:val="none" w:sz="0" w:space="0" w:color="auto"/>
        <w:bottom w:val="none" w:sz="0" w:space="0" w:color="auto"/>
        <w:right w:val="none" w:sz="0" w:space="0" w:color="auto"/>
      </w:divBdr>
    </w:div>
    <w:div w:id="1189176970">
      <w:bodyDiv w:val="1"/>
      <w:marLeft w:val="0"/>
      <w:marRight w:val="0"/>
      <w:marTop w:val="0"/>
      <w:marBottom w:val="0"/>
      <w:divBdr>
        <w:top w:val="none" w:sz="0" w:space="0" w:color="auto"/>
        <w:left w:val="none" w:sz="0" w:space="0" w:color="auto"/>
        <w:bottom w:val="none" w:sz="0" w:space="0" w:color="auto"/>
        <w:right w:val="none" w:sz="0" w:space="0" w:color="auto"/>
      </w:divBdr>
    </w:div>
    <w:div w:id="1213269688">
      <w:bodyDiv w:val="1"/>
      <w:marLeft w:val="0"/>
      <w:marRight w:val="0"/>
      <w:marTop w:val="0"/>
      <w:marBottom w:val="0"/>
      <w:divBdr>
        <w:top w:val="none" w:sz="0" w:space="0" w:color="auto"/>
        <w:left w:val="none" w:sz="0" w:space="0" w:color="auto"/>
        <w:bottom w:val="none" w:sz="0" w:space="0" w:color="auto"/>
        <w:right w:val="none" w:sz="0" w:space="0" w:color="auto"/>
      </w:divBdr>
    </w:div>
    <w:div w:id="1245722720">
      <w:bodyDiv w:val="1"/>
      <w:marLeft w:val="0"/>
      <w:marRight w:val="0"/>
      <w:marTop w:val="0"/>
      <w:marBottom w:val="0"/>
      <w:divBdr>
        <w:top w:val="none" w:sz="0" w:space="0" w:color="auto"/>
        <w:left w:val="none" w:sz="0" w:space="0" w:color="auto"/>
        <w:bottom w:val="none" w:sz="0" w:space="0" w:color="auto"/>
        <w:right w:val="none" w:sz="0" w:space="0" w:color="auto"/>
      </w:divBdr>
    </w:div>
    <w:div w:id="1359162129">
      <w:bodyDiv w:val="1"/>
      <w:marLeft w:val="0"/>
      <w:marRight w:val="0"/>
      <w:marTop w:val="0"/>
      <w:marBottom w:val="0"/>
      <w:divBdr>
        <w:top w:val="none" w:sz="0" w:space="0" w:color="auto"/>
        <w:left w:val="none" w:sz="0" w:space="0" w:color="auto"/>
        <w:bottom w:val="none" w:sz="0" w:space="0" w:color="auto"/>
        <w:right w:val="none" w:sz="0" w:space="0" w:color="auto"/>
      </w:divBdr>
    </w:div>
    <w:div w:id="1361005287">
      <w:bodyDiv w:val="1"/>
      <w:marLeft w:val="0"/>
      <w:marRight w:val="0"/>
      <w:marTop w:val="0"/>
      <w:marBottom w:val="0"/>
      <w:divBdr>
        <w:top w:val="none" w:sz="0" w:space="0" w:color="auto"/>
        <w:left w:val="none" w:sz="0" w:space="0" w:color="auto"/>
        <w:bottom w:val="none" w:sz="0" w:space="0" w:color="auto"/>
        <w:right w:val="none" w:sz="0" w:space="0" w:color="auto"/>
      </w:divBdr>
    </w:div>
    <w:div w:id="1458600213">
      <w:bodyDiv w:val="1"/>
      <w:marLeft w:val="0"/>
      <w:marRight w:val="0"/>
      <w:marTop w:val="0"/>
      <w:marBottom w:val="0"/>
      <w:divBdr>
        <w:top w:val="none" w:sz="0" w:space="0" w:color="auto"/>
        <w:left w:val="none" w:sz="0" w:space="0" w:color="auto"/>
        <w:bottom w:val="none" w:sz="0" w:space="0" w:color="auto"/>
        <w:right w:val="none" w:sz="0" w:space="0" w:color="auto"/>
      </w:divBdr>
    </w:div>
    <w:div w:id="1478451858">
      <w:bodyDiv w:val="1"/>
      <w:marLeft w:val="0"/>
      <w:marRight w:val="0"/>
      <w:marTop w:val="0"/>
      <w:marBottom w:val="0"/>
      <w:divBdr>
        <w:top w:val="none" w:sz="0" w:space="0" w:color="auto"/>
        <w:left w:val="none" w:sz="0" w:space="0" w:color="auto"/>
        <w:bottom w:val="none" w:sz="0" w:space="0" w:color="auto"/>
        <w:right w:val="none" w:sz="0" w:space="0" w:color="auto"/>
      </w:divBdr>
    </w:div>
    <w:div w:id="1930506722">
      <w:bodyDiv w:val="1"/>
      <w:marLeft w:val="0"/>
      <w:marRight w:val="0"/>
      <w:marTop w:val="0"/>
      <w:marBottom w:val="0"/>
      <w:divBdr>
        <w:top w:val="none" w:sz="0" w:space="0" w:color="auto"/>
        <w:left w:val="none" w:sz="0" w:space="0" w:color="auto"/>
        <w:bottom w:val="none" w:sz="0" w:space="0" w:color="auto"/>
        <w:right w:val="none" w:sz="0" w:space="0" w:color="auto"/>
      </w:divBdr>
    </w:div>
    <w:div w:id="2048555802">
      <w:bodyDiv w:val="1"/>
      <w:marLeft w:val="0"/>
      <w:marRight w:val="0"/>
      <w:marTop w:val="0"/>
      <w:marBottom w:val="0"/>
      <w:divBdr>
        <w:top w:val="none" w:sz="0" w:space="0" w:color="auto"/>
        <w:left w:val="none" w:sz="0" w:space="0" w:color="auto"/>
        <w:bottom w:val="none" w:sz="0" w:space="0" w:color="auto"/>
        <w:right w:val="none" w:sz="0" w:space="0" w:color="auto"/>
      </w:divBdr>
    </w:div>
    <w:div w:id="2096516602">
      <w:bodyDiv w:val="1"/>
      <w:marLeft w:val="0"/>
      <w:marRight w:val="0"/>
      <w:marTop w:val="0"/>
      <w:marBottom w:val="0"/>
      <w:divBdr>
        <w:top w:val="none" w:sz="0" w:space="0" w:color="auto"/>
        <w:left w:val="none" w:sz="0" w:space="0" w:color="auto"/>
        <w:bottom w:val="none" w:sz="0" w:space="0" w:color="auto"/>
        <w:right w:val="none" w:sz="0" w:space="0" w:color="auto"/>
      </w:divBdr>
    </w:div>
    <w:div w:id="214187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C7DFF-FD60-4801-AD73-BCEC189AD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25102</Words>
  <Characters>135553</Characters>
  <Application>Microsoft Office Word</Application>
  <DocSecurity>0</DocSecurity>
  <Lines>1129</Lines>
  <Paragraphs>320</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160335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Costa Guimaraes</dc:creator>
  <cp:lastModifiedBy>Geraldo Majella Nunes de Moura</cp:lastModifiedBy>
  <cp:revision>2</cp:revision>
  <cp:lastPrinted>2018-06-12T12:43:00Z</cp:lastPrinted>
  <dcterms:created xsi:type="dcterms:W3CDTF">2021-05-10T21:39:00Z</dcterms:created>
  <dcterms:modified xsi:type="dcterms:W3CDTF">2021-05-10T21:39:00Z</dcterms:modified>
</cp:coreProperties>
</file>