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GESTÃO DE TECNOLOGIA DA INFORMAÇÃO</w:t>
      </w:r>
      <w:r w:rsidRPr="0075410B">
        <w:rPr>
          <w:rFonts w:ascii="Times New Roman" w:hAnsi="Times New Roman"/>
          <w:b/>
          <w:sz w:val="28"/>
          <w:szCs w:val="28"/>
        </w:rPr>
        <w:t xml:space="preserve"> DO TRE-BA </w:t>
      </w:r>
    </w:p>
    <w:p w:rsidR="006848EF" w:rsidRPr="0075410B" w:rsidRDefault="006848EF" w:rsidP="000115E4">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EXERCÍCIO 2013</w:t>
      </w: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0115E4">
      <w:pPr>
        <w:widowControl w:val="0"/>
        <w:tabs>
          <w:tab w:val="left" w:pos="214"/>
        </w:tabs>
        <w:spacing w:before="120"/>
        <w:jc w:val="center"/>
        <w:rPr>
          <w:rFonts w:ascii="Times New Roman" w:hAnsi="Times New Roman"/>
          <w:b/>
          <w:sz w:val="24"/>
          <w:szCs w:val="24"/>
        </w:rPr>
      </w:pPr>
    </w:p>
    <w:p w:rsidR="006848EF" w:rsidRDefault="006848EF" w:rsidP="0075410B">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6848EF" w:rsidRDefault="006848EF" w:rsidP="009A1799">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Agosto</w:t>
      </w:r>
      <w:r w:rsidRPr="00B51854">
        <w:rPr>
          <w:rFonts w:ascii="Times New Roman" w:hAnsi="Times New Roman"/>
          <w:b/>
          <w:sz w:val="24"/>
          <w:szCs w:val="24"/>
        </w:rPr>
        <w:t>/2014</w:t>
      </w:r>
      <w:r>
        <w:rPr>
          <w:rFonts w:ascii="Times New Roman" w:hAnsi="Times New Roman"/>
          <w:b/>
          <w:sz w:val="24"/>
          <w:szCs w:val="24"/>
        </w:rPr>
        <w:br w:type="page"/>
      </w:r>
    </w:p>
    <w:p w:rsidR="006848EF" w:rsidRDefault="006848EF" w:rsidP="00BC72B6">
      <w:pPr>
        <w:widowControl w:val="0"/>
        <w:tabs>
          <w:tab w:val="left" w:pos="214"/>
        </w:tabs>
        <w:spacing w:before="120"/>
        <w:jc w:val="center"/>
        <w:rPr>
          <w:rFonts w:ascii="Times New Roman" w:hAnsi="Times New Roman"/>
          <w:b/>
          <w:sz w:val="28"/>
          <w:szCs w:val="28"/>
        </w:rPr>
      </w:pPr>
    </w:p>
    <w:p w:rsidR="006848EF" w:rsidRDefault="006848EF" w:rsidP="00BC72B6">
      <w:pPr>
        <w:widowControl w:val="0"/>
        <w:tabs>
          <w:tab w:val="left" w:pos="214"/>
        </w:tabs>
        <w:spacing w:before="120"/>
        <w:jc w:val="center"/>
        <w:rPr>
          <w:rFonts w:ascii="Times New Roman" w:hAnsi="Times New Roman"/>
          <w:b/>
          <w:sz w:val="28"/>
          <w:szCs w:val="28"/>
        </w:rPr>
      </w:pPr>
    </w:p>
    <w:p w:rsidR="006848EF" w:rsidRDefault="006848EF" w:rsidP="00BC72B6">
      <w:pPr>
        <w:widowControl w:val="0"/>
        <w:tabs>
          <w:tab w:val="left" w:pos="214"/>
        </w:tabs>
        <w:spacing w:before="120"/>
        <w:jc w:val="center"/>
        <w:rPr>
          <w:rFonts w:ascii="Times New Roman" w:hAnsi="Times New Roman"/>
          <w:b/>
          <w:sz w:val="28"/>
          <w:szCs w:val="28"/>
        </w:rPr>
      </w:pPr>
    </w:p>
    <w:p w:rsidR="006848EF" w:rsidRDefault="006848EF" w:rsidP="00BC72B6">
      <w:pPr>
        <w:widowControl w:val="0"/>
        <w:tabs>
          <w:tab w:val="left" w:pos="214"/>
        </w:tabs>
        <w:spacing w:before="120"/>
        <w:jc w:val="center"/>
        <w:rPr>
          <w:rFonts w:ascii="Times New Roman" w:hAnsi="Times New Roman"/>
          <w:b/>
          <w:sz w:val="28"/>
          <w:szCs w:val="28"/>
        </w:rPr>
      </w:pPr>
    </w:p>
    <w:p w:rsidR="006848EF" w:rsidRDefault="006848EF" w:rsidP="00BC72B6">
      <w:pPr>
        <w:widowControl w:val="0"/>
        <w:tabs>
          <w:tab w:val="left" w:pos="214"/>
        </w:tabs>
        <w:spacing w:before="120"/>
        <w:jc w:val="center"/>
        <w:rPr>
          <w:rFonts w:ascii="Times New Roman" w:hAnsi="Times New Roman"/>
          <w:b/>
          <w:sz w:val="28"/>
          <w:szCs w:val="28"/>
        </w:rPr>
      </w:pPr>
    </w:p>
    <w:p w:rsidR="006848EF" w:rsidRDefault="006848EF" w:rsidP="00BC72B6">
      <w:pPr>
        <w:widowControl w:val="0"/>
        <w:tabs>
          <w:tab w:val="left" w:pos="214"/>
        </w:tabs>
        <w:spacing w:before="120"/>
        <w:jc w:val="center"/>
        <w:rPr>
          <w:rFonts w:ascii="Times New Roman" w:hAnsi="Times New Roman"/>
          <w:b/>
          <w:sz w:val="28"/>
          <w:szCs w:val="28"/>
        </w:rPr>
      </w:pPr>
    </w:p>
    <w:p w:rsidR="006848EF" w:rsidRDefault="006848EF" w:rsidP="00BC72B6">
      <w:pPr>
        <w:widowControl w:val="0"/>
        <w:tabs>
          <w:tab w:val="left" w:pos="214"/>
        </w:tabs>
        <w:spacing w:before="120"/>
        <w:jc w:val="center"/>
        <w:rPr>
          <w:rFonts w:ascii="Times New Roman" w:hAnsi="Times New Roman"/>
          <w:b/>
          <w:sz w:val="28"/>
          <w:szCs w:val="28"/>
        </w:rPr>
      </w:pPr>
    </w:p>
    <w:p w:rsidR="006848EF" w:rsidRDefault="006848EF" w:rsidP="00BC72B6">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GESTÃO DE TECNOLOGIA DA INFORMAÇÃO</w:t>
      </w:r>
      <w:r w:rsidRPr="0075410B">
        <w:rPr>
          <w:rFonts w:ascii="Times New Roman" w:hAnsi="Times New Roman"/>
          <w:b/>
          <w:sz w:val="28"/>
          <w:szCs w:val="28"/>
        </w:rPr>
        <w:t xml:space="preserve"> DO TRE-BA </w:t>
      </w:r>
    </w:p>
    <w:p w:rsidR="006848EF" w:rsidRPr="0075410B" w:rsidRDefault="006848EF" w:rsidP="00BC72B6">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EXERCÍCIO 2013</w:t>
      </w:r>
    </w:p>
    <w:p w:rsidR="006848EF" w:rsidRDefault="006848EF">
      <w:pPr>
        <w:rPr>
          <w:rFonts w:ascii="Times New Roman" w:hAnsi="Times New Roman"/>
          <w:b/>
          <w:sz w:val="24"/>
          <w:szCs w:val="24"/>
        </w:rPr>
      </w:pPr>
    </w:p>
    <w:p w:rsidR="006848EF" w:rsidRDefault="006848EF" w:rsidP="00630DCB">
      <w:pPr>
        <w:ind w:left="2268"/>
        <w:jc w:val="both"/>
        <w:rPr>
          <w:rFonts w:ascii="Times New Roman" w:hAnsi="Times New Roman"/>
        </w:rPr>
      </w:pPr>
      <w:r w:rsidRPr="002D5858">
        <w:rPr>
          <w:rFonts w:ascii="Times New Roman" w:hAnsi="Times New Roman"/>
        </w:rPr>
        <w:t xml:space="preserve">Relatório </w:t>
      </w:r>
      <w:r>
        <w:rPr>
          <w:rFonts w:ascii="Times New Roman" w:hAnsi="Times New Roman"/>
        </w:rPr>
        <w:t xml:space="preserve">final </w:t>
      </w:r>
      <w:r w:rsidRPr="002D5858">
        <w:rPr>
          <w:rFonts w:ascii="Times New Roman" w:hAnsi="Times New Roman"/>
        </w:rPr>
        <w:t>de auditoria de a</w:t>
      </w:r>
      <w:r>
        <w:rPr>
          <w:rFonts w:ascii="Times New Roman" w:hAnsi="Times New Roman"/>
        </w:rPr>
        <w:t>valiação da Gestão de Tecnologia da Informação,</w:t>
      </w:r>
      <w:r w:rsidRPr="002D5858">
        <w:rPr>
          <w:rFonts w:ascii="Times New Roman" w:hAnsi="Times New Roman"/>
        </w:rPr>
        <w:t xml:space="preserve"> no âmbito do Tribunal Regional Eleitoral da Bahia (TRE-</w:t>
      </w:r>
      <w:r>
        <w:rPr>
          <w:rFonts w:ascii="Times New Roman" w:hAnsi="Times New Roman"/>
        </w:rPr>
        <w:t>BA), ao longo do exercício 2013</w:t>
      </w:r>
      <w:r w:rsidRPr="002D5858">
        <w:rPr>
          <w:rFonts w:ascii="Times New Roman" w:hAnsi="Times New Roman"/>
        </w:rPr>
        <w:t>, consoante pre</w:t>
      </w:r>
      <w:r>
        <w:rPr>
          <w:rFonts w:ascii="Times New Roman" w:hAnsi="Times New Roman"/>
        </w:rPr>
        <w:t>visão inserta</w:t>
      </w:r>
      <w:r w:rsidRPr="002D5858">
        <w:rPr>
          <w:rFonts w:ascii="Times New Roman" w:hAnsi="Times New Roman"/>
        </w:rPr>
        <w:t xml:space="preserve"> no Plano Anual de Atividades de Auditoria 2014 (PAAA 2014)</w:t>
      </w:r>
      <w:r>
        <w:rPr>
          <w:rFonts w:ascii="Times New Roman" w:hAnsi="Times New Roman"/>
        </w:rPr>
        <w:t>,</w:t>
      </w:r>
      <w:r w:rsidRPr="002D5858">
        <w:rPr>
          <w:rFonts w:ascii="Times New Roman" w:hAnsi="Times New Roman"/>
        </w:rPr>
        <w:t xml:space="preserve"> aprovado por meio da Portaria da Presidência </w:t>
      </w:r>
      <w:r>
        <w:rPr>
          <w:rFonts w:ascii="Times New Roman" w:hAnsi="Times New Roman"/>
        </w:rPr>
        <w:t xml:space="preserve">do TRE-BA </w:t>
      </w:r>
      <w:r w:rsidRPr="002D5858">
        <w:rPr>
          <w:rFonts w:ascii="Times New Roman" w:hAnsi="Times New Roman"/>
        </w:rPr>
        <w:t xml:space="preserve">nº 933, de </w:t>
      </w:r>
      <w:proofErr w:type="gramStart"/>
      <w:r w:rsidRPr="002D5858">
        <w:rPr>
          <w:rFonts w:ascii="Times New Roman" w:hAnsi="Times New Roman"/>
        </w:rPr>
        <w:t>6</w:t>
      </w:r>
      <w:proofErr w:type="gramEnd"/>
      <w:r w:rsidRPr="002D5858">
        <w:rPr>
          <w:rFonts w:ascii="Times New Roman" w:hAnsi="Times New Roman"/>
        </w:rPr>
        <w:t xml:space="preserve"> de novembro de 2013</w:t>
      </w:r>
      <w:r>
        <w:rPr>
          <w:rFonts w:ascii="Times New Roman" w:hAnsi="Times New Roman"/>
        </w:rPr>
        <w:t>, atendendo, ainda, ao quanto disposto</w:t>
      </w:r>
      <w:r w:rsidRPr="002D5858">
        <w:rPr>
          <w:rFonts w:ascii="Times New Roman" w:hAnsi="Times New Roman"/>
        </w:rPr>
        <w:t xml:space="preserve"> </w:t>
      </w:r>
      <w:r w:rsidRPr="00DB61AF">
        <w:rPr>
          <w:rFonts w:ascii="Times New Roman" w:hAnsi="Times New Roman"/>
        </w:rPr>
        <w:t xml:space="preserve">no item 8, do Quadro 1, do Anexo IV, da Decisão Normativa (DN) do Tribunal de Contas da </w:t>
      </w:r>
      <w:r w:rsidRPr="002D5858">
        <w:rPr>
          <w:rFonts w:ascii="Times New Roman" w:hAnsi="Times New Roman"/>
        </w:rPr>
        <w:t>União (TCU) nº 132, de 2 de outubro de 2013</w:t>
      </w:r>
      <w:r>
        <w:rPr>
          <w:rFonts w:ascii="Times New Roman" w:hAnsi="Times New Roman"/>
        </w:rPr>
        <w:t>.</w:t>
      </w: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Elaboração: Seção de Auditoria (SEAUD).</w:t>
      </w:r>
    </w:p>
    <w:p w:rsidR="006848EF" w:rsidRDefault="006848EF"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 xml:space="preserve">Auditores Internos: Antônio Fernando dos </w:t>
      </w:r>
      <w:proofErr w:type="gramStart"/>
      <w:r>
        <w:rPr>
          <w:rFonts w:ascii="Times New Roman" w:hAnsi="Times New Roman"/>
        </w:rPr>
        <w:t>Santos Paixão</w:t>
      </w:r>
      <w:proofErr w:type="gramEnd"/>
      <w:r>
        <w:rPr>
          <w:rFonts w:ascii="Times New Roman" w:hAnsi="Times New Roman"/>
        </w:rPr>
        <w:t xml:space="preserve"> e </w:t>
      </w:r>
    </w:p>
    <w:p w:rsidR="006848EF" w:rsidRDefault="006848EF" w:rsidP="005C71C4">
      <w:pPr>
        <w:autoSpaceDE w:val="0"/>
        <w:autoSpaceDN w:val="0"/>
        <w:adjustRightInd w:val="0"/>
        <w:spacing w:after="120" w:line="240" w:lineRule="auto"/>
        <w:ind w:left="2268"/>
        <w:jc w:val="both"/>
        <w:rPr>
          <w:rFonts w:ascii="Times New Roman" w:hAnsi="Times New Roman"/>
        </w:rPr>
      </w:pPr>
      <w:r>
        <w:rPr>
          <w:rFonts w:ascii="Times New Roman" w:hAnsi="Times New Roman"/>
        </w:rPr>
        <w:tab/>
      </w:r>
      <w:r>
        <w:rPr>
          <w:rFonts w:ascii="Times New Roman" w:hAnsi="Times New Roman"/>
        </w:rPr>
        <w:tab/>
        <w:t xml:space="preserve">          Ana Rejane Catunda de Carvalho.</w:t>
      </w:r>
    </w:p>
    <w:p w:rsidR="006848EF" w:rsidRDefault="006848EF" w:rsidP="005C71C4">
      <w:pPr>
        <w:autoSpaceDE w:val="0"/>
        <w:autoSpaceDN w:val="0"/>
        <w:adjustRightInd w:val="0"/>
        <w:spacing w:after="0" w:line="240" w:lineRule="auto"/>
        <w:ind w:left="2268"/>
        <w:jc w:val="both"/>
        <w:rPr>
          <w:rFonts w:ascii="Times New Roman" w:hAnsi="Times New Roman"/>
        </w:rPr>
      </w:pPr>
      <w:r>
        <w:rPr>
          <w:rFonts w:ascii="Times New Roman" w:hAnsi="Times New Roman"/>
        </w:rPr>
        <w:t xml:space="preserve">Relatores: Antônio Fernando dos </w:t>
      </w:r>
      <w:proofErr w:type="gramStart"/>
      <w:r>
        <w:rPr>
          <w:rFonts w:ascii="Times New Roman" w:hAnsi="Times New Roman"/>
        </w:rPr>
        <w:t>Santos Paixão</w:t>
      </w:r>
      <w:proofErr w:type="gramEnd"/>
      <w:r>
        <w:rPr>
          <w:rFonts w:ascii="Times New Roman" w:hAnsi="Times New Roman"/>
        </w:rPr>
        <w:t xml:space="preserve"> e </w:t>
      </w:r>
    </w:p>
    <w:p w:rsidR="006848EF" w:rsidRDefault="006848EF" w:rsidP="005C71C4">
      <w:pPr>
        <w:autoSpaceDE w:val="0"/>
        <w:autoSpaceDN w:val="0"/>
        <w:adjustRightInd w:val="0"/>
        <w:spacing w:after="0" w:line="240" w:lineRule="auto"/>
        <w:ind w:left="3261"/>
        <w:jc w:val="both"/>
        <w:rPr>
          <w:rFonts w:ascii="Times New Roman" w:hAnsi="Times New Roman"/>
        </w:rPr>
      </w:pPr>
      <w:r>
        <w:rPr>
          <w:rFonts w:ascii="Times New Roman" w:hAnsi="Times New Roman"/>
        </w:rPr>
        <w:t>Fernanda Costa Guimarães.</w:t>
      </w:r>
    </w:p>
    <w:p w:rsidR="006848EF" w:rsidRPr="00555791" w:rsidRDefault="006848EF" w:rsidP="002D5858">
      <w:pPr>
        <w:autoSpaceDE w:val="0"/>
        <w:autoSpaceDN w:val="0"/>
        <w:adjustRightInd w:val="0"/>
        <w:spacing w:after="0" w:line="240" w:lineRule="auto"/>
        <w:ind w:left="2268"/>
        <w:jc w:val="both"/>
        <w:rPr>
          <w:rFonts w:ascii="Times New Roman" w:hAnsi="Times New Roman"/>
          <w:color w:val="0000FF"/>
        </w:rPr>
      </w:pP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autoSpaceDE w:val="0"/>
        <w:autoSpaceDN w:val="0"/>
        <w:adjustRightInd w:val="0"/>
        <w:spacing w:after="0" w:line="240" w:lineRule="auto"/>
        <w:ind w:left="2268"/>
        <w:jc w:val="both"/>
        <w:rPr>
          <w:rFonts w:ascii="Times New Roman" w:hAnsi="Times New Roman"/>
        </w:rPr>
      </w:pPr>
    </w:p>
    <w:p w:rsidR="006848EF" w:rsidRDefault="006848EF"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6848EF" w:rsidRDefault="006848EF"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Agosto</w:t>
      </w:r>
      <w:r w:rsidRPr="00B51854">
        <w:rPr>
          <w:rFonts w:ascii="Times New Roman" w:hAnsi="Times New Roman"/>
          <w:b/>
          <w:sz w:val="24"/>
          <w:szCs w:val="24"/>
        </w:rPr>
        <w:t>/2014</w:t>
      </w:r>
      <w:r>
        <w:rPr>
          <w:rFonts w:ascii="Times New Roman" w:hAnsi="Times New Roman"/>
          <w:b/>
          <w:sz w:val="24"/>
          <w:szCs w:val="24"/>
        </w:rPr>
        <w:br w:type="page"/>
      </w:r>
    </w:p>
    <w:p w:rsidR="006848EF" w:rsidRDefault="006848EF" w:rsidP="00E65B0C">
      <w:pPr>
        <w:widowControl w:val="0"/>
        <w:tabs>
          <w:tab w:val="left" w:pos="0"/>
        </w:tabs>
        <w:spacing w:after="0" w:line="240" w:lineRule="auto"/>
        <w:jc w:val="center"/>
        <w:rPr>
          <w:rFonts w:ascii="Times New Roman" w:hAnsi="Times New Roman"/>
          <w:b/>
          <w:sz w:val="24"/>
          <w:szCs w:val="24"/>
        </w:rPr>
      </w:pPr>
      <w:r>
        <w:rPr>
          <w:rFonts w:ascii="Times New Roman" w:hAnsi="Times New Roman"/>
          <w:b/>
          <w:sz w:val="24"/>
          <w:szCs w:val="24"/>
        </w:rPr>
        <w:t>RESUMO</w:t>
      </w:r>
    </w:p>
    <w:p w:rsidR="006848EF" w:rsidRDefault="006848EF" w:rsidP="002D5858">
      <w:pPr>
        <w:widowControl w:val="0"/>
        <w:tabs>
          <w:tab w:val="left" w:pos="214"/>
        </w:tabs>
        <w:spacing w:after="0" w:line="240" w:lineRule="auto"/>
        <w:jc w:val="center"/>
        <w:rPr>
          <w:rFonts w:ascii="Times New Roman" w:hAnsi="Times New Roman"/>
          <w:b/>
          <w:sz w:val="24"/>
          <w:szCs w:val="24"/>
        </w:rPr>
      </w:pPr>
    </w:p>
    <w:p w:rsidR="006848EF" w:rsidRDefault="006848EF" w:rsidP="0072660F">
      <w:pPr>
        <w:widowControl w:val="0"/>
        <w:tabs>
          <w:tab w:val="left" w:pos="214"/>
        </w:tabs>
        <w:spacing w:before="120" w:after="120" w:line="240" w:lineRule="auto"/>
        <w:jc w:val="both"/>
        <w:rPr>
          <w:rFonts w:ascii="Times New Roman" w:hAnsi="Times New Roman"/>
          <w:sz w:val="24"/>
          <w:szCs w:val="24"/>
        </w:rPr>
      </w:pPr>
      <w:r w:rsidRPr="00CC669B">
        <w:rPr>
          <w:rFonts w:ascii="Times New Roman" w:hAnsi="Times New Roman"/>
          <w:sz w:val="24"/>
          <w:szCs w:val="24"/>
        </w:rPr>
        <w:t xml:space="preserve">A Secretaria de Controle Interno e Auditoria (SCI), por intermédio da Seção de Auditoria (SEAUD), vinculada à Coordenadoria de Auditoria, Acompanhamento e Orientação da Gestão (COGES), realizou, </w:t>
      </w:r>
      <w:r>
        <w:rPr>
          <w:rFonts w:ascii="Times New Roman" w:hAnsi="Times New Roman"/>
          <w:sz w:val="24"/>
          <w:szCs w:val="24"/>
        </w:rPr>
        <w:t>no primeiro semestre do ano em curso</w:t>
      </w:r>
      <w:r w:rsidRPr="00CC669B">
        <w:rPr>
          <w:rFonts w:ascii="Times New Roman" w:hAnsi="Times New Roman"/>
          <w:sz w:val="24"/>
          <w:szCs w:val="24"/>
        </w:rPr>
        <w:t>, auditoria na gestão de Tecnologia da Informação (TI)</w:t>
      </w:r>
      <w:r>
        <w:rPr>
          <w:rFonts w:ascii="Times New Roman" w:hAnsi="Times New Roman"/>
          <w:sz w:val="24"/>
          <w:szCs w:val="24"/>
        </w:rPr>
        <w:t xml:space="preserve"> referente ao exercício 2013</w:t>
      </w:r>
      <w:r w:rsidRPr="00CC669B">
        <w:rPr>
          <w:rFonts w:ascii="Times New Roman" w:hAnsi="Times New Roman"/>
          <w:sz w:val="24"/>
          <w:szCs w:val="24"/>
        </w:rPr>
        <w:t>, no âmbito deste Regional</w:t>
      </w:r>
      <w:r>
        <w:rPr>
          <w:rFonts w:ascii="Times New Roman" w:hAnsi="Times New Roman"/>
          <w:sz w:val="24"/>
          <w:szCs w:val="24"/>
        </w:rPr>
        <w:t>.</w:t>
      </w:r>
    </w:p>
    <w:p w:rsidR="006848EF" w:rsidRDefault="006848EF" w:rsidP="0072660F">
      <w:pPr>
        <w:widowControl w:val="0"/>
        <w:tabs>
          <w:tab w:val="left" w:pos="214"/>
        </w:tabs>
        <w:spacing w:before="120" w:after="120" w:line="240" w:lineRule="auto"/>
        <w:jc w:val="both"/>
        <w:rPr>
          <w:rFonts w:ascii="Times New Roman" w:hAnsi="Times New Roman"/>
          <w:sz w:val="24"/>
          <w:szCs w:val="24"/>
        </w:rPr>
      </w:pPr>
      <w:r w:rsidRPr="00CC669B">
        <w:rPr>
          <w:rFonts w:ascii="Times New Roman" w:hAnsi="Times New Roman"/>
          <w:sz w:val="24"/>
          <w:szCs w:val="24"/>
        </w:rPr>
        <w:t xml:space="preserve">O referido procedimento investigativo constituiu parte integrante da Auditoria de Gestão 2013, consoante previsão inserta no Plano Anual de Atividades de Auditoria 2014 (PAAA2014), aprovado por meio da Portaria da Presidência do TRE-BA nº 933, de </w:t>
      </w:r>
      <w:proofErr w:type="gramStart"/>
      <w:r w:rsidRPr="00CC669B">
        <w:rPr>
          <w:rFonts w:ascii="Times New Roman" w:hAnsi="Times New Roman"/>
          <w:sz w:val="24"/>
          <w:szCs w:val="24"/>
        </w:rPr>
        <w:t>6</w:t>
      </w:r>
      <w:proofErr w:type="gramEnd"/>
      <w:r w:rsidRPr="00CC669B">
        <w:rPr>
          <w:rFonts w:ascii="Times New Roman" w:hAnsi="Times New Roman"/>
          <w:sz w:val="24"/>
          <w:szCs w:val="24"/>
        </w:rPr>
        <w:t xml:space="preserve"> de novembro de 2013, objeto dos Comunicados de Auditoria </w:t>
      </w:r>
      <w:proofErr w:type="spellStart"/>
      <w:r w:rsidRPr="00CC669B">
        <w:rPr>
          <w:rFonts w:ascii="Times New Roman" w:hAnsi="Times New Roman"/>
          <w:sz w:val="24"/>
          <w:szCs w:val="24"/>
        </w:rPr>
        <w:t>nºs</w:t>
      </w:r>
      <w:proofErr w:type="spellEnd"/>
      <w:r w:rsidRPr="00CC669B">
        <w:rPr>
          <w:rFonts w:ascii="Times New Roman" w:hAnsi="Times New Roman"/>
          <w:sz w:val="24"/>
          <w:szCs w:val="24"/>
        </w:rPr>
        <w:t xml:space="preserve"> 1-5/2014. </w:t>
      </w:r>
    </w:p>
    <w:p w:rsidR="006848EF" w:rsidRPr="00471DA5" w:rsidRDefault="006848EF" w:rsidP="0072660F">
      <w:pPr>
        <w:widowControl w:val="0"/>
        <w:tabs>
          <w:tab w:val="left" w:pos="214"/>
        </w:tabs>
        <w:spacing w:before="120" w:after="120" w:line="240" w:lineRule="auto"/>
        <w:jc w:val="both"/>
        <w:rPr>
          <w:rFonts w:ascii="Times New Roman" w:hAnsi="Times New Roman"/>
          <w:spacing w:val="-2"/>
          <w:sz w:val="24"/>
          <w:szCs w:val="24"/>
        </w:rPr>
      </w:pPr>
      <w:r w:rsidRPr="00471DA5">
        <w:rPr>
          <w:rFonts w:ascii="Times New Roman" w:hAnsi="Times New Roman"/>
          <w:spacing w:val="-2"/>
          <w:sz w:val="24"/>
          <w:szCs w:val="24"/>
        </w:rPr>
        <w:t xml:space="preserve">Paralelamente às disposições constantes da Resolução do Conselho Nacional de Justiça (CNJ) nº 171, de 1º de março de 2013, e das normas de auditoria do Tribunal de Contas da União (TCU), fundamentaram os trabalhos desenvolvidos, a Decisão Normativa (DN) do TCU nº 132, de </w:t>
      </w:r>
      <w:proofErr w:type="gramStart"/>
      <w:r w:rsidRPr="00471DA5">
        <w:rPr>
          <w:rFonts w:ascii="Times New Roman" w:hAnsi="Times New Roman"/>
          <w:spacing w:val="-2"/>
          <w:sz w:val="24"/>
          <w:szCs w:val="24"/>
        </w:rPr>
        <w:t>2</w:t>
      </w:r>
      <w:proofErr w:type="gramEnd"/>
      <w:r w:rsidRPr="00471DA5">
        <w:rPr>
          <w:rFonts w:ascii="Times New Roman" w:hAnsi="Times New Roman"/>
          <w:spacing w:val="-2"/>
          <w:sz w:val="24"/>
          <w:szCs w:val="24"/>
        </w:rPr>
        <w:t xml:space="preserve"> de outubro de 2013, que especifica forma, prazos e conteúdos das peças que comporão o processo de contas atinente ao exercício 2013, bem como o Acórdão TCU - Plenário nº 2.308, de 8 de setembro de 2010, que estabelece parâmetros afetos à governança de TI no âmbito das organizações públicas do país.</w:t>
      </w:r>
    </w:p>
    <w:p w:rsidR="006848EF" w:rsidRPr="00966C0B" w:rsidRDefault="006848EF" w:rsidP="001F41C3">
      <w:pPr>
        <w:spacing w:after="120" w:line="240" w:lineRule="auto"/>
        <w:jc w:val="both"/>
        <w:rPr>
          <w:rFonts w:ascii="Times New Roman" w:hAnsi="Times New Roman"/>
          <w:sz w:val="24"/>
          <w:szCs w:val="24"/>
        </w:rPr>
      </w:pPr>
      <w:r>
        <w:rPr>
          <w:rFonts w:ascii="Times New Roman" w:hAnsi="Times New Roman"/>
          <w:sz w:val="24"/>
          <w:szCs w:val="24"/>
        </w:rPr>
        <w:t xml:space="preserve">A auditoria </w:t>
      </w:r>
      <w:proofErr w:type="gramStart"/>
      <w:r>
        <w:rPr>
          <w:rFonts w:ascii="Times New Roman" w:hAnsi="Times New Roman"/>
          <w:sz w:val="24"/>
          <w:szCs w:val="24"/>
        </w:rPr>
        <w:t>sob comento</w:t>
      </w:r>
      <w:proofErr w:type="gramEnd"/>
      <w:r>
        <w:rPr>
          <w:rFonts w:ascii="Times New Roman" w:hAnsi="Times New Roman"/>
          <w:sz w:val="24"/>
          <w:szCs w:val="24"/>
        </w:rPr>
        <w:t xml:space="preserve"> objetivou identificar a aderência da governança de TI </w:t>
      </w:r>
      <w:r w:rsidRPr="00CC669B">
        <w:rPr>
          <w:rFonts w:ascii="Times New Roman" w:hAnsi="Times New Roman"/>
          <w:sz w:val="24"/>
          <w:szCs w:val="24"/>
        </w:rPr>
        <w:t xml:space="preserve">deste Regional em relação </w:t>
      </w:r>
      <w:r>
        <w:rPr>
          <w:rFonts w:ascii="Times New Roman" w:hAnsi="Times New Roman"/>
          <w:sz w:val="24"/>
          <w:szCs w:val="24"/>
        </w:rPr>
        <w:t xml:space="preserve">aos seguintes aspectos: </w:t>
      </w:r>
      <w:r w:rsidRPr="00966C0B">
        <w:rPr>
          <w:rFonts w:ascii="Times New Roman" w:hAnsi="Times New Roman"/>
          <w:sz w:val="24"/>
          <w:szCs w:val="24"/>
        </w:rPr>
        <w:t xml:space="preserve">planejamento estratégico formalizado na área de TI; perfil dos servidores lotados na unidade de TI e sua correlação </w:t>
      </w:r>
      <w:r>
        <w:rPr>
          <w:rFonts w:ascii="Times New Roman" w:hAnsi="Times New Roman"/>
          <w:sz w:val="24"/>
          <w:szCs w:val="24"/>
        </w:rPr>
        <w:t xml:space="preserve">com </w:t>
      </w:r>
      <w:r w:rsidRPr="00966C0B">
        <w:rPr>
          <w:rFonts w:ascii="Times New Roman" w:hAnsi="Times New Roman"/>
          <w:sz w:val="24"/>
          <w:szCs w:val="24"/>
        </w:rPr>
        <w:t xml:space="preserve">as atividades desenvolvidas; procedimentos de segurança e salvaguarda de informações; capacidade de atendimento </w:t>
      </w:r>
      <w:r>
        <w:rPr>
          <w:rFonts w:ascii="Times New Roman" w:hAnsi="Times New Roman"/>
          <w:sz w:val="24"/>
          <w:szCs w:val="24"/>
        </w:rPr>
        <w:t xml:space="preserve">às </w:t>
      </w:r>
      <w:r w:rsidRPr="00966C0B">
        <w:rPr>
          <w:rFonts w:ascii="Times New Roman" w:hAnsi="Times New Roman"/>
          <w:sz w:val="24"/>
          <w:szCs w:val="24"/>
        </w:rPr>
        <w:t xml:space="preserve">demandas de desenvolvimento e produção </w:t>
      </w:r>
      <w:r>
        <w:rPr>
          <w:rFonts w:ascii="Times New Roman" w:hAnsi="Times New Roman"/>
          <w:sz w:val="24"/>
          <w:szCs w:val="24"/>
        </w:rPr>
        <w:t xml:space="preserve">de sistemas; </w:t>
      </w:r>
      <w:r w:rsidRPr="00966C0B">
        <w:rPr>
          <w:rFonts w:ascii="Times New Roman" w:hAnsi="Times New Roman"/>
          <w:sz w:val="24"/>
          <w:szCs w:val="24"/>
        </w:rPr>
        <w:t>planejamento das contratações de bens e serviços de TI; processo de trabalho formalizado de gestão de contratos de bens e serviços de TI</w:t>
      </w:r>
      <w:r>
        <w:rPr>
          <w:rFonts w:ascii="Times New Roman" w:hAnsi="Times New Roman"/>
          <w:sz w:val="24"/>
          <w:szCs w:val="24"/>
        </w:rPr>
        <w:t>;</w:t>
      </w:r>
      <w:r w:rsidRPr="00966C0B">
        <w:rPr>
          <w:rFonts w:ascii="Times New Roman" w:hAnsi="Times New Roman"/>
          <w:sz w:val="24"/>
          <w:szCs w:val="24"/>
        </w:rPr>
        <w:t xml:space="preserve"> e </w:t>
      </w:r>
      <w:r>
        <w:rPr>
          <w:rFonts w:ascii="Times New Roman" w:hAnsi="Times New Roman"/>
          <w:sz w:val="24"/>
          <w:szCs w:val="24"/>
        </w:rPr>
        <w:t xml:space="preserve">política de </w:t>
      </w:r>
      <w:r w:rsidRPr="00966C0B">
        <w:rPr>
          <w:rFonts w:ascii="Times New Roman" w:hAnsi="Times New Roman"/>
          <w:sz w:val="24"/>
          <w:szCs w:val="24"/>
        </w:rPr>
        <w:t>identificação e mitigação dos riscos associados às atividades críticas</w:t>
      </w:r>
      <w:r>
        <w:rPr>
          <w:rFonts w:ascii="Times New Roman" w:hAnsi="Times New Roman"/>
          <w:sz w:val="24"/>
          <w:szCs w:val="24"/>
        </w:rPr>
        <w:t xml:space="preserve"> da área.</w:t>
      </w:r>
    </w:p>
    <w:p w:rsidR="006848EF" w:rsidRPr="001F41C3" w:rsidRDefault="006848EF" w:rsidP="001F41C3">
      <w:pPr>
        <w:spacing w:after="120" w:line="240" w:lineRule="auto"/>
        <w:jc w:val="both"/>
        <w:rPr>
          <w:rFonts w:ascii="Times New Roman" w:hAnsi="Times New Roman"/>
          <w:spacing w:val="-2"/>
          <w:sz w:val="24"/>
          <w:szCs w:val="24"/>
        </w:rPr>
      </w:pPr>
      <w:r w:rsidRPr="001F41C3">
        <w:rPr>
          <w:rFonts w:ascii="Times New Roman" w:hAnsi="Times New Roman"/>
          <w:spacing w:val="-2"/>
          <w:sz w:val="24"/>
          <w:szCs w:val="24"/>
        </w:rPr>
        <w:t>Ultimados os procedimentos e análises elencados na matriz de planejamento correspondente, restaram evidenciadas</w:t>
      </w:r>
      <w:r>
        <w:rPr>
          <w:rFonts w:ascii="Times New Roman" w:hAnsi="Times New Roman"/>
          <w:spacing w:val="-2"/>
          <w:sz w:val="24"/>
          <w:szCs w:val="24"/>
        </w:rPr>
        <w:t xml:space="preserve"> </w:t>
      </w:r>
      <w:r w:rsidRPr="001F41C3">
        <w:rPr>
          <w:rFonts w:ascii="Times New Roman" w:hAnsi="Times New Roman"/>
          <w:spacing w:val="-2"/>
          <w:sz w:val="24"/>
          <w:szCs w:val="24"/>
        </w:rPr>
        <w:t xml:space="preserve">as seguintes situações desconformes: insuficiência de pessoal de cargo privativo da área de TI; ausência de mecanismos de controle, no planejamento existente, para que a Alta Administração acompanhe o desempenho de TI da instituição, bem como de aperfeiçoamento contínuo do referido instrumento de gestão com base na análise de seus indicadores; </w:t>
      </w:r>
      <w:r>
        <w:rPr>
          <w:rFonts w:ascii="Times New Roman" w:hAnsi="Times New Roman"/>
          <w:spacing w:val="-2"/>
          <w:sz w:val="24"/>
          <w:szCs w:val="24"/>
        </w:rPr>
        <w:t xml:space="preserve">inexistência de Plano Diretor de TI organizacional; ausência </w:t>
      </w:r>
      <w:r w:rsidRPr="001F41C3">
        <w:rPr>
          <w:rFonts w:ascii="Times New Roman" w:hAnsi="Times New Roman"/>
          <w:spacing w:val="-2"/>
          <w:sz w:val="24"/>
          <w:szCs w:val="24"/>
        </w:rPr>
        <w:t>de Plano de Capacitação de Pessoal específico para gestão de TI; e ausência de processo de trabalho formalizado ou de área específica de gestão de contratos de bens e serviços de TI.</w:t>
      </w:r>
    </w:p>
    <w:p w:rsidR="006848EF" w:rsidRDefault="006848EF" w:rsidP="00F867BE">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A</w:t>
      </w:r>
      <w:r w:rsidRPr="00CC669B">
        <w:rPr>
          <w:rFonts w:ascii="Times New Roman" w:hAnsi="Times New Roman"/>
          <w:sz w:val="24"/>
          <w:szCs w:val="24"/>
        </w:rPr>
        <w:t>s propostas de encaminhamento formuladas, além de objetivar</w:t>
      </w:r>
      <w:r>
        <w:rPr>
          <w:rFonts w:ascii="Times New Roman" w:hAnsi="Times New Roman"/>
          <w:sz w:val="24"/>
          <w:szCs w:val="24"/>
        </w:rPr>
        <w:t>em</w:t>
      </w:r>
      <w:r w:rsidRPr="00CC669B">
        <w:rPr>
          <w:rFonts w:ascii="Times New Roman" w:hAnsi="Times New Roman"/>
          <w:sz w:val="24"/>
          <w:szCs w:val="24"/>
        </w:rPr>
        <w:t xml:space="preserve"> </w:t>
      </w:r>
      <w:r>
        <w:rPr>
          <w:rFonts w:ascii="Times New Roman" w:hAnsi="Times New Roman"/>
          <w:sz w:val="24"/>
          <w:szCs w:val="24"/>
        </w:rPr>
        <w:t xml:space="preserve">sanear </w:t>
      </w:r>
      <w:r w:rsidRPr="00CC669B">
        <w:rPr>
          <w:rFonts w:ascii="Times New Roman" w:hAnsi="Times New Roman"/>
          <w:sz w:val="24"/>
          <w:szCs w:val="24"/>
        </w:rPr>
        <w:t xml:space="preserve">as fragilidades </w:t>
      </w:r>
      <w:r>
        <w:rPr>
          <w:rFonts w:ascii="Times New Roman" w:hAnsi="Times New Roman"/>
          <w:sz w:val="24"/>
          <w:szCs w:val="24"/>
        </w:rPr>
        <w:t xml:space="preserve">ora </w:t>
      </w:r>
      <w:r w:rsidRPr="00CC669B">
        <w:rPr>
          <w:rFonts w:ascii="Times New Roman" w:hAnsi="Times New Roman"/>
          <w:sz w:val="24"/>
          <w:szCs w:val="24"/>
        </w:rPr>
        <w:t xml:space="preserve">detectadas, aspiram assegurar à Administração deste Regional </w:t>
      </w:r>
      <w:r>
        <w:rPr>
          <w:rFonts w:ascii="Times New Roman" w:hAnsi="Times New Roman"/>
          <w:sz w:val="24"/>
          <w:szCs w:val="24"/>
        </w:rPr>
        <w:t>fundamentação necessária à tomada de decisão quanto à</w:t>
      </w:r>
      <w:r w:rsidRPr="00CC669B">
        <w:rPr>
          <w:rFonts w:ascii="Times New Roman" w:hAnsi="Times New Roman"/>
          <w:sz w:val="24"/>
          <w:szCs w:val="24"/>
        </w:rPr>
        <w:t xml:space="preserve"> </w:t>
      </w:r>
      <w:proofErr w:type="gramStart"/>
      <w:r w:rsidRPr="00CC669B">
        <w:rPr>
          <w:rFonts w:ascii="Times New Roman" w:hAnsi="Times New Roman"/>
          <w:sz w:val="24"/>
          <w:szCs w:val="24"/>
        </w:rPr>
        <w:t>implementação</w:t>
      </w:r>
      <w:proofErr w:type="gramEnd"/>
      <w:r w:rsidRPr="00CC669B">
        <w:rPr>
          <w:rFonts w:ascii="Times New Roman" w:hAnsi="Times New Roman"/>
          <w:sz w:val="24"/>
          <w:szCs w:val="24"/>
        </w:rPr>
        <w:t xml:space="preserve"> e/ou aperfeiçoamento de </w:t>
      </w:r>
      <w:r>
        <w:rPr>
          <w:rFonts w:ascii="Times New Roman" w:hAnsi="Times New Roman"/>
          <w:sz w:val="24"/>
          <w:szCs w:val="24"/>
        </w:rPr>
        <w:t>aspectos relevantes relacionados à governança de TI institucional, especialmente no que tange ao alinhamento dos objetivos afetos à tecnologia da informação às estratégias de negócio do Órgão.</w:t>
      </w:r>
    </w:p>
    <w:p w:rsidR="006848EF" w:rsidRPr="009D30C0" w:rsidRDefault="006848EF" w:rsidP="009D30C0">
      <w:pPr>
        <w:autoSpaceDE w:val="0"/>
        <w:autoSpaceDN w:val="0"/>
        <w:adjustRightInd w:val="0"/>
        <w:spacing w:after="0" w:line="240" w:lineRule="auto"/>
        <w:rPr>
          <w:rFonts w:ascii="Times New Roman" w:hAnsi="Times New Roman"/>
          <w:color w:val="000000"/>
          <w:sz w:val="24"/>
          <w:szCs w:val="24"/>
        </w:rPr>
      </w:pPr>
    </w:p>
    <w:p w:rsidR="006848EF" w:rsidRDefault="006848EF" w:rsidP="003C11ED">
      <w:pPr>
        <w:widowControl w:val="0"/>
        <w:tabs>
          <w:tab w:val="left" w:pos="214"/>
        </w:tabs>
        <w:spacing w:before="120" w:after="120" w:line="240" w:lineRule="auto"/>
        <w:jc w:val="both"/>
        <w:rPr>
          <w:rFonts w:ascii="Times New Roman" w:hAnsi="Times New Roman"/>
          <w:sz w:val="24"/>
          <w:szCs w:val="24"/>
        </w:rPr>
      </w:pPr>
    </w:p>
    <w:p w:rsidR="006848EF" w:rsidRDefault="006848EF" w:rsidP="002D5858">
      <w:pPr>
        <w:widowControl w:val="0"/>
        <w:tabs>
          <w:tab w:val="left" w:pos="214"/>
        </w:tabs>
        <w:spacing w:after="0" w:line="240" w:lineRule="auto"/>
        <w:jc w:val="center"/>
        <w:rPr>
          <w:rFonts w:ascii="Times New Roman" w:hAnsi="Times New Roman"/>
          <w:b/>
          <w:sz w:val="24"/>
          <w:szCs w:val="24"/>
        </w:rPr>
        <w:sectPr w:rsidR="006848EF" w:rsidSect="006B28D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pPr>
    </w:p>
    <w:p w:rsidR="006848EF" w:rsidRPr="00103D34" w:rsidRDefault="006848EF">
      <w:pPr>
        <w:pStyle w:val="CabealhodoSumrio"/>
        <w:rPr>
          <w:rFonts w:ascii="Times New Roman" w:hAnsi="Times New Roman"/>
          <w:caps/>
          <w:color w:val="auto"/>
          <w:sz w:val="24"/>
          <w:szCs w:val="24"/>
        </w:rPr>
      </w:pPr>
      <w:r w:rsidRPr="00103D34">
        <w:rPr>
          <w:rFonts w:ascii="Times New Roman" w:hAnsi="Times New Roman"/>
          <w:caps/>
          <w:color w:val="auto"/>
          <w:sz w:val="24"/>
          <w:szCs w:val="24"/>
        </w:rPr>
        <w:lastRenderedPageBreak/>
        <w:t>Sumário</w:t>
      </w:r>
    </w:p>
    <w:p w:rsidR="006848EF" w:rsidRPr="006C216E" w:rsidRDefault="006848EF" w:rsidP="006C216E">
      <w:pPr>
        <w:rPr>
          <w:lang w:eastAsia="pt-BR"/>
        </w:rPr>
      </w:pPr>
    </w:p>
    <w:p w:rsidR="006848EF" w:rsidRDefault="006848EF">
      <w:pPr>
        <w:pStyle w:val="Sumrio1"/>
        <w:rPr>
          <w:rFonts w:ascii="Calibri" w:hAnsi="Calibri"/>
          <w:sz w:val="22"/>
          <w:szCs w:val="22"/>
          <w:lang w:eastAsia="pt-BR"/>
        </w:rPr>
      </w:pPr>
      <w:r>
        <w:fldChar w:fldCharType="begin"/>
      </w:r>
      <w:r>
        <w:instrText xml:space="preserve"> TOC \o "1-3" \h \z \u </w:instrText>
      </w:r>
      <w:r>
        <w:fldChar w:fldCharType="separate"/>
      </w:r>
      <w:hyperlink w:anchor="_Toc396482378" w:history="1">
        <w:r w:rsidRPr="006439B8">
          <w:rPr>
            <w:rStyle w:val="Hyperlink"/>
          </w:rPr>
          <w:t>1</w:t>
        </w:r>
        <w:r>
          <w:rPr>
            <w:rFonts w:ascii="Calibri" w:hAnsi="Calibri"/>
            <w:sz w:val="22"/>
            <w:szCs w:val="22"/>
            <w:lang w:eastAsia="pt-BR"/>
          </w:rPr>
          <w:tab/>
        </w:r>
        <w:r w:rsidRPr="006439B8">
          <w:rPr>
            <w:rStyle w:val="Hyperlink"/>
          </w:rPr>
          <w:t>APRESENTAÇÃO</w:t>
        </w:r>
        <w:r>
          <w:rPr>
            <w:webHidden/>
          </w:rPr>
          <w:tab/>
        </w:r>
        <w:r>
          <w:rPr>
            <w:webHidden/>
          </w:rPr>
          <w:fldChar w:fldCharType="begin"/>
        </w:r>
        <w:r>
          <w:rPr>
            <w:webHidden/>
          </w:rPr>
          <w:instrText xml:space="preserve"> PAGEREF _Toc396482378 \h </w:instrText>
        </w:r>
        <w:r>
          <w:rPr>
            <w:webHidden/>
          </w:rPr>
        </w:r>
        <w:r>
          <w:rPr>
            <w:webHidden/>
          </w:rPr>
          <w:fldChar w:fldCharType="separate"/>
        </w:r>
        <w:r>
          <w:rPr>
            <w:webHidden/>
          </w:rPr>
          <w:t>5</w:t>
        </w:r>
        <w:r>
          <w:rPr>
            <w:webHidden/>
          </w:rPr>
          <w:fldChar w:fldCharType="end"/>
        </w:r>
      </w:hyperlink>
    </w:p>
    <w:p w:rsidR="006848EF" w:rsidRDefault="003F6931">
      <w:pPr>
        <w:pStyle w:val="Sumrio1"/>
        <w:rPr>
          <w:rFonts w:ascii="Calibri" w:hAnsi="Calibri"/>
          <w:sz w:val="22"/>
          <w:szCs w:val="22"/>
          <w:lang w:eastAsia="pt-BR"/>
        </w:rPr>
      </w:pPr>
      <w:hyperlink w:anchor="_Toc396482379" w:history="1">
        <w:r w:rsidR="006848EF" w:rsidRPr="006439B8">
          <w:rPr>
            <w:rStyle w:val="Hyperlink"/>
          </w:rPr>
          <w:t>2</w:t>
        </w:r>
        <w:r w:rsidR="006848EF">
          <w:rPr>
            <w:rFonts w:ascii="Calibri" w:hAnsi="Calibri"/>
            <w:sz w:val="22"/>
            <w:szCs w:val="22"/>
            <w:lang w:eastAsia="pt-BR"/>
          </w:rPr>
          <w:tab/>
        </w:r>
        <w:r w:rsidR="006848EF" w:rsidRPr="006439B8">
          <w:rPr>
            <w:rStyle w:val="Hyperlink"/>
          </w:rPr>
          <w:t>INTRODUÇÃO</w:t>
        </w:r>
        <w:r w:rsidR="006848EF">
          <w:rPr>
            <w:webHidden/>
          </w:rPr>
          <w:tab/>
        </w:r>
        <w:r w:rsidR="006848EF">
          <w:rPr>
            <w:webHidden/>
          </w:rPr>
          <w:fldChar w:fldCharType="begin"/>
        </w:r>
        <w:r w:rsidR="006848EF">
          <w:rPr>
            <w:webHidden/>
          </w:rPr>
          <w:instrText xml:space="preserve"> PAGEREF _Toc396482379 \h </w:instrText>
        </w:r>
        <w:r w:rsidR="006848EF">
          <w:rPr>
            <w:webHidden/>
          </w:rPr>
        </w:r>
        <w:r w:rsidR="006848EF">
          <w:rPr>
            <w:webHidden/>
          </w:rPr>
          <w:fldChar w:fldCharType="separate"/>
        </w:r>
        <w:r w:rsidR="006848EF">
          <w:rPr>
            <w:webHidden/>
          </w:rPr>
          <w:t>6</w:t>
        </w:r>
        <w:r w:rsidR="006848EF">
          <w:rPr>
            <w:webHidden/>
          </w:rPr>
          <w:fldChar w:fldCharType="end"/>
        </w:r>
      </w:hyperlink>
    </w:p>
    <w:p w:rsidR="006848EF" w:rsidRDefault="003F6931">
      <w:pPr>
        <w:pStyle w:val="Sumrio1"/>
        <w:rPr>
          <w:rFonts w:ascii="Calibri" w:hAnsi="Calibri"/>
          <w:sz w:val="22"/>
          <w:szCs w:val="22"/>
          <w:lang w:eastAsia="pt-BR"/>
        </w:rPr>
      </w:pPr>
      <w:hyperlink w:anchor="_Toc396482381" w:history="1">
        <w:r w:rsidR="006848EF" w:rsidRPr="006439B8">
          <w:rPr>
            <w:rStyle w:val="Hyperlink"/>
          </w:rPr>
          <w:t>3</w:t>
        </w:r>
        <w:r w:rsidR="006848EF">
          <w:rPr>
            <w:rFonts w:ascii="Calibri" w:hAnsi="Calibri"/>
            <w:sz w:val="22"/>
            <w:szCs w:val="22"/>
            <w:lang w:eastAsia="pt-BR"/>
          </w:rPr>
          <w:tab/>
        </w:r>
        <w:r w:rsidR="006848EF" w:rsidRPr="006439B8">
          <w:rPr>
            <w:rStyle w:val="Hyperlink"/>
          </w:rPr>
          <w:t>ANÁLISE DAS FONTES DE INFORMAÇÃO</w:t>
        </w:r>
        <w:r w:rsidR="006848EF">
          <w:rPr>
            <w:webHidden/>
          </w:rPr>
          <w:tab/>
        </w:r>
        <w:r w:rsidR="006848EF">
          <w:rPr>
            <w:webHidden/>
          </w:rPr>
          <w:fldChar w:fldCharType="begin"/>
        </w:r>
        <w:r w:rsidR="006848EF">
          <w:rPr>
            <w:webHidden/>
          </w:rPr>
          <w:instrText xml:space="preserve"> PAGEREF _Toc396482381 \h </w:instrText>
        </w:r>
        <w:r w:rsidR="006848EF">
          <w:rPr>
            <w:webHidden/>
          </w:rPr>
        </w:r>
        <w:r w:rsidR="006848EF">
          <w:rPr>
            <w:webHidden/>
          </w:rPr>
          <w:fldChar w:fldCharType="separate"/>
        </w:r>
        <w:r w:rsidR="006848EF">
          <w:rPr>
            <w:webHidden/>
          </w:rPr>
          <w:t>7</w:t>
        </w:r>
        <w:r w:rsidR="006848EF">
          <w:rPr>
            <w:webHidden/>
          </w:rPr>
          <w:fldChar w:fldCharType="end"/>
        </w:r>
      </w:hyperlink>
    </w:p>
    <w:p w:rsidR="006848EF" w:rsidRDefault="003F6931">
      <w:pPr>
        <w:pStyle w:val="Sumrio1"/>
        <w:rPr>
          <w:rFonts w:ascii="Calibri" w:hAnsi="Calibri"/>
          <w:sz w:val="22"/>
          <w:szCs w:val="22"/>
          <w:lang w:eastAsia="pt-BR"/>
        </w:rPr>
      </w:pPr>
      <w:hyperlink w:anchor="_Toc396482382" w:history="1">
        <w:r w:rsidR="006848EF" w:rsidRPr="006439B8">
          <w:rPr>
            <w:rStyle w:val="Hyperlink"/>
          </w:rPr>
          <w:t>4</w:t>
        </w:r>
        <w:r w:rsidR="006848EF">
          <w:rPr>
            <w:rFonts w:ascii="Calibri" w:hAnsi="Calibri"/>
            <w:sz w:val="22"/>
            <w:szCs w:val="22"/>
            <w:lang w:eastAsia="pt-BR"/>
          </w:rPr>
          <w:tab/>
        </w:r>
        <w:r w:rsidR="006848EF" w:rsidRPr="006439B8">
          <w:rPr>
            <w:rStyle w:val="Hyperlink"/>
          </w:rPr>
          <w:t>ACHADOS DE AUDITORIA</w:t>
        </w:r>
        <w:r w:rsidR="006848EF">
          <w:rPr>
            <w:webHidden/>
          </w:rPr>
          <w:tab/>
        </w:r>
        <w:r w:rsidR="006848EF">
          <w:rPr>
            <w:webHidden/>
          </w:rPr>
          <w:fldChar w:fldCharType="begin"/>
        </w:r>
        <w:r w:rsidR="006848EF">
          <w:rPr>
            <w:webHidden/>
          </w:rPr>
          <w:instrText xml:space="preserve"> PAGEREF _Toc396482382 \h </w:instrText>
        </w:r>
        <w:r w:rsidR="006848EF">
          <w:rPr>
            <w:webHidden/>
          </w:rPr>
        </w:r>
        <w:r w:rsidR="006848EF">
          <w:rPr>
            <w:webHidden/>
          </w:rPr>
          <w:fldChar w:fldCharType="separate"/>
        </w:r>
        <w:r w:rsidR="006848EF">
          <w:rPr>
            <w:webHidden/>
          </w:rPr>
          <w:t>9</w:t>
        </w:r>
        <w:r w:rsidR="006848EF">
          <w:rPr>
            <w:webHidden/>
          </w:rPr>
          <w:fldChar w:fldCharType="end"/>
        </w:r>
      </w:hyperlink>
    </w:p>
    <w:p w:rsidR="006848EF" w:rsidRDefault="003F6931">
      <w:pPr>
        <w:pStyle w:val="Sumrio1"/>
        <w:rPr>
          <w:rFonts w:ascii="Calibri" w:hAnsi="Calibri"/>
          <w:sz w:val="22"/>
          <w:szCs w:val="22"/>
          <w:lang w:eastAsia="pt-BR"/>
        </w:rPr>
      </w:pPr>
      <w:hyperlink w:anchor="_Toc396482383" w:history="1">
        <w:r w:rsidR="006848EF" w:rsidRPr="006439B8">
          <w:rPr>
            <w:rStyle w:val="Hyperlink"/>
          </w:rPr>
          <w:t>5</w:t>
        </w:r>
        <w:r w:rsidR="006848EF">
          <w:rPr>
            <w:rFonts w:ascii="Calibri" w:hAnsi="Calibri"/>
            <w:sz w:val="22"/>
            <w:szCs w:val="22"/>
            <w:lang w:eastAsia="pt-BR"/>
          </w:rPr>
          <w:tab/>
        </w:r>
        <w:r w:rsidR="006848EF" w:rsidRPr="006439B8">
          <w:rPr>
            <w:rStyle w:val="Hyperlink"/>
          </w:rPr>
          <w:t>CONCLUSÕES</w:t>
        </w:r>
        <w:r w:rsidR="006848EF">
          <w:rPr>
            <w:webHidden/>
          </w:rPr>
          <w:tab/>
        </w:r>
        <w:r w:rsidR="006848EF">
          <w:rPr>
            <w:webHidden/>
          </w:rPr>
          <w:fldChar w:fldCharType="begin"/>
        </w:r>
        <w:r w:rsidR="006848EF">
          <w:rPr>
            <w:webHidden/>
          </w:rPr>
          <w:instrText xml:space="preserve"> PAGEREF _Toc396482383 \h </w:instrText>
        </w:r>
        <w:r w:rsidR="006848EF">
          <w:rPr>
            <w:webHidden/>
          </w:rPr>
        </w:r>
        <w:r w:rsidR="006848EF">
          <w:rPr>
            <w:webHidden/>
          </w:rPr>
          <w:fldChar w:fldCharType="separate"/>
        </w:r>
        <w:r w:rsidR="006848EF">
          <w:rPr>
            <w:webHidden/>
          </w:rPr>
          <w:t>13</w:t>
        </w:r>
        <w:r w:rsidR="006848EF">
          <w:rPr>
            <w:webHidden/>
          </w:rPr>
          <w:fldChar w:fldCharType="end"/>
        </w:r>
      </w:hyperlink>
    </w:p>
    <w:p w:rsidR="006848EF" w:rsidRDefault="003F6931">
      <w:pPr>
        <w:pStyle w:val="Sumrio1"/>
        <w:rPr>
          <w:rFonts w:ascii="Calibri" w:hAnsi="Calibri"/>
          <w:sz w:val="22"/>
          <w:szCs w:val="22"/>
          <w:lang w:eastAsia="pt-BR"/>
        </w:rPr>
      </w:pPr>
      <w:hyperlink w:anchor="_Toc396482384" w:history="1">
        <w:r w:rsidR="006848EF" w:rsidRPr="006439B8">
          <w:rPr>
            <w:rStyle w:val="Hyperlink"/>
          </w:rPr>
          <w:t>6</w:t>
        </w:r>
        <w:r w:rsidR="006848EF">
          <w:rPr>
            <w:rFonts w:ascii="Calibri" w:hAnsi="Calibri"/>
            <w:sz w:val="22"/>
            <w:szCs w:val="22"/>
            <w:lang w:eastAsia="pt-BR"/>
          </w:rPr>
          <w:tab/>
        </w:r>
        <w:r w:rsidR="006848EF" w:rsidRPr="006439B8">
          <w:rPr>
            <w:rStyle w:val="Hyperlink"/>
          </w:rPr>
          <w:t>PROPOSTAS DE ENCAMINHAMENTO</w:t>
        </w:r>
        <w:r w:rsidR="006848EF">
          <w:rPr>
            <w:webHidden/>
          </w:rPr>
          <w:tab/>
        </w:r>
        <w:r w:rsidR="006848EF">
          <w:rPr>
            <w:webHidden/>
          </w:rPr>
          <w:fldChar w:fldCharType="begin"/>
        </w:r>
        <w:r w:rsidR="006848EF">
          <w:rPr>
            <w:webHidden/>
          </w:rPr>
          <w:instrText xml:space="preserve"> PAGEREF _Toc396482384 \h </w:instrText>
        </w:r>
        <w:r w:rsidR="006848EF">
          <w:rPr>
            <w:webHidden/>
          </w:rPr>
        </w:r>
        <w:r w:rsidR="006848EF">
          <w:rPr>
            <w:webHidden/>
          </w:rPr>
          <w:fldChar w:fldCharType="separate"/>
        </w:r>
        <w:r w:rsidR="006848EF">
          <w:rPr>
            <w:webHidden/>
          </w:rPr>
          <w:t>13</w:t>
        </w:r>
        <w:r w:rsidR="006848EF">
          <w:rPr>
            <w:webHidden/>
          </w:rPr>
          <w:fldChar w:fldCharType="end"/>
        </w:r>
      </w:hyperlink>
    </w:p>
    <w:p w:rsidR="006848EF" w:rsidRDefault="003F6931">
      <w:pPr>
        <w:pStyle w:val="Sumrio1"/>
        <w:rPr>
          <w:rFonts w:ascii="Calibri" w:hAnsi="Calibri"/>
          <w:sz w:val="22"/>
          <w:szCs w:val="22"/>
          <w:lang w:eastAsia="pt-BR"/>
        </w:rPr>
      </w:pPr>
      <w:hyperlink w:anchor="_Toc396482385" w:history="1">
        <w:r w:rsidR="006848EF" w:rsidRPr="006439B8">
          <w:rPr>
            <w:rStyle w:val="Hyperlink"/>
          </w:rPr>
          <w:t>7</w:t>
        </w:r>
        <w:r w:rsidR="006848EF">
          <w:rPr>
            <w:rFonts w:ascii="Calibri" w:hAnsi="Calibri"/>
            <w:sz w:val="22"/>
            <w:szCs w:val="22"/>
            <w:lang w:eastAsia="pt-BR"/>
          </w:rPr>
          <w:tab/>
        </w:r>
        <w:r w:rsidR="006848EF" w:rsidRPr="006439B8">
          <w:rPr>
            <w:rStyle w:val="Hyperlink"/>
          </w:rPr>
          <w:t>REFERÊNCIAS</w:t>
        </w:r>
        <w:r w:rsidR="006848EF">
          <w:rPr>
            <w:webHidden/>
          </w:rPr>
          <w:tab/>
        </w:r>
        <w:r w:rsidR="006848EF">
          <w:rPr>
            <w:webHidden/>
          </w:rPr>
          <w:fldChar w:fldCharType="begin"/>
        </w:r>
        <w:r w:rsidR="006848EF">
          <w:rPr>
            <w:webHidden/>
          </w:rPr>
          <w:instrText xml:space="preserve"> PAGEREF _Toc396482385 \h </w:instrText>
        </w:r>
        <w:r w:rsidR="006848EF">
          <w:rPr>
            <w:webHidden/>
          </w:rPr>
        </w:r>
        <w:r w:rsidR="006848EF">
          <w:rPr>
            <w:webHidden/>
          </w:rPr>
          <w:fldChar w:fldCharType="separate"/>
        </w:r>
        <w:r w:rsidR="006848EF">
          <w:rPr>
            <w:webHidden/>
          </w:rPr>
          <w:t>15</w:t>
        </w:r>
        <w:r w:rsidR="006848EF">
          <w:rPr>
            <w:webHidden/>
          </w:rPr>
          <w:fldChar w:fldCharType="end"/>
        </w:r>
      </w:hyperlink>
    </w:p>
    <w:p w:rsidR="006848EF" w:rsidRDefault="006848EF">
      <w:r>
        <w:fldChar w:fldCharType="end"/>
      </w:r>
    </w:p>
    <w:p w:rsidR="006848EF" w:rsidRPr="00F86DB6" w:rsidRDefault="006848EF" w:rsidP="00F86DB6">
      <w:pPr>
        <w:pStyle w:val="PargrafodaLista"/>
        <w:spacing w:before="360" w:after="240"/>
        <w:ind w:left="357" w:hanging="357"/>
        <w:contextualSpacing w:val="0"/>
        <w:rPr>
          <w:sz w:val="24"/>
          <w:szCs w:val="24"/>
        </w:rPr>
      </w:pPr>
      <w:r>
        <w:br w:type="page"/>
      </w:r>
      <w:bookmarkStart w:id="0" w:name="_Toc396482378"/>
      <w:r w:rsidRPr="00F86DB6">
        <w:rPr>
          <w:sz w:val="24"/>
          <w:szCs w:val="24"/>
        </w:rPr>
        <w:lastRenderedPageBreak/>
        <w:t>APRESENTAÇÃO</w:t>
      </w:r>
      <w:bookmarkEnd w:id="0"/>
    </w:p>
    <w:p w:rsidR="006848EF" w:rsidRPr="00B9487A" w:rsidRDefault="006848EF" w:rsidP="008F27E4">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A</w:t>
      </w:r>
      <w:r w:rsidRPr="00AE16FD">
        <w:rPr>
          <w:rFonts w:ascii="Times New Roman" w:hAnsi="Times New Roman"/>
          <w:sz w:val="24"/>
          <w:szCs w:val="24"/>
        </w:rPr>
        <w:t xml:space="preserve"> Auditoria de </w:t>
      </w:r>
      <w:r>
        <w:rPr>
          <w:rFonts w:ascii="Times New Roman" w:hAnsi="Times New Roman"/>
          <w:sz w:val="24"/>
          <w:szCs w:val="24"/>
        </w:rPr>
        <w:t>Gestão de Tecnologia da Informação (TI) integra a</w:t>
      </w:r>
      <w:r w:rsidRPr="00AE16FD">
        <w:rPr>
          <w:rFonts w:ascii="Times New Roman" w:hAnsi="Times New Roman"/>
          <w:sz w:val="24"/>
          <w:szCs w:val="24"/>
        </w:rPr>
        <w:t xml:space="preserve"> Auditoria de Gestão referente ao exercício 2013, prevista no Plano Anual de Atividades de Auditoria 2014 (PAAA 2014)</w:t>
      </w:r>
      <w:r>
        <w:rPr>
          <w:rFonts w:ascii="Times New Roman" w:hAnsi="Times New Roman"/>
          <w:sz w:val="24"/>
          <w:szCs w:val="24"/>
        </w:rPr>
        <w:t xml:space="preserve"> deste Tribunal Regional Eleitoral da Bahia (TRE-BA)</w:t>
      </w:r>
      <w:r w:rsidRPr="00AE16FD">
        <w:rPr>
          <w:rFonts w:ascii="Times New Roman" w:hAnsi="Times New Roman"/>
          <w:sz w:val="24"/>
          <w:szCs w:val="24"/>
        </w:rPr>
        <w:t xml:space="preserve">, aprovado por meio da Portaria da Presidência </w:t>
      </w:r>
      <w:r>
        <w:rPr>
          <w:rFonts w:ascii="Times New Roman" w:hAnsi="Times New Roman"/>
          <w:sz w:val="24"/>
          <w:szCs w:val="24"/>
        </w:rPr>
        <w:t xml:space="preserve">deste Regional </w:t>
      </w:r>
      <w:r w:rsidRPr="00AE16FD">
        <w:rPr>
          <w:rFonts w:ascii="Times New Roman" w:hAnsi="Times New Roman"/>
          <w:sz w:val="24"/>
          <w:szCs w:val="24"/>
        </w:rPr>
        <w:t>nº 933, de 6 d</w:t>
      </w:r>
      <w:r>
        <w:rPr>
          <w:rFonts w:ascii="Times New Roman" w:hAnsi="Times New Roman"/>
          <w:sz w:val="24"/>
          <w:szCs w:val="24"/>
        </w:rPr>
        <w:t xml:space="preserve">e novembro de 2013, </w:t>
      </w:r>
      <w:r w:rsidRPr="00B9487A">
        <w:rPr>
          <w:rFonts w:ascii="Times New Roman" w:hAnsi="Times New Roman"/>
          <w:sz w:val="24"/>
          <w:szCs w:val="24"/>
        </w:rPr>
        <w:t>integrante do objeto dos Comunicados de Auditoria nºs 1-5/2014.</w:t>
      </w:r>
    </w:p>
    <w:p w:rsidR="006848EF" w:rsidRPr="00DB2FE2" w:rsidRDefault="006848EF" w:rsidP="00CF5335">
      <w:pPr>
        <w:widowControl w:val="0"/>
        <w:tabs>
          <w:tab w:val="left" w:pos="214"/>
        </w:tabs>
        <w:spacing w:before="120" w:after="120" w:line="240" w:lineRule="auto"/>
        <w:jc w:val="both"/>
        <w:rPr>
          <w:rFonts w:ascii="Times New Roman" w:hAnsi="Times New Roman"/>
          <w:spacing w:val="-6"/>
          <w:sz w:val="24"/>
          <w:szCs w:val="24"/>
          <w:lang w:eastAsia="pt-BR"/>
        </w:rPr>
      </w:pPr>
      <w:r w:rsidRPr="00DB2FE2">
        <w:rPr>
          <w:rFonts w:ascii="Times New Roman" w:hAnsi="Times New Roman"/>
          <w:spacing w:val="-6"/>
          <w:sz w:val="24"/>
          <w:szCs w:val="24"/>
          <w:lang w:eastAsia="pt-BR"/>
        </w:rPr>
        <w:t>Fundamentou-se n</w:t>
      </w:r>
      <w:r w:rsidRPr="00DB2FE2">
        <w:rPr>
          <w:rFonts w:ascii="Times New Roman" w:hAnsi="Times New Roman"/>
          <w:spacing w:val="-6"/>
          <w:sz w:val="24"/>
          <w:szCs w:val="24"/>
        </w:rPr>
        <w:t>o quanto disposto no item 8, do Quadro 1, do Anexo IV, da Decisão Normativa (DN) do Tribunal de Contas da União (TCU) nº 132, de 2 de outubro de 2013, e teve por</w:t>
      </w:r>
      <w:r w:rsidRPr="00DB2FE2">
        <w:rPr>
          <w:rFonts w:ascii="Times New Roman" w:hAnsi="Times New Roman"/>
          <w:spacing w:val="-6"/>
          <w:sz w:val="24"/>
          <w:szCs w:val="24"/>
          <w:lang w:eastAsia="pt-BR"/>
        </w:rPr>
        <w:t xml:space="preserve"> objetivo </w:t>
      </w:r>
      <w:r w:rsidRPr="00DB2FE2">
        <w:rPr>
          <w:rFonts w:ascii="Times New Roman" w:hAnsi="Times New Roman"/>
          <w:spacing w:val="-6"/>
          <w:sz w:val="24"/>
          <w:szCs w:val="24"/>
        </w:rPr>
        <w:t>identificar a aderência da gestão de TI deste Regional em relação aos seguintes aspectos: planejamento estratégico formalizado na área de TI; perfil dos servidores lotados na unidade de TI e sua correlação com as atividades desenvolvidas; procedimentos de segurança e salvaguarda de informações; capacidade de atendimento às demandas de desenvolvimento e produção de sistemas; planejamento das contratações de bens e serviços de TI; processo de trabalho formalizado de gestão de contratos de bens e serviços de TI; e política de identificação e mitigação dos riscos associados às atividades críticas da área.</w:t>
      </w:r>
    </w:p>
    <w:p w:rsidR="006848EF" w:rsidRPr="00BF124B" w:rsidRDefault="006848EF" w:rsidP="008F27E4">
      <w:pPr>
        <w:spacing w:before="120" w:after="120" w:line="240" w:lineRule="auto"/>
        <w:jc w:val="both"/>
        <w:rPr>
          <w:rFonts w:ascii="Times New Roman" w:hAnsi="Times New Roman"/>
          <w:snapToGrid w:val="0"/>
          <w:spacing w:val="-6"/>
          <w:sz w:val="24"/>
          <w:szCs w:val="24"/>
          <w:lang w:eastAsia="pt-BR"/>
        </w:rPr>
      </w:pPr>
      <w:r w:rsidRPr="00BF124B">
        <w:rPr>
          <w:rFonts w:ascii="Times New Roman" w:hAnsi="Times New Roman"/>
          <w:snapToGrid w:val="0"/>
          <w:spacing w:val="-6"/>
          <w:sz w:val="24"/>
          <w:szCs w:val="24"/>
          <w:lang w:eastAsia="pt-BR"/>
        </w:rPr>
        <w:t>Para elucidação das questões de auditoria formuladas, foram utilizadas técnicas de análise documental, exame de registros</w:t>
      </w:r>
      <w:r>
        <w:rPr>
          <w:rFonts w:ascii="Times New Roman" w:hAnsi="Times New Roman"/>
          <w:snapToGrid w:val="0"/>
          <w:spacing w:val="-6"/>
          <w:sz w:val="24"/>
          <w:szCs w:val="24"/>
          <w:lang w:eastAsia="pt-BR"/>
        </w:rPr>
        <w:t xml:space="preserve"> e</w:t>
      </w:r>
      <w:r w:rsidRPr="00BF124B">
        <w:rPr>
          <w:rFonts w:ascii="Times New Roman" w:hAnsi="Times New Roman"/>
          <w:snapToGrid w:val="0"/>
          <w:spacing w:val="-6"/>
          <w:sz w:val="24"/>
          <w:szCs w:val="24"/>
          <w:lang w:eastAsia="pt-BR"/>
        </w:rPr>
        <w:t xml:space="preserve"> correlação entre informações obtidas. Para obtenção das informações que subsidiaram os exames realizados emitiu-se a Requisição de Documentos ou Informações (RDI) nº 3/2014/SCI e o Memorando Circular nº 16/2014/SCI.</w:t>
      </w:r>
    </w:p>
    <w:p w:rsidR="006848EF" w:rsidRPr="00F86DB6" w:rsidRDefault="006848EF" w:rsidP="008F27E4">
      <w:pPr>
        <w:spacing w:before="120" w:after="120" w:line="240" w:lineRule="auto"/>
        <w:jc w:val="both"/>
        <w:rPr>
          <w:rFonts w:ascii="Times New Roman" w:hAnsi="Times New Roman"/>
          <w:spacing w:val="-10"/>
          <w:sz w:val="24"/>
          <w:szCs w:val="24"/>
        </w:rPr>
      </w:pPr>
      <w:r w:rsidRPr="00F86DB6">
        <w:rPr>
          <w:rFonts w:ascii="Times New Roman" w:hAnsi="Times New Roman"/>
          <w:snapToGrid w:val="0"/>
          <w:spacing w:val="-10"/>
          <w:sz w:val="24"/>
          <w:szCs w:val="24"/>
          <w:lang w:eastAsia="pt-BR"/>
        </w:rPr>
        <w:t xml:space="preserve">Serviram de substrato informativo os seguintes normativos: Resolução Administrativa TRE-BA nº 3, de 26 de abril de 2010, que estabelece o Planejamento Estratégico de TI do TRE-BA para o período 2010-2014; Portaria da Diretoria-Geral do TRE-BA nº 573, de 2 de outubro de 2009, que constitui Comissão de Segurança da Informação (CSI) institucional; Resolução do Tribunal Superior Eleitoral (TSE) nº 22.780, de 24 de abril de 2008, que estabelece a Política de Segurança da Informação (PSI) no âmbito da Justiça Eleitoral; </w:t>
      </w:r>
      <w:r w:rsidRPr="00F86DB6">
        <w:rPr>
          <w:rFonts w:ascii="Times New Roman" w:hAnsi="Times New Roman"/>
          <w:spacing w:val="-10"/>
          <w:sz w:val="24"/>
          <w:szCs w:val="24"/>
        </w:rPr>
        <w:t xml:space="preserve">Acórdão TCU - Plenário nº 2.308, de 8 de setembro de 2010, que estabelece parâmetros afetos à governança de TI no âmbito da Administração Pública Federal; </w:t>
      </w:r>
      <w:r w:rsidRPr="00F86DB6">
        <w:rPr>
          <w:rFonts w:ascii="Times New Roman" w:hAnsi="Times New Roman"/>
          <w:snapToGrid w:val="0"/>
          <w:spacing w:val="-10"/>
          <w:sz w:val="24"/>
          <w:szCs w:val="24"/>
          <w:lang w:eastAsia="pt-BR"/>
        </w:rPr>
        <w:t xml:space="preserve"> Resoluções CNJ nºs 90, de 29 de setembro de 2009, que dispõe sobre </w:t>
      </w:r>
      <w:r w:rsidRPr="00F86DB6">
        <w:rPr>
          <w:rFonts w:ascii="Times New Roman" w:hAnsi="Times New Roman"/>
          <w:spacing w:val="-10"/>
          <w:sz w:val="24"/>
          <w:szCs w:val="24"/>
        </w:rPr>
        <w:t>requisitos de nivelamento de tecnologia da informação no âmbito do Poder Judiciário</w:t>
      </w:r>
      <w:r w:rsidRPr="00F86DB6">
        <w:rPr>
          <w:rFonts w:ascii="Times New Roman" w:hAnsi="Times New Roman"/>
          <w:snapToGrid w:val="0"/>
          <w:spacing w:val="-10"/>
          <w:sz w:val="24"/>
          <w:szCs w:val="24"/>
          <w:lang w:eastAsia="pt-BR"/>
        </w:rPr>
        <w:t>, e 99, de 24 de novembro de 2009, que i</w:t>
      </w:r>
      <w:r w:rsidRPr="00F86DB6">
        <w:rPr>
          <w:rFonts w:ascii="Times New Roman" w:hAnsi="Times New Roman"/>
          <w:spacing w:val="-10"/>
          <w:sz w:val="24"/>
          <w:szCs w:val="24"/>
        </w:rPr>
        <w:t>nstitui o Planejamento Estratégico de Tecnologia da Informação e Comunicação (TIC) no âmbito do Poder Judiciário; e Portaria da Presidência do TRE-BA nº 9, de 6 de janeiro de 2010, que institui Comitê Gestor de TI no âmbito deste Regional.</w:t>
      </w:r>
    </w:p>
    <w:p w:rsidR="006848EF" w:rsidRPr="00E74627" w:rsidRDefault="006848EF" w:rsidP="004E4E76">
      <w:pPr>
        <w:widowControl w:val="0"/>
        <w:tabs>
          <w:tab w:val="left" w:pos="214"/>
        </w:tabs>
        <w:spacing w:before="120" w:after="120" w:line="240" w:lineRule="auto"/>
        <w:jc w:val="both"/>
        <w:rPr>
          <w:rFonts w:ascii="Times New Roman" w:hAnsi="Times New Roman"/>
          <w:spacing w:val="-10"/>
          <w:sz w:val="24"/>
          <w:szCs w:val="24"/>
        </w:rPr>
      </w:pPr>
      <w:r w:rsidRPr="00E74627">
        <w:rPr>
          <w:rFonts w:ascii="Times New Roman" w:hAnsi="Times New Roman"/>
          <w:snapToGrid w:val="0"/>
          <w:spacing w:val="-10"/>
          <w:sz w:val="24"/>
          <w:szCs w:val="24"/>
          <w:lang w:eastAsia="pt-BR"/>
        </w:rPr>
        <w:t xml:space="preserve">Espera-se que o presente diagnóstico acerca do nível de aderência da gestão de TI implementada no âmbito deste Regional aos aspectos relevantes relacionados à governança da área seja recepcionado pela Alta Gestão como instrumental para o processo decisório, notadamente no que tange à adoção de medidas destinadas a aprimorar a estrutura de governança de TI institucional, de modo a alinhar </w:t>
      </w:r>
      <w:r w:rsidRPr="00E74627">
        <w:rPr>
          <w:rFonts w:ascii="Times New Roman" w:hAnsi="Times New Roman"/>
          <w:spacing w:val="-10"/>
          <w:sz w:val="24"/>
          <w:szCs w:val="24"/>
        </w:rPr>
        <w:t>objetivos afetos à TI às estratégias de negócio do Órgão.</w:t>
      </w:r>
    </w:p>
    <w:p w:rsidR="006848EF" w:rsidRDefault="006848EF" w:rsidP="00A52E74">
      <w:pPr>
        <w:spacing w:before="120" w:after="120" w:line="240" w:lineRule="auto"/>
        <w:jc w:val="both"/>
        <w:rPr>
          <w:rFonts w:ascii="Times New Roman" w:hAnsi="Times New Roman"/>
          <w:snapToGrid w:val="0"/>
          <w:spacing w:val="-4"/>
          <w:sz w:val="24"/>
          <w:szCs w:val="24"/>
          <w:lang w:eastAsia="pt-BR"/>
        </w:rPr>
      </w:pPr>
      <w:r w:rsidRPr="00E74627">
        <w:rPr>
          <w:rFonts w:ascii="Times New Roman" w:hAnsi="Times New Roman"/>
          <w:snapToGrid w:val="0"/>
          <w:spacing w:val="-4"/>
          <w:sz w:val="24"/>
          <w:szCs w:val="24"/>
          <w:lang w:eastAsia="pt-BR"/>
        </w:rPr>
        <w:t>O relato dos trabalhos desenvolvidos foi estruturado em seções, sendo a introdução destinada a contextualizar o leitor quanto ao objeto sob exame, implicações legais e correlações com outras áreas de gestão, seguida do descritivo da etapa reservada à análise das fontes de informação utilizadas, bem como das situações desconformes identificadas. A</w:t>
      </w:r>
      <w:bookmarkStart w:id="1" w:name="_GoBack"/>
      <w:bookmarkEnd w:id="1"/>
      <w:r w:rsidRPr="00E74627">
        <w:rPr>
          <w:rFonts w:ascii="Times New Roman" w:hAnsi="Times New Roman"/>
          <w:snapToGrid w:val="0"/>
          <w:spacing w:val="-4"/>
          <w:sz w:val="24"/>
          <w:szCs w:val="24"/>
          <w:lang w:eastAsia="pt-BR"/>
        </w:rPr>
        <w:t>s conclusões são apresentadas em seção homônima, seguidas de propostas de encaminhamento à Presidência desta Casa visando ao aperfeiçoamento das práticas organizacionais a</w:t>
      </w:r>
      <w:r>
        <w:rPr>
          <w:rFonts w:ascii="Times New Roman" w:hAnsi="Times New Roman"/>
          <w:snapToGrid w:val="0"/>
          <w:spacing w:val="-4"/>
          <w:sz w:val="24"/>
          <w:szCs w:val="24"/>
          <w:lang w:eastAsia="pt-BR"/>
        </w:rPr>
        <w:t>fetas à matéria ora investigada.</w:t>
      </w:r>
    </w:p>
    <w:p w:rsidR="006848EF" w:rsidRDefault="006848EF" w:rsidP="00A52E74">
      <w:pPr>
        <w:spacing w:before="120" w:after="120" w:line="240" w:lineRule="auto"/>
        <w:jc w:val="both"/>
        <w:rPr>
          <w:rFonts w:ascii="Times New Roman" w:hAnsi="Times New Roman"/>
          <w:snapToGrid w:val="0"/>
          <w:spacing w:val="-4"/>
          <w:sz w:val="24"/>
          <w:szCs w:val="24"/>
          <w:lang w:eastAsia="pt-BR"/>
        </w:rPr>
        <w:sectPr w:rsidR="006848EF" w:rsidSect="00A123EE">
          <w:headerReference w:type="default" r:id="rId14"/>
          <w:footerReference w:type="default" r:id="rId15"/>
          <w:pgSz w:w="11906" w:h="16838"/>
          <w:pgMar w:top="1417" w:right="1701" w:bottom="1417" w:left="1701" w:header="708" w:footer="708" w:gutter="0"/>
          <w:cols w:space="708"/>
          <w:docGrid w:linePitch="360"/>
        </w:sectPr>
      </w:pPr>
    </w:p>
    <w:p w:rsidR="006848EF" w:rsidRPr="00850357" w:rsidRDefault="006848EF" w:rsidP="00F86DB6">
      <w:pPr>
        <w:pStyle w:val="PargrafodaLista"/>
        <w:spacing w:before="360" w:after="240"/>
        <w:ind w:left="357" w:hanging="357"/>
        <w:contextualSpacing w:val="0"/>
        <w:rPr>
          <w:sz w:val="24"/>
          <w:szCs w:val="24"/>
        </w:rPr>
      </w:pPr>
      <w:bookmarkStart w:id="2" w:name="_Toc396482379"/>
      <w:r w:rsidRPr="00850357">
        <w:rPr>
          <w:sz w:val="24"/>
          <w:szCs w:val="24"/>
        </w:rPr>
        <w:lastRenderedPageBreak/>
        <w:t>INTRODUÇÃO</w:t>
      </w:r>
      <w:bookmarkEnd w:id="2"/>
    </w:p>
    <w:p w:rsidR="006848EF" w:rsidRDefault="006848EF" w:rsidP="000A2E36">
      <w:pPr>
        <w:pStyle w:val="PargrafodaLista"/>
        <w:numPr>
          <w:ilvl w:val="0"/>
          <w:numId w:val="0"/>
        </w:numPr>
        <w:spacing w:before="120"/>
        <w:contextualSpacing w:val="0"/>
        <w:jc w:val="both"/>
        <w:rPr>
          <w:b w:val="0"/>
          <w:snapToGrid w:val="0"/>
          <w:sz w:val="24"/>
          <w:szCs w:val="24"/>
        </w:rPr>
      </w:pPr>
      <w:bookmarkStart w:id="3" w:name="_Toc396233043"/>
      <w:bookmarkStart w:id="4" w:name="_Toc396311632"/>
      <w:bookmarkStart w:id="5" w:name="_Toc396482380"/>
      <w:r w:rsidRPr="00BD6B4D">
        <w:rPr>
          <w:b w:val="0"/>
          <w:snapToGrid w:val="0"/>
          <w:sz w:val="24"/>
          <w:szCs w:val="24"/>
        </w:rPr>
        <w:t xml:space="preserve">Em 2007, </w:t>
      </w:r>
      <w:r>
        <w:rPr>
          <w:b w:val="0"/>
          <w:snapToGrid w:val="0"/>
          <w:sz w:val="24"/>
          <w:szCs w:val="24"/>
        </w:rPr>
        <w:t xml:space="preserve">o TCU realizou o </w:t>
      </w:r>
      <w:r w:rsidRPr="00BD6B4D">
        <w:rPr>
          <w:b w:val="0"/>
          <w:snapToGrid w:val="0"/>
          <w:sz w:val="24"/>
          <w:szCs w:val="24"/>
        </w:rPr>
        <w:t xml:space="preserve">primeiro levantamento </w:t>
      </w:r>
      <w:r>
        <w:rPr>
          <w:b w:val="0"/>
          <w:snapToGrid w:val="0"/>
          <w:sz w:val="24"/>
          <w:szCs w:val="24"/>
        </w:rPr>
        <w:t>diagnóstico de</w:t>
      </w:r>
      <w:r w:rsidRPr="00BD6B4D">
        <w:rPr>
          <w:b w:val="0"/>
          <w:snapToGrid w:val="0"/>
          <w:sz w:val="24"/>
          <w:szCs w:val="24"/>
        </w:rPr>
        <w:t xml:space="preserve"> governança de TI,</w:t>
      </w:r>
      <w:r>
        <w:rPr>
          <w:b w:val="0"/>
          <w:snapToGrid w:val="0"/>
          <w:sz w:val="24"/>
          <w:szCs w:val="24"/>
        </w:rPr>
        <w:t xml:space="preserve"> no âmbito das organizações integrantes da Administração Pública Federal. As situações detectadas por meio da aplicação de questionário composto por 39 quesitos a </w:t>
      </w:r>
      <w:r w:rsidRPr="00D724CE">
        <w:rPr>
          <w:b w:val="0"/>
          <w:snapToGrid w:val="0"/>
          <w:sz w:val="24"/>
          <w:szCs w:val="24"/>
        </w:rPr>
        <w:t xml:space="preserve">255 </w:t>
      </w:r>
      <w:r>
        <w:rPr>
          <w:b w:val="0"/>
          <w:snapToGrid w:val="0"/>
          <w:sz w:val="24"/>
          <w:szCs w:val="24"/>
        </w:rPr>
        <w:t>instituições ensejaram a lavratura d</w:t>
      </w:r>
      <w:r w:rsidRPr="00BD6B4D">
        <w:rPr>
          <w:b w:val="0"/>
          <w:snapToGrid w:val="0"/>
          <w:sz w:val="24"/>
          <w:szCs w:val="24"/>
        </w:rPr>
        <w:t>o Acórdão</w:t>
      </w:r>
      <w:r>
        <w:rPr>
          <w:b w:val="0"/>
          <w:snapToGrid w:val="0"/>
          <w:sz w:val="24"/>
          <w:szCs w:val="24"/>
        </w:rPr>
        <w:t xml:space="preserve"> TCU - Plenário</w:t>
      </w:r>
      <w:r w:rsidRPr="00BD6B4D">
        <w:rPr>
          <w:b w:val="0"/>
          <w:snapToGrid w:val="0"/>
          <w:sz w:val="24"/>
          <w:szCs w:val="24"/>
        </w:rPr>
        <w:t xml:space="preserve"> nº 1.603</w:t>
      </w:r>
      <w:r>
        <w:rPr>
          <w:b w:val="0"/>
          <w:snapToGrid w:val="0"/>
          <w:sz w:val="24"/>
          <w:szCs w:val="24"/>
        </w:rPr>
        <w:t>, de 13 de agosto de 2008, que previu, no item 9.9, a realização de</w:t>
      </w:r>
      <w:r w:rsidRPr="00BD6B4D">
        <w:rPr>
          <w:b w:val="0"/>
          <w:snapToGrid w:val="0"/>
          <w:sz w:val="24"/>
          <w:szCs w:val="24"/>
        </w:rPr>
        <w:t xml:space="preserve"> levantamentos</w:t>
      </w:r>
      <w:r>
        <w:rPr>
          <w:b w:val="0"/>
          <w:snapToGrid w:val="0"/>
          <w:sz w:val="24"/>
          <w:szCs w:val="24"/>
        </w:rPr>
        <w:t xml:space="preserve"> posteriores</w:t>
      </w:r>
      <w:r w:rsidRPr="00BD6B4D">
        <w:rPr>
          <w:b w:val="0"/>
          <w:snapToGrid w:val="0"/>
          <w:sz w:val="24"/>
          <w:szCs w:val="24"/>
        </w:rPr>
        <w:t xml:space="preserve"> com o intuito de acompanhar e manter base de dados atualizada </w:t>
      </w:r>
      <w:r>
        <w:rPr>
          <w:b w:val="0"/>
          <w:snapToGrid w:val="0"/>
          <w:sz w:val="24"/>
          <w:szCs w:val="24"/>
        </w:rPr>
        <w:t>sobre a temática.</w:t>
      </w:r>
      <w:bookmarkEnd w:id="3"/>
      <w:bookmarkEnd w:id="4"/>
      <w:bookmarkEnd w:id="5"/>
    </w:p>
    <w:p w:rsidR="006848EF" w:rsidRDefault="006848EF" w:rsidP="007F0E9F">
      <w:pPr>
        <w:tabs>
          <w:tab w:val="right" w:pos="9923"/>
        </w:tabs>
        <w:spacing w:after="120" w:line="240" w:lineRule="auto"/>
        <w:jc w:val="both"/>
        <w:rPr>
          <w:rFonts w:ascii="Times New Roman" w:hAnsi="Times New Roman"/>
          <w:sz w:val="24"/>
          <w:szCs w:val="24"/>
        </w:rPr>
      </w:pPr>
      <w:r>
        <w:rPr>
          <w:rFonts w:ascii="Times New Roman" w:hAnsi="Times New Roman"/>
          <w:snapToGrid w:val="0"/>
          <w:sz w:val="24"/>
          <w:szCs w:val="24"/>
          <w:lang w:eastAsia="pt-BR"/>
        </w:rPr>
        <w:t>Assim</w:t>
      </w:r>
      <w:r w:rsidRPr="00C728A7">
        <w:rPr>
          <w:rFonts w:ascii="Times New Roman" w:hAnsi="Times New Roman"/>
          <w:snapToGrid w:val="0"/>
          <w:sz w:val="24"/>
          <w:szCs w:val="24"/>
          <w:lang w:eastAsia="pt-BR"/>
        </w:rPr>
        <w:t xml:space="preserve">, em 2010, objetivando </w:t>
      </w:r>
      <w:r w:rsidRPr="00C728A7">
        <w:rPr>
          <w:rFonts w:ascii="Times New Roman" w:hAnsi="Times New Roman"/>
          <w:snapToGrid w:val="0"/>
          <w:sz w:val="24"/>
          <w:szCs w:val="24"/>
        </w:rPr>
        <w:t>atualizar e aprofundar o panorama anteriormente traçado, novo estudo fo</w:t>
      </w:r>
      <w:r>
        <w:rPr>
          <w:rFonts w:ascii="Times New Roman" w:hAnsi="Times New Roman"/>
          <w:snapToGrid w:val="0"/>
          <w:sz w:val="24"/>
          <w:szCs w:val="24"/>
        </w:rPr>
        <w:t xml:space="preserve">i </w:t>
      </w:r>
      <w:r w:rsidRPr="00C728A7">
        <w:rPr>
          <w:rFonts w:ascii="Times New Roman" w:hAnsi="Times New Roman"/>
          <w:snapToGrid w:val="0"/>
          <w:sz w:val="24"/>
          <w:szCs w:val="24"/>
        </w:rPr>
        <w:t>realizado</w:t>
      </w:r>
      <w:r>
        <w:rPr>
          <w:rFonts w:ascii="Times New Roman" w:hAnsi="Times New Roman"/>
          <w:snapToGrid w:val="0"/>
          <w:sz w:val="24"/>
          <w:szCs w:val="24"/>
        </w:rPr>
        <w:t xml:space="preserve"> utilizando como base as dimensões do Gespública</w:t>
      </w:r>
      <w:r>
        <w:rPr>
          <w:rStyle w:val="Refdenotaderodap"/>
          <w:rFonts w:ascii="Times New Roman" w:hAnsi="Times New Roman"/>
          <w:snapToGrid w:val="0"/>
          <w:sz w:val="24"/>
          <w:szCs w:val="24"/>
        </w:rPr>
        <w:footnoteReference w:id="1"/>
      </w:r>
      <w:r>
        <w:rPr>
          <w:rFonts w:ascii="Times New Roman" w:hAnsi="Times New Roman"/>
          <w:snapToGrid w:val="0"/>
          <w:sz w:val="24"/>
          <w:szCs w:val="24"/>
        </w:rPr>
        <w:t xml:space="preserve"> – liderança, estratégias e planos, cidadãos, sociedade, informações e conhecimento, pessoas e processos –</w:t>
      </w:r>
      <w:r w:rsidRPr="00C728A7">
        <w:rPr>
          <w:rFonts w:ascii="Times New Roman" w:hAnsi="Times New Roman"/>
          <w:snapToGrid w:val="0"/>
          <w:sz w:val="24"/>
          <w:szCs w:val="24"/>
        </w:rPr>
        <w:t xml:space="preserve">, resultando na edição do Acórdão </w:t>
      </w:r>
      <w:r>
        <w:rPr>
          <w:rFonts w:ascii="Times New Roman" w:hAnsi="Times New Roman"/>
          <w:snapToGrid w:val="0"/>
          <w:sz w:val="24"/>
          <w:szCs w:val="24"/>
        </w:rPr>
        <w:t xml:space="preserve">TCU – Plenário </w:t>
      </w:r>
      <w:r w:rsidRPr="00C728A7">
        <w:rPr>
          <w:rFonts w:ascii="Times New Roman" w:hAnsi="Times New Roman"/>
          <w:snapToGrid w:val="0"/>
          <w:sz w:val="24"/>
          <w:szCs w:val="24"/>
        </w:rPr>
        <w:t>nº 2.308/20</w:t>
      </w:r>
      <w:r w:rsidRPr="00CB69BE">
        <w:rPr>
          <w:rFonts w:ascii="Times New Roman" w:hAnsi="Times New Roman"/>
          <w:snapToGrid w:val="0"/>
          <w:sz w:val="24"/>
          <w:szCs w:val="24"/>
        </w:rPr>
        <w:t>10</w:t>
      </w:r>
      <w:r w:rsidRPr="00CB69BE">
        <w:rPr>
          <w:rFonts w:ascii="Times New Roman" w:hAnsi="Times New Roman"/>
          <w:sz w:val="24"/>
          <w:szCs w:val="24"/>
        </w:rPr>
        <w:t xml:space="preserve">, que </w:t>
      </w:r>
      <w:r>
        <w:rPr>
          <w:rFonts w:ascii="Times New Roman" w:hAnsi="Times New Roman"/>
          <w:snapToGrid w:val="0"/>
          <w:sz w:val="24"/>
          <w:szCs w:val="24"/>
        </w:rPr>
        <w:t>fixa parâmetros a</w:t>
      </w:r>
      <w:r w:rsidRPr="007F0E9F">
        <w:rPr>
          <w:rFonts w:ascii="Times New Roman" w:hAnsi="Times New Roman"/>
          <w:sz w:val="24"/>
          <w:szCs w:val="24"/>
        </w:rPr>
        <w:t>fetos à governança de TI no âmbito da Administração Pública Federal</w:t>
      </w:r>
      <w:r>
        <w:rPr>
          <w:rFonts w:ascii="Times New Roman" w:hAnsi="Times New Roman"/>
          <w:sz w:val="24"/>
          <w:szCs w:val="24"/>
        </w:rPr>
        <w:t>, possibilitando a identificação de fragilidades e a consequente adoção de medidas tendentes a aperfeiçoar a gestão de TI nas instituições públicas federais do país.</w:t>
      </w:r>
    </w:p>
    <w:p w:rsidR="006848EF" w:rsidRDefault="006848EF" w:rsidP="007F0E9F">
      <w:pPr>
        <w:tabs>
          <w:tab w:val="right" w:pos="9923"/>
        </w:tabs>
        <w:spacing w:after="120" w:line="240" w:lineRule="auto"/>
        <w:jc w:val="both"/>
        <w:rPr>
          <w:rFonts w:ascii="Times New Roman" w:hAnsi="Times New Roman"/>
          <w:sz w:val="24"/>
          <w:szCs w:val="24"/>
        </w:rPr>
      </w:pPr>
      <w:r>
        <w:rPr>
          <w:rFonts w:ascii="Times New Roman" w:hAnsi="Times New Roman"/>
          <w:sz w:val="24"/>
          <w:szCs w:val="24"/>
        </w:rPr>
        <w:t>Em 2012, verificou-se a atualização dos diagnósticos realizados anteriormente por meio de levantamento fundamentado em critérios delimitados também no Gespública e, ainda, no Cobit</w:t>
      </w:r>
      <w:r>
        <w:rPr>
          <w:rStyle w:val="Refdenotaderodap"/>
          <w:rFonts w:ascii="Times New Roman" w:hAnsi="Times New Roman"/>
          <w:sz w:val="24"/>
          <w:szCs w:val="24"/>
        </w:rPr>
        <w:footnoteReference w:id="2"/>
      </w:r>
      <w:r>
        <w:rPr>
          <w:rFonts w:ascii="Times New Roman" w:hAnsi="Times New Roman"/>
          <w:sz w:val="24"/>
          <w:szCs w:val="24"/>
        </w:rPr>
        <w:t xml:space="preserve"> 5, oportunizando a publicação do Acórdão TCU – Plenário nº </w:t>
      </w:r>
      <w:r w:rsidRPr="00CB69BE">
        <w:rPr>
          <w:rFonts w:ascii="Times New Roman" w:hAnsi="Times New Roman"/>
          <w:sz w:val="24"/>
          <w:szCs w:val="24"/>
        </w:rPr>
        <w:t>2.585, de 26 de setembro de 2012</w:t>
      </w:r>
      <w:r>
        <w:rPr>
          <w:rFonts w:ascii="Times New Roman" w:hAnsi="Times New Roman"/>
          <w:sz w:val="24"/>
          <w:szCs w:val="24"/>
        </w:rPr>
        <w:t xml:space="preserve">. </w:t>
      </w:r>
    </w:p>
    <w:p w:rsidR="006848EF" w:rsidRDefault="006848EF" w:rsidP="007F0E9F">
      <w:pPr>
        <w:tabs>
          <w:tab w:val="right" w:pos="9923"/>
        </w:tabs>
        <w:spacing w:after="120" w:line="240" w:lineRule="auto"/>
        <w:jc w:val="both"/>
        <w:rPr>
          <w:rFonts w:ascii="Times New Roman" w:hAnsi="Times New Roman"/>
          <w:sz w:val="24"/>
          <w:szCs w:val="24"/>
          <w:lang w:eastAsia="pt-BR"/>
        </w:rPr>
      </w:pPr>
      <w:r>
        <w:rPr>
          <w:rFonts w:ascii="Times New Roman" w:hAnsi="Times New Roman"/>
          <w:snapToGrid w:val="0"/>
          <w:sz w:val="24"/>
          <w:szCs w:val="24"/>
        </w:rPr>
        <w:t>Registre-se que o</w:t>
      </w:r>
      <w:r w:rsidRPr="00483232">
        <w:rPr>
          <w:rFonts w:ascii="Times New Roman" w:hAnsi="Times New Roman"/>
          <w:snapToGrid w:val="0"/>
          <w:sz w:val="24"/>
          <w:szCs w:val="24"/>
        </w:rPr>
        <w:t xml:space="preserve"> Acórd</w:t>
      </w:r>
      <w:r>
        <w:rPr>
          <w:rFonts w:ascii="Times New Roman" w:hAnsi="Times New Roman"/>
          <w:snapToGrid w:val="0"/>
          <w:sz w:val="24"/>
          <w:szCs w:val="24"/>
        </w:rPr>
        <w:t xml:space="preserve">ão TCU – </w:t>
      </w:r>
      <w:r w:rsidRPr="00483232">
        <w:rPr>
          <w:rFonts w:ascii="Times New Roman" w:hAnsi="Times New Roman"/>
          <w:snapToGrid w:val="0"/>
          <w:sz w:val="24"/>
          <w:szCs w:val="24"/>
        </w:rPr>
        <w:t>Plenário</w:t>
      </w:r>
      <w:r>
        <w:rPr>
          <w:rFonts w:ascii="Times New Roman" w:hAnsi="Times New Roman"/>
          <w:snapToGrid w:val="0"/>
          <w:sz w:val="24"/>
          <w:szCs w:val="24"/>
        </w:rPr>
        <w:t xml:space="preserve"> nº 1.603/2008</w:t>
      </w:r>
      <w:r w:rsidRPr="00483232">
        <w:rPr>
          <w:rFonts w:ascii="Times New Roman" w:hAnsi="Times New Roman"/>
          <w:snapToGrid w:val="0"/>
          <w:sz w:val="24"/>
          <w:szCs w:val="24"/>
        </w:rPr>
        <w:t xml:space="preserve"> </w:t>
      </w:r>
      <w:r>
        <w:rPr>
          <w:rFonts w:ascii="Times New Roman" w:hAnsi="Times New Roman"/>
          <w:snapToGrid w:val="0"/>
          <w:sz w:val="24"/>
          <w:szCs w:val="24"/>
        </w:rPr>
        <w:t>cuidou, ainda, em recomendar</w:t>
      </w:r>
      <w:r w:rsidRPr="00483232">
        <w:rPr>
          <w:rFonts w:ascii="Times New Roman" w:hAnsi="Times New Roman"/>
          <w:snapToGrid w:val="0"/>
          <w:sz w:val="24"/>
          <w:szCs w:val="24"/>
        </w:rPr>
        <w:t xml:space="preserve"> ao CNJ </w:t>
      </w:r>
      <w:r>
        <w:rPr>
          <w:rFonts w:ascii="Times New Roman" w:hAnsi="Times New Roman"/>
          <w:snapToGrid w:val="0"/>
          <w:sz w:val="24"/>
          <w:szCs w:val="24"/>
        </w:rPr>
        <w:t xml:space="preserve">que </w:t>
      </w:r>
      <w:r w:rsidRPr="00D724CE">
        <w:rPr>
          <w:rFonts w:ascii="Times New Roman" w:hAnsi="Times New Roman"/>
          <w:sz w:val="24"/>
          <w:szCs w:val="24"/>
          <w:lang w:eastAsia="pt-BR"/>
        </w:rPr>
        <w:t>promo</w:t>
      </w:r>
      <w:r>
        <w:rPr>
          <w:rFonts w:ascii="Times New Roman" w:hAnsi="Times New Roman"/>
          <w:sz w:val="24"/>
          <w:szCs w:val="24"/>
          <w:lang w:eastAsia="pt-BR"/>
        </w:rPr>
        <w:t>vesse</w:t>
      </w:r>
      <w:r w:rsidRPr="00D724CE">
        <w:rPr>
          <w:rFonts w:ascii="Times New Roman" w:hAnsi="Times New Roman"/>
          <w:sz w:val="24"/>
          <w:szCs w:val="24"/>
          <w:lang w:eastAsia="pt-BR"/>
        </w:rPr>
        <w:t xml:space="preserve"> ações </w:t>
      </w:r>
      <w:r>
        <w:rPr>
          <w:rFonts w:ascii="Times New Roman" w:hAnsi="Times New Roman"/>
          <w:sz w:val="24"/>
          <w:szCs w:val="24"/>
          <w:lang w:eastAsia="pt-BR"/>
        </w:rPr>
        <w:t>voltadas à</w:t>
      </w:r>
      <w:r w:rsidRPr="00D724CE">
        <w:rPr>
          <w:rFonts w:ascii="Times New Roman" w:hAnsi="Times New Roman"/>
          <w:sz w:val="24"/>
          <w:szCs w:val="24"/>
          <w:lang w:eastAsia="pt-BR"/>
        </w:rPr>
        <w:t xml:space="preserve"> melhoria da gestão dos níveis de serviço de </w:t>
      </w:r>
      <w:r>
        <w:rPr>
          <w:rFonts w:ascii="Times New Roman" w:hAnsi="Times New Roman"/>
          <w:sz w:val="24"/>
          <w:szCs w:val="24"/>
          <w:lang w:eastAsia="pt-BR"/>
        </w:rPr>
        <w:t>T</w:t>
      </w:r>
      <w:r w:rsidRPr="00D724CE">
        <w:rPr>
          <w:rFonts w:ascii="Times New Roman" w:hAnsi="Times New Roman"/>
          <w:sz w:val="24"/>
          <w:szCs w:val="24"/>
          <w:lang w:eastAsia="pt-BR"/>
        </w:rPr>
        <w:t xml:space="preserve">ecnologia da </w:t>
      </w:r>
      <w:r>
        <w:rPr>
          <w:rFonts w:ascii="Times New Roman" w:hAnsi="Times New Roman"/>
          <w:sz w:val="24"/>
          <w:szCs w:val="24"/>
          <w:lang w:eastAsia="pt-BR"/>
        </w:rPr>
        <w:t>I</w:t>
      </w:r>
      <w:r w:rsidRPr="00D724CE">
        <w:rPr>
          <w:rFonts w:ascii="Times New Roman" w:hAnsi="Times New Roman"/>
          <w:sz w:val="24"/>
          <w:szCs w:val="24"/>
          <w:lang w:eastAsia="pt-BR"/>
        </w:rPr>
        <w:t xml:space="preserve">nformação e </w:t>
      </w:r>
      <w:r>
        <w:rPr>
          <w:rFonts w:ascii="Times New Roman" w:hAnsi="Times New Roman"/>
          <w:sz w:val="24"/>
          <w:szCs w:val="24"/>
          <w:lang w:eastAsia="pt-BR"/>
        </w:rPr>
        <w:t>C</w:t>
      </w:r>
      <w:r w:rsidRPr="00D724CE">
        <w:rPr>
          <w:rFonts w:ascii="Times New Roman" w:hAnsi="Times New Roman"/>
          <w:sz w:val="24"/>
          <w:szCs w:val="24"/>
          <w:lang w:eastAsia="pt-BR"/>
        </w:rPr>
        <w:t xml:space="preserve">omunicações </w:t>
      </w:r>
      <w:r>
        <w:rPr>
          <w:rFonts w:ascii="Times New Roman" w:hAnsi="Times New Roman"/>
          <w:sz w:val="24"/>
          <w:szCs w:val="24"/>
          <w:lang w:eastAsia="pt-BR"/>
        </w:rPr>
        <w:t>(</w:t>
      </w:r>
      <w:r w:rsidRPr="00D724CE">
        <w:rPr>
          <w:rFonts w:ascii="Times New Roman" w:hAnsi="Times New Roman"/>
          <w:sz w:val="24"/>
          <w:szCs w:val="24"/>
          <w:lang w:eastAsia="pt-BR"/>
        </w:rPr>
        <w:t>TIC</w:t>
      </w:r>
      <w:r>
        <w:rPr>
          <w:rFonts w:ascii="Times New Roman" w:hAnsi="Times New Roman"/>
          <w:sz w:val="24"/>
          <w:szCs w:val="24"/>
          <w:lang w:eastAsia="pt-BR"/>
        </w:rPr>
        <w:t>), no âmbito do Poder Judiciário, ensejando a edição da Resolução CNJ nº 90/2009, que dispõe sobre requisitos de nivelamento de TI necessários à adequada e efetiva prestação jurisdicional por todos os tribunais do país.</w:t>
      </w:r>
    </w:p>
    <w:p w:rsidR="006848EF" w:rsidRDefault="006848EF" w:rsidP="00521048">
      <w:pPr>
        <w:spacing w:after="120" w:line="240" w:lineRule="auto"/>
        <w:jc w:val="both"/>
        <w:rPr>
          <w:rFonts w:ascii="Times New Roman" w:hAnsi="Times New Roman"/>
          <w:sz w:val="24"/>
          <w:szCs w:val="24"/>
          <w:lang w:eastAsia="pt-BR"/>
        </w:rPr>
      </w:pPr>
      <w:r w:rsidRPr="00521048">
        <w:rPr>
          <w:rFonts w:ascii="Times New Roman" w:hAnsi="Times New Roman"/>
          <w:sz w:val="24"/>
          <w:szCs w:val="24"/>
          <w:lang w:eastAsia="pt-BR"/>
        </w:rPr>
        <w:t>Dando continuidade à implementação de diretrizes nacionais destinadas a nortear a atuação de todos os órgãos do Poder Judiciário</w:t>
      </w:r>
      <w:r>
        <w:rPr>
          <w:rFonts w:ascii="Times New Roman" w:hAnsi="Times New Roman"/>
          <w:sz w:val="24"/>
          <w:szCs w:val="24"/>
          <w:lang w:eastAsia="pt-BR"/>
        </w:rPr>
        <w:t xml:space="preserve">, de modo a </w:t>
      </w:r>
      <w:r w:rsidRPr="00483232">
        <w:rPr>
          <w:rFonts w:ascii="Times New Roman" w:hAnsi="Times New Roman"/>
          <w:sz w:val="24"/>
          <w:szCs w:val="24"/>
          <w:lang w:eastAsia="pt-BR"/>
        </w:rPr>
        <w:t xml:space="preserve">assegurar </w:t>
      </w:r>
      <w:r>
        <w:rPr>
          <w:rFonts w:ascii="Times New Roman" w:hAnsi="Times New Roman"/>
          <w:sz w:val="24"/>
          <w:szCs w:val="24"/>
          <w:lang w:eastAsia="pt-BR"/>
        </w:rPr>
        <w:t xml:space="preserve">a </w:t>
      </w:r>
      <w:r w:rsidRPr="00483232">
        <w:rPr>
          <w:rFonts w:ascii="Times New Roman" w:hAnsi="Times New Roman"/>
          <w:sz w:val="24"/>
          <w:szCs w:val="24"/>
          <w:lang w:eastAsia="pt-BR"/>
        </w:rPr>
        <w:t xml:space="preserve">convergência </w:t>
      </w:r>
      <w:r>
        <w:rPr>
          <w:rFonts w:ascii="Times New Roman" w:hAnsi="Times New Roman"/>
          <w:sz w:val="24"/>
          <w:szCs w:val="24"/>
          <w:lang w:eastAsia="pt-BR"/>
        </w:rPr>
        <w:t xml:space="preserve">de </w:t>
      </w:r>
      <w:r w:rsidRPr="00483232">
        <w:rPr>
          <w:rFonts w:ascii="Times New Roman" w:hAnsi="Times New Roman"/>
          <w:sz w:val="24"/>
          <w:szCs w:val="24"/>
          <w:lang w:eastAsia="pt-BR"/>
        </w:rPr>
        <w:t>recursos humanos, administrativos e financeiros no que concer</w:t>
      </w:r>
      <w:r>
        <w:rPr>
          <w:rFonts w:ascii="Times New Roman" w:hAnsi="Times New Roman"/>
          <w:sz w:val="24"/>
          <w:szCs w:val="24"/>
          <w:lang w:eastAsia="pt-BR"/>
        </w:rPr>
        <w:t>n</w:t>
      </w:r>
      <w:r w:rsidRPr="00483232">
        <w:rPr>
          <w:rFonts w:ascii="Times New Roman" w:hAnsi="Times New Roman"/>
          <w:sz w:val="24"/>
          <w:szCs w:val="24"/>
          <w:lang w:eastAsia="pt-BR"/>
        </w:rPr>
        <w:t xml:space="preserve">e </w:t>
      </w:r>
      <w:r>
        <w:rPr>
          <w:rFonts w:ascii="Times New Roman" w:hAnsi="Times New Roman"/>
          <w:sz w:val="24"/>
          <w:szCs w:val="24"/>
          <w:lang w:eastAsia="pt-BR"/>
        </w:rPr>
        <w:t>à gestão de TI</w:t>
      </w:r>
      <w:r w:rsidRPr="00521048">
        <w:rPr>
          <w:rFonts w:ascii="Times New Roman" w:hAnsi="Times New Roman"/>
          <w:sz w:val="24"/>
          <w:szCs w:val="24"/>
          <w:lang w:eastAsia="pt-BR"/>
        </w:rPr>
        <w:t>, o CNJ instituiu</w:t>
      </w:r>
      <w:r>
        <w:rPr>
          <w:rFonts w:ascii="Times New Roman" w:hAnsi="Times New Roman"/>
          <w:sz w:val="24"/>
          <w:szCs w:val="24"/>
          <w:lang w:eastAsia="pt-BR"/>
        </w:rPr>
        <w:t>,</w:t>
      </w:r>
      <w:r w:rsidRPr="002D63AC">
        <w:rPr>
          <w:rFonts w:ascii="Times New Roman" w:hAnsi="Times New Roman"/>
          <w:sz w:val="24"/>
          <w:szCs w:val="24"/>
          <w:lang w:eastAsia="pt-BR"/>
        </w:rPr>
        <w:t xml:space="preserve"> </w:t>
      </w:r>
      <w:r>
        <w:rPr>
          <w:rFonts w:ascii="Times New Roman" w:hAnsi="Times New Roman"/>
          <w:sz w:val="24"/>
          <w:szCs w:val="24"/>
          <w:lang w:eastAsia="pt-BR"/>
        </w:rPr>
        <w:t xml:space="preserve">por meio da Resolução nº 99/2009, </w:t>
      </w:r>
      <w:r w:rsidRPr="00483232">
        <w:rPr>
          <w:rFonts w:ascii="Times New Roman" w:hAnsi="Times New Roman"/>
          <w:sz w:val="24"/>
          <w:szCs w:val="24"/>
          <w:lang w:eastAsia="pt-BR"/>
        </w:rPr>
        <w:t xml:space="preserve">Planejamento Estratégico de </w:t>
      </w:r>
      <w:r>
        <w:rPr>
          <w:rFonts w:ascii="Times New Roman" w:hAnsi="Times New Roman"/>
          <w:sz w:val="24"/>
          <w:szCs w:val="24"/>
          <w:lang w:eastAsia="pt-BR"/>
        </w:rPr>
        <w:t>TIC,</w:t>
      </w:r>
      <w:r w:rsidRPr="00483232">
        <w:rPr>
          <w:rFonts w:ascii="Times New Roman" w:hAnsi="Times New Roman"/>
          <w:sz w:val="24"/>
          <w:szCs w:val="24"/>
          <w:lang w:eastAsia="pt-BR"/>
        </w:rPr>
        <w:t xml:space="preserve"> no âmbito Judiciário</w:t>
      </w:r>
      <w:r>
        <w:rPr>
          <w:rFonts w:ascii="Times New Roman" w:hAnsi="Times New Roman"/>
          <w:sz w:val="24"/>
          <w:szCs w:val="24"/>
          <w:lang w:eastAsia="pt-BR"/>
        </w:rPr>
        <w:t>, com a missão de prover soluções tecnológicas efetivas para que a referida esfera de Poder cumpra sua função institucional.</w:t>
      </w:r>
    </w:p>
    <w:p w:rsidR="006848EF" w:rsidRDefault="006848EF" w:rsidP="0084473D">
      <w:pPr>
        <w:tabs>
          <w:tab w:val="right" w:pos="9923"/>
        </w:tabs>
        <w:spacing w:after="120" w:line="240" w:lineRule="auto"/>
        <w:jc w:val="both"/>
        <w:rPr>
          <w:rFonts w:ascii="Times New Roman" w:hAnsi="Times New Roman"/>
          <w:iCs/>
          <w:snapToGrid w:val="0"/>
          <w:sz w:val="24"/>
          <w:szCs w:val="24"/>
          <w:lang w:eastAsia="pt-BR"/>
        </w:rPr>
      </w:pPr>
      <w:r>
        <w:rPr>
          <w:rFonts w:ascii="Times New Roman" w:hAnsi="Times New Roman"/>
          <w:iCs/>
          <w:snapToGrid w:val="0"/>
          <w:sz w:val="24"/>
          <w:szCs w:val="24"/>
          <w:lang w:eastAsia="pt-BR"/>
        </w:rPr>
        <w:t xml:space="preserve">Nesse sentido, a perceptível crescente regulação da temática revela nova valoração conferida à TI corporativa, notadamente no serviço público. A avaliação dos ativos da informação, o gerenciamento de riscos afetos aos processos de TI e a implementação de controles específicos apresentam-se como elementos-chave da gestão organizacional, </w:t>
      </w:r>
      <w:r>
        <w:rPr>
          <w:rFonts w:ascii="Times New Roman" w:hAnsi="Times New Roman"/>
          <w:iCs/>
          <w:snapToGrid w:val="0"/>
          <w:sz w:val="24"/>
          <w:szCs w:val="24"/>
          <w:lang w:eastAsia="pt-BR"/>
        </w:rPr>
        <w:lastRenderedPageBreak/>
        <w:t>tendo em vista o papel essencial da TI no suporte aos objetivos e estratégias organizacionais.</w:t>
      </w:r>
    </w:p>
    <w:p w:rsidR="006848EF" w:rsidRDefault="006848EF" w:rsidP="00DC3FBA">
      <w:pPr>
        <w:spacing w:before="120" w:after="120" w:line="240" w:lineRule="auto"/>
        <w:jc w:val="both"/>
        <w:rPr>
          <w:rFonts w:ascii="Times New Roman" w:hAnsi="Times New Roman"/>
          <w:sz w:val="24"/>
          <w:szCs w:val="24"/>
        </w:rPr>
      </w:pPr>
      <w:r>
        <w:rPr>
          <w:rFonts w:ascii="Times New Roman" w:hAnsi="Times New Roman"/>
          <w:sz w:val="24"/>
          <w:szCs w:val="24"/>
        </w:rPr>
        <w:t xml:space="preserve">Assim, como parte integrante da Auditoria de Gestão relativa ao exercício 2013, o presente procedimento investigativo, conduzido em conformidade com a Resolução CNJ nº 171, de 1º de março de 2013 e com as normas de auditoria do TCU, propõe-se a avaliar a gestão de TI implementada, neste Regional, no exercício de referência. </w:t>
      </w:r>
    </w:p>
    <w:p w:rsidR="006848EF" w:rsidRPr="00CE5691" w:rsidRDefault="006848EF" w:rsidP="00DC3FBA">
      <w:pPr>
        <w:pStyle w:val="TextosemFormatao"/>
        <w:spacing w:after="120"/>
        <w:jc w:val="both"/>
        <w:rPr>
          <w:rFonts w:ascii="Times New Roman" w:hAnsi="Times New Roman" w:cs="Times New Roman"/>
          <w:snapToGrid w:val="0"/>
          <w:sz w:val="24"/>
          <w:szCs w:val="24"/>
          <w:lang w:eastAsia="pt-BR"/>
        </w:rPr>
      </w:pPr>
      <w:r>
        <w:rPr>
          <w:rFonts w:ascii="Times New Roman" w:hAnsi="Times New Roman" w:cs="Times New Roman"/>
          <w:snapToGrid w:val="0"/>
          <w:sz w:val="24"/>
          <w:szCs w:val="24"/>
          <w:lang w:eastAsia="pt-BR"/>
        </w:rPr>
        <w:t xml:space="preserve">Registre-se que nenhum óbice foi imposto ao desenvolvimento dos trabalhos da presente auditoria. Não obstante, suas conclusões podem ter sido limitadas, ainda que de modo pouco significativo, tendo em vista inexistência de servidores com formação na </w:t>
      </w:r>
      <w:r w:rsidRPr="00CE5691">
        <w:rPr>
          <w:rFonts w:ascii="Times New Roman" w:hAnsi="Times New Roman" w:cs="Times New Roman"/>
          <w:snapToGrid w:val="0"/>
          <w:sz w:val="24"/>
          <w:szCs w:val="24"/>
          <w:lang w:eastAsia="pt-BR"/>
        </w:rPr>
        <w:t xml:space="preserve">área de TI lotados na Secretaria de Controle Interno e Auditoria (SCI). </w:t>
      </w:r>
    </w:p>
    <w:p w:rsidR="006848EF" w:rsidRPr="00CE5691" w:rsidRDefault="006848EF" w:rsidP="00CE5691">
      <w:pPr>
        <w:tabs>
          <w:tab w:val="right" w:pos="9923"/>
        </w:tabs>
        <w:spacing w:after="120" w:line="240" w:lineRule="auto"/>
        <w:jc w:val="both"/>
        <w:rPr>
          <w:rFonts w:ascii="Times New Roman" w:hAnsi="Times New Roman"/>
          <w:snapToGrid w:val="0"/>
          <w:sz w:val="24"/>
          <w:szCs w:val="24"/>
          <w:lang w:eastAsia="pt-BR"/>
        </w:rPr>
      </w:pPr>
      <w:r w:rsidRPr="00CE5691">
        <w:rPr>
          <w:rFonts w:ascii="Times New Roman" w:hAnsi="Times New Roman"/>
          <w:snapToGrid w:val="0"/>
          <w:sz w:val="24"/>
          <w:szCs w:val="24"/>
          <w:lang w:eastAsia="pt-BR"/>
        </w:rPr>
        <w:t>Espera-se que a avaliação de elementos referenciais da estrutura de governança de TI, no âmbito do TRE-BA, possibilite a identificação de pontos de vulnerabilidade, bem como instrumentalize a Alta Administração no processo decisório voltado à adoção de medidas tendentes a aperfeiçoar a gestão de TI institucional, de modo a integrar os objetivos da área à Estratégia definida para o Órgão.</w:t>
      </w:r>
    </w:p>
    <w:p w:rsidR="006848EF" w:rsidRPr="004465FA" w:rsidRDefault="006848EF" w:rsidP="004465FA">
      <w:pPr>
        <w:pStyle w:val="PargrafodaLista"/>
        <w:spacing w:before="360" w:after="240"/>
        <w:ind w:left="357" w:hanging="357"/>
        <w:contextualSpacing w:val="0"/>
        <w:rPr>
          <w:sz w:val="24"/>
          <w:szCs w:val="24"/>
        </w:rPr>
      </w:pPr>
      <w:bookmarkStart w:id="6" w:name="_Toc396482381"/>
      <w:r w:rsidRPr="00850357">
        <w:rPr>
          <w:sz w:val="24"/>
          <w:szCs w:val="24"/>
        </w:rPr>
        <w:t>ANÁLISE DAS FONTES DE INFORMAÇÃO</w:t>
      </w:r>
      <w:bookmarkEnd w:id="6"/>
      <w:r w:rsidRPr="00850357">
        <w:rPr>
          <w:sz w:val="24"/>
          <w:szCs w:val="24"/>
        </w:rPr>
        <w:t xml:space="preserve"> </w:t>
      </w:r>
    </w:p>
    <w:p w:rsidR="006848EF" w:rsidRPr="00D6263E" w:rsidRDefault="006848EF" w:rsidP="004465FA">
      <w:pPr>
        <w:spacing w:before="120" w:after="120" w:line="240" w:lineRule="auto"/>
        <w:jc w:val="both"/>
        <w:rPr>
          <w:rFonts w:ascii="Times New Roman" w:hAnsi="Times New Roman"/>
          <w:snapToGrid w:val="0"/>
          <w:sz w:val="24"/>
          <w:szCs w:val="24"/>
          <w:lang w:eastAsia="pt-BR"/>
        </w:rPr>
      </w:pPr>
      <w:r w:rsidRPr="00D6263E">
        <w:rPr>
          <w:rFonts w:ascii="Times New Roman" w:hAnsi="Times New Roman"/>
          <w:sz w:val="24"/>
          <w:szCs w:val="24"/>
        </w:rPr>
        <w:t xml:space="preserve">A análise das fontes de informação definidas na matriz de planejamento correspondente – </w:t>
      </w:r>
      <w:r w:rsidRPr="00D6263E">
        <w:rPr>
          <w:rFonts w:ascii="Times New Roman" w:hAnsi="Times New Roman"/>
          <w:snapToGrid w:val="0"/>
          <w:sz w:val="24"/>
          <w:szCs w:val="24"/>
          <w:lang w:eastAsia="pt-BR"/>
        </w:rPr>
        <w:t xml:space="preserve">Res. Adm. TRE-BA nº 3/2010; Portaria DG TRE-BA nº 573/2009; Res. TSE nº 22.780/2008; </w:t>
      </w:r>
      <w:r w:rsidRPr="00D6263E">
        <w:rPr>
          <w:rFonts w:ascii="Times New Roman" w:hAnsi="Times New Roman"/>
          <w:sz w:val="24"/>
          <w:szCs w:val="24"/>
        </w:rPr>
        <w:t xml:space="preserve">Acórdão TCU - Plenário nº 2.308/2010; </w:t>
      </w:r>
      <w:r w:rsidRPr="00D6263E">
        <w:rPr>
          <w:rFonts w:ascii="Times New Roman" w:hAnsi="Times New Roman"/>
          <w:snapToGrid w:val="0"/>
          <w:sz w:val="24"/>
          <w:szCs w:val="24"/>
          <w:lang w:eastAsia="pt-BR"/>
        </w:rPr>
        <w:t>Res. CNJ nºs 90 e 99/2009</w:t>
      </w:r>
      <w:r w:rsidRPr="00D6263E">
        <w:rPr>
          <w:rFonts w:ascii="Times New Roman" w:hAnsi="Times New Roman"/>
          <w:sz w:val="24"/>
          <w:szCs w:val="24"/>
        </w:rPr>
        <w:t>; e Port. Pres. TRE-BA nº 9/2010 –, bem como das manifestações das unidades em reposta à</w:t>
      </w:r>
      <w:r w:rsidRPr="00D6263E">
        <w:rPr>
          <w:rFonts w:ascii="Times New Roman" w:hAnsi="Times New Roman"/>
          <w:snapToGrid w:val="0"/>
          <w:sz w:val="24"/>
          <w:szCs w:val="24"/>
          <w:lang w:eastAsia="pt-BR"/>
        </w:rPr>
        <w:t xml:space="preserve"> RDI nº 3/2014/SCI e ao Memo</w:t>
      </w:r>
      <w:r>
        <w:rPr>
          <w:rFonts w:ascii="Times New Roman" w:hAnsi="Times New Roman"/>
          <w:snapToGrid w:val="0"/>
          <w:sz w:val="24"/>
          <w:szCs w:val="24"/>
          <w:lang w:eastAsia="pt-BR"/>
        </w:rPr>
        <w:t xml:space="preserve">rando </w:t>
      </w:r>
      <w:r w:rsidRPr="00D6263E">
        <w:rPr>
          <w:rFonts w:ascii="Times New Roman" w:hAnsi="Times New Roman"/>
          <w:snapToGrid w:val="0"/>
          <w:sz w:val="24"/>
          <w:szCs w:val="24"/>
          <w:lang w:eastAsia="pt-BR"/>
        </w:rPr>
        <w:t>Circular nº 16/2014/SCI, conduzi</w:t>
      </w:r>
      <w:r>
        <w:rPr>
          <w:rFonts w:ascii="Times New Roman" w:hAnsi="Times New Roman"/>
          <w:snapToGrid w:val="0"/>
          <w:sz w:val="24"/>
          <w:szCs w:val="24"/>
          <w:lang w:eastAsia="pt-BR"/>
        </w:rPr>
        <w:t>u</w:t>
      </w:r>
      <w:r w:rsidRPr="00D6263E">
        <w:rPr>
          <w:rFonts w:ascii="Times New Roman" w:hAnsi="Times New Roman"/>
          <w:snapToGrid w:val="0"/>
          <w:sz w:val="24"/>
          <w:szCs w:val="24"/>
          <w:lang w:eastAsia="pt-BR"/>
        </w:rPr>
        <w:t xml:space="preserve"> às </w:t>
      </w:r>
      <w:r>
        <w:rPr>
          <w:rFonts w:ascii="Times New Roman" w:hAnsi="Times New Roman"/>
          <w:snapToGrid w:val="0"/>
          <w:sz w:val="24"/>
          <w:szCs w:val="24"/>
          <w:lang w:eastAsia="pt-BR"/>
        </w:rPr>
        <w:t>conclusões</w:t>
      </w:r>
      <w:r w:rsidRPr="00D6263E">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explicitadas</w:t>
      </w:r>
      <w:r w:rsidRPr="00D6263E">
        <w:rPr>
          <w:rFonts w:ascii="Times New Roman" w:hAnsi="Times New Roman"/>
          <w:snapToGrid w:val="0"/>
          <w:sz w:val="24"/>
          <w:szCs w:val="24"/>
          <w:lang w:eastAsia="pt-BR"/>
        </w:rPr>
        <w:t xml:space="preserve"> na sequência</w:t>
      </w:r>
      <w:r>
        <w:rPr>
          <w:rFonts w:ascii="Times New Roman" w:hAnsi="Times New Roman"/>
          <w:snapToGrid w:val="0"/>
          <w:sz w:val="24"/>
          <w:szCs w:val="24"/>
          <w:lang w:eastAsia="pt-BR"/>
        </w:rPr>
        <w:t>, observadas as questões de auditoria propostas</w:t>
      </w:r>
      <w:r w:rsidRPr="00D6263E">
        <w:rPr>
          <w:rFonts w:ascii="Times New Roman" w:hAnsi="Times New Roman"/>
          <w:snapToGrid w:val="0"/>
          <w:sz w:val="24"/>
          <w:szCs w:val="24"/>
          <w:lang w:eastAsia="pt-BR"/>
        </w:rPr>
        <w:t xml:space="preserve">. </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 xml:space="preserve">No tocante à existência do Planejamento Estratégico de TI (PETI) aferiu-se que </w:t>
      </w:r>
      <w:r>
        <w:rPr>
          <w:rFonts w:ascii="Times New Roman" w:hAnsi="Times New Roman"/>
          <w:b w:val="0"/>
          <w:color w:val="auto"/>
          <w:szCs w:val="24"/>
        </w:rPr>
        <w:t xml:space="preserve">o referido instrumento de gestão </w:t>
      </w:r>
      <w:r w:rsidRPr="00264317">
        <w:rPr>
          <w:rFonts w:ascii="Times New Roman" w:hAnsi="Times New Roman"/>
          <w:b w:val="0"/>
          <w:color w:val="auto"/>
          <w:szCs w:val="24"/>
        </w:rPr>
        <w:t>foi aprovado e instituído</w:t>
      </w:r>
      <w:r>
        <w:rPr>
          <w:rFonts w:ascii="Times New Roman" w:hAnsi="Times New Roman"/>
          <w:b w:val="0"/>
          <w:color w:val="auto"/>
          <w:szCs w:val="24"/>
        </w:rPr>
        <w:t>,</w:t>
      </w:r>
      <w:r w:rsidRPr="00264317">
        <w:rPr>
          <w:rFonts w:ascii="Times New Roman" w:hAnsi="Times New Roman"/>
          <w:b w:val="0"/>
          <w:color w:val="auto"/>
          <w:szCs w:val="24"/>
        </w:rPr>
        <w:t xml:space="preserve"> no âmbito deste Tribunal, </w:t>
      </w:r>
      <w:r>
        <w:rPr>
          <w:rFonts w:ascii="Times New Roman" w:hAnsi="Times New Roman"/>
          <w:b w:val="0"/>
          <w:color w:val="auto"/>
          <w:szCs w:val="24"/>
        </w:rPr>
        <w:t xml:space="preserve">para o período 2010-2014, </w:t>
      </w:r>
      <w:r w:rsidRPr="00264317">
        <w:rPr>
          <w:rFonts w:ascii="Times New Roman" w:hAnsi="Times New Roman"/>
          <w:b w:val="0"/>
          <w:color w:val="auto"/>
          <w:szCs w:val="24"/>
        </w:rPr>
        <w:t>p</w:t>
      </w:r>
      <w:r>
        <w:rPr>
          <w:rFonts w:ascii="Times New Roman" w:hAnsi="Times New Roman"/>
          <w:b w:val="0"/>
          <w:color w:val="auto"/>
          <w:szCs w:val="24"/>
        </w:rPr>
        <w:t xml:space="preserve">or meio da </w:t>
      </w:r>
      <w:r w:rsidRPr="00264317">
        <w:rPr>
          <w:rFonts w:ascii="Times New Roman" w:hAnsi="Times New Roman"/>
          <w:b w:val="0"/>
          <w:color w:val="auto"/>
          <w:szCs w:val="24"/>
        </w:rPr>
        <w:t>Res</w:t>
      </w:r>
      <w:r>
        <w:rPr>
          <w:rFonts w:ascii="Times New Roman" w:hAnsi="Times New Roman"/>
          <w:b w:val="0"/>
          <w:color w:val="auto"/>
          <w:szCs w:val="24"/>
        </w:rPr>
        <w:t>.</w:t>
      </w:r>
      <w:r w:rsidRPr="00264317">
        <w:rPr>
          <w:rFonts w:ascii="Times New Roman" w:hAnsi="Times New Roman"/>
          <w:b w:val="0"/>
          <w:color w:val="auto"/>
          <w:szCs w:val="24"/>
        </w:rPr>
        <w:t xml:space="preserve"> Adm</w:t>
      </w:r>
      <w:r>
        <w:rPr>
          <w:rFonts w:ascii="Times New Roman" w:hAnsi="Times New Roman"/>
          <w:b w:val="0"/>
          <w:color w:val="auto"/>
          <w:szCs w:val="24"/>
        </w:rPr>
        <w:t>.</w:t>
      </w:r>
      <w:r w:rsidRPr="00264317">
        <w:rPr>
          <w:rFonts w:ascii="Times New Roman" w:hAnsi="Times New Roman"/>
          <w:b w:val="0"/>
          <w:color w:val="auto"/>
          <w:szCs w:val="24"/>
        </w:rPr>
        <w:t xml:space="preserve"> TRE</w:t>
      </w:r>
      <w:r>
        <w:rPr>
          <w:rFonts w:ascii="Times New Roman" w:hAnsi="Times New Roman"/>
          <w:b w:val="0"/>
          <w:color w:val="auto"/>
          <w:szCs w:val="24"/>
        </w:rPr>
        <w:t>-BA</w:t>
      </w:r>
      <w:r w:rsidRPr="00264317">
        <w:rPr>
          <w:rFonts w:ascii="Times New Roman" w:hAnsi="Times New Roman"/>
          <w:b w:val="0"/>
          <w:color w:val="auto"/>
          <w:szCs w:val="24"/>
        </w:rPr>
        <w:t xml:space="preserve"> nº 3/2010. Sua execução </w:t>
      </w:r>
      <w:r>
        <w:rPr>
          <w:rFonts w:ascii="Times New Roman" w:hAnsi="Times New Roman"/>
          <w:b w:val="0"/>
          <w:color w:val="auto"/>
          <w:szCs w:val="24"/>
        </w:rPr>
        <w:t>se processa de modo</w:t>
      </w:r>
      <w:r w:rsidRPr="00264317">
        <w:rPr>
          <w:rFonts w:ascii="Times New Roman" w:hAnsi="Times New Roman"/>
          <w:b w:val="0"/>
          <w:color w:val="auto"/>
          <w:szCs w:val="24"/>
        </w:rPr>
        <w:t xml:space="preserve"> concomitante ao Planejamento Estratégico </w:t>
      </w:r>
      <w:r>
        <w:rPr>
          <w:rFonts w:ascii="Times New Roman" w:hAnsi="Times New Roman"/>
          <w:b w:val="0"/>
          <w:color w:val="auto"/>
          <w:szCs w:val="24"/>
        </w:rPr>
        <w:t>i</w:t>
      </w:r>
      <w:r w:rsidRPr="00264317">
        <w:rPr>
          <w:rFonts w:ascii="Times New Roman" w:hAnsi="Times New Roman"/>
          <w:b w:val="0"/>
          <w:color w:val="auto"/>
          <w:szCs w:val="24"/>
        </w:rPr>
        <w:t xml:space="preserve">nstitucional, </w:t>
      </w:r>
      <w:r>
        <w:rPr>
          <w:rFonts w:ascii="Times New Roman" w:hAnsi="Times New Roman"/>
          <w:b w:val="0"/>
          <w:color w:val="auto"/>
          <w:szCs w:val="24"/>
        </w:rPr>
        <w:t xml:space="preserve">restando evidenciada, assim, a preocupação da gestão </w:t>
      </w:r>
      <w:r w:rsidRPr="00264317">
        <w:rPr>
          <w:rFonts w:ascii="Times New Roman" w:hAnsi="Times New Roman"/>
          <w:b w:val="0"/>
          <w:color w:val="auto"/>
          <w:szCs w:val="24"/>
        </w:rPr>
        <w:t xml:space="preserve">com </w:t>
      </w:r>
      <w:r>
        <w:rPr>
          <w:rFonts w:ascii="Times New Roman" w:hAnsi="Times New Roman"/>
          <w:b w:val="0"/>
          <w:color w:val="auto"/>
          <w:szCs w:val="24"/>
        </w:rPr>
        <w:t>o alinhamento dos objetivos de TI às estratégias organizacionais</w:t>
      </w:r>
      <w:r w:rsidRPr="00264317">
        <w:rPr>
          <w:rFonts w:ascii="Times New Roman" w:hAnsi="Times New Roman"/>
          <w:b w:val="0"/>
          <w:color w:val="auto"/>
          <w:szCs w:val="24"/>
        </w:rPr>
        <w:t>.</w:t>
      </w:r>
    </w:p>
    <w:p w:rsidR="006848EF" w:rsidRPr="00264317" w:rsidRDefault="006848EF" w:rsidP="003C4788">
      <w:pPr>
        <w:pStyle w:val="Norm1"/>
        <w:widowControl w:val="0"/>
        <w:spacing w:before="120" w:after="120"/>
        <w:rPr>
          <w:rFonts w:ascii="Times New Roman" w:hAnsi="Times New Roman"/>
          <w:b w:val="0"/>
          <w:color w:val="auto"/>
          <w:szCs w:val="24"/>
        </w:rPr>
      </w:pPr>
      <w:r>
        <w:rPr>
          <w:rFonts w:ascii="Times New Roman" w:hAnsi="Times New Roman"/>
          <w:b w:val="0"/>
          <w:color w:val="auto"/>
          <w:szCs w:val="24"/>
        </w:rPr>
        <w:t>Não obstante</w:t>
      </w:r>
      <w:r w:rsidRPr="00264317">
        <w:rPr>
          <w:rFonts w:ascii="Times New Roman" w:hAnsi="Times New Roman"/>
          <w:b w:val="0"/>
          <w:color w:val="auto"/>
          <w:szCs w:val="24"/>
        </w:rPr>
        <w:t xml:space="preserve">, observou-se que </w:t>
      </w:r>
      <w:r>
        <w:rPr>
          <w:rFonts w:ascii="Times New Roman" w:hAnsi="Times New Roman"/>
          <w:b w:val="0"/>
          <w:color w:val="auto"/>
          <w:szCs w:val="24"/>
        </w:rPr>
        <w:t xml:space="preserve">não foram definidos mecanismos que possibilitem à Alta Administração acompanhar a execução do plano estratégico de TI. Detectou-se, ainda, </w:t>
      </w:r>
      <w:r w:rsidRPr="00264317">
        <w:rPr>
          <w:rFonts w:ascii="Times New Roman" w:hAnsi="Times New Roman"/>
          <w:b w:val="0"/>
          <w:color w:val="auto"/>
          <w:szCs w:val="24"/>
        </w:rPr>
        <w:t xml:space="preserve">que o </w:t>
      </w:r>
      <w:r>
        <w:rPr>
          <w:rFonts w:ascii="Times New Roman" w:hAnsi="Times New Roman"/>
          <w:b w:val="0"/>
          <w:color w:val="auto"/>
          <w:szCs w:val="24"/>
        </w:rPr>
        <w:t>mencionado instrumento de gestão</w:t>
      </w:r>
      <w:r w:rsidRPr="00264317">
        <w:rPr>
          <w:rFonts w:ascii="Times New Roman" w:hAnsi="Times New Roman"/>
          <w:b w:val="0"/>
          <w:color w:val="auto"/>
          <w:szCs w:val="24"/>
        </w:rPr>
        <w:t xml:space="preserve"> </w:t>
      </w:r>
      <w:r>
        <w:rPr>
          <w:rFonts w:ascii="Times New Roman" w:hAnsi="Times New Roman"/>
          <w:b w:val="0"/>
          <w:color w:val="auto"/>
          <w:szCs w:val="24"/>
        </w:rPr>
        <w:t>n</w:t>
      </w:r>
      <w:r w:rsidRPr="00264317">
        <w:rPr>
          <w:rFonts w:ascii="Times New Roman" w:hAnsi="Times New Roman"/>
          <w:b w:val="0"/>
          <w:color w:val="auto"/>
          <w:szCs w:val="24"/>
        </w:rPr>
        <w:t>ão vem sendo aperfeiçoado continuamente com base na análise d</w:t>
      </w:r>
      <w:r>
        <w:rPr>
          <w:rFonts w:ascii="Times New Roman" w:hAnsi="Times New Roman"/>
          <w:b w:val="0"/>
          <w:color w:val="auto"/>
          <w:szCs w:val="24"/>
        </w:rPr>
        <w:t>e</w:t>
      </w:r>
      <w:r w:rsidRPr="00264317">
        <w:rPr>
          <w:rFonts w:ascii="Times New Roman" w:hAnsi="Times New Roman"/>
          <w:b w:val="0"/>
          <w:color w:val="auto"/>
          <w:szCs w:val="24"/>
        </w:rPr>
        <w:t xml:space="preserve"> seus indicadores.</w:t>
      </w:r>
    </w:p>
    <w:p w:rsidR="006848EF" w:rsidRPr="00877302" w:rsidRDefault="006848EF" w:rsidP="00264317">
      <w:pPr>
        <w:pStyle w:val="Norm1"/>
        <w:widowControl w:val="0"/>
        <w:spacing w:before="120" w:after="120"/>
        <w:rPr>
          <w:rFonts w:ascii="Times New Roman" w:hAnsi="Times New Roman"/>
          <w:b w:val="0"/>
          <w:color w:val="auto"/>
          <w:szCs w:val="24"/>
        </w:rPr>
      </w:pPr>
      <w:r w:rsidRPr="00877302">
        <w:rPr>
          <w:rFonts w:ascii="Times New Roman" w:hAnsi="Times New Roman"/>
          <w:b w:val="0"/>
          <w:color w:val="auto"/>
          <w:szCs w:val="24"/>
        </w:rPr>
        <w:t xml:space="preserve">Verificou-se, também, que, em que pese a instituição formal, no bojo da Resolução que aprovou o PETI, de Comitê Diretivo com a finalidade de deliberar sobre a priorização das ações e investimentos dessa área no âmbito do Tribunal, ainda não se observa uma atuação efetiva desse Comitê, prejudicando, assim, o alinhamento dos investimentos de TI com os objetivos deste Tribunal. </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 xml:space="preserve">Da análise das informações encaminhadas, </w:t>
      </w:r>
      <w:r>
        <w:rPr>
          <w:rFonts w:ascii="Times New Roman" w:hAnsi="Times New Roman"/>
          <w:b w:val="0"/>
          <w:color w:val="auto"/>
          <w:szCs w:val="24"/>
        </w:rPr>
        <w:t>constatou-se</w:t>
      </w:r>
      <w:r w:rsidRPr="00264317">
        <w:rPr>
          <w:rFonts w:ascii="Times New Roman" w:hAnsi="Times New Roman"/>
          <w:b w:val="0"/>
          <w:color w:val="auto"/>
          <w:szCs w:val="24"/>
        </w:rPr>
        <w:t xml:space="preserve"> que há previsão de elaboração d</w:t>
      </w:r>
      <w:r>
        <w:rPr>
          <w:rFonts w:ascii="Times New Roman" w:hAnsi="Times New Roman"/>
          <w:b w:val="0"/>
          <w:color w:val="auto"/>
          <w:szCs w:val="24"/>
        </w:rPr>
        <w:t>e</w:t>
      </w:r>
      <w:r w:rsidRPr="00264317">
        <w:rPr>
          <w:rFonts w:ascii="Times New Roman" w:hAnsi="Times New Roman"/>
          <w:b w:val="0"/>
          <w:color w:val="auto"/>
          <w:szCs w:val="24"/>
        </w:rPr>
        <w:t xml:space="preserve"> Plano Diretor de TI (PDTI)</w:t>
      </w:r>
      <w:r>
        <w:rPr>
          <w:rFonts w:ascii="Times New Roman" w:hAnsi="Times New Roman"/>
          <w:b w:val="0"/>
          <w:color w:val="auto"/>
          <w:szCs w:val="24"/>
        </w:rPr>
        <w:t xml:space="preserve"> institucional</w:t>
      </w:r>
      <w:r w:rsidRPr="00264317">
        <w:rPr>
          <w:rFonts w:ascii="Times New Roman" w:hAnsi="Times New Roman"/>
          <w:b w:val="0"/>
          <w:color w:val="auto"/>
          <w:szCs w:val="24"/>
        </w:rPr>
        <w:t>, ainda sem prazo definido para sua publicação. Em relação ao mencionado plano tem-se que, no exercício 2013, tramitou expediente administrativo</w:t>
      </w:r>
      <w:r>
        <w:rPr>
          <w:rFonts w:ascii="Times New Roman" w:hAnsi="Times New Roman"/>
          <w:b w:val="0"/>
          <w:color w:val="auto"/>
          <w:szCs w:val="24"/>
        </w:rPr>
        <w:t>,</w:t>
      </w:r>
      <w:r w:rsidRPr="00264317">
        <w:rPr>
          <w:rFonts w:ascii="Times New Roman" w:hAnsi="Times New Roman"/>
          <w:b w:val="0"/>
          <w:color w:val="auto"/>
          <w:szCs w:val="24"/>
        </w:rPr>
        <w:t xml:space="preserve"> </w:t>
      </w:r>
      <w:r>
        <w:rPr>
          <w:rFonts w:ascii="Times New Roman" w:hAnsi="Times New Roman"/>
          <w:b w:val="0"/>
          <w:color w:val="auto"/>
          <w:szCs w:val="24"/>
        </w:rPr>
        <w:t xml:space="preserve">protocolizado sob </w:t>
      </w:r>
      <w:r w:rsidRPr="00264317">
        <w:rPr>
          <w:rFonts w:ascii="Times New Roman" w:hAnsi="Times New Roman"/>
          <w:b w:val="0"/>
          <w:color w:val="auto"/>
          <w:szCs w:val="24"/>
        </w:rPr>
        <w:t>nº 13.699/2013</w:t>
      </w:r>
      <w:r>
        <w:rPr>
          <w:rFonts w:ascii="Times New Roman" w:hAnsi="Times New Roman"/>
          <w:b w:val="0"/>
          <w:color w:val="auto"/>
          <w:szCs w:val="24"/>
        </w:rPr>
        <w:t>,</w:t>
      </w:r>
      <w:r w:rsidRPr="00264317">
        <w:rPr>
          <w:rFonts w:ascii="Times New Roman" w:hAnsi="Times New Roman"/>
          <w:b w:val="0"/>
          <w:color w:val="auto"/>
          <w:szCs w:val="24"/>
        </w:rPr>
        <w:t xml:space="preserve"> para fins de contratação de consultoria </w:t>
      </w:r>
      <w:r>
        <w:rPr>
          <w:rFonts w:ascii="Times New Roman" w:hAnsi="Times New Roman"/>
          <w:b w:val="0"/>
          <w:color w:val="auto"/>
          <w:szCs w:val="24"/>
        </w:rPr>
        <w:t>com vistas a</w:t>
      </w:r>
      <w:r w:rsidRPr="00264317">
        <w:rPr>
          <w:rFonts w:ascii="Times New Roman" w:hAnsi="Times New Roman"/>
          <w:b w:val="0"/>
          <w:color w:val="auto"/>
          <w:szCs w:val="24"/>
        </w:rPr>
        <w:t xml:space="preserve"> auxiliar a S</w:t>
      </w:r>
      <w:r>
        <w:rPr>
          <w:rFonts w:ascii="Times New Roman" w:hAnsi="Times New Roman"/>
          <w:b w:val="0"/>
          <w:color w:val="auto"/>
          <w:szCs w:val="24"/>
        </w:rPr>
        <w:t>ecretaria de Tecnologia da Informação (S</w:t>
      </w:r>
      <w:r w:rsidRPr="00264317">
        <w:rPr>
          <w:rFonts w:ascii="Times New Roman" w:hAnsi="Times New Roman"/>
          <w:b w:val="0"/>
          <w:color w:val="auto"/>
          <w:szCs w:val="24"/>
        </w:rPr>
        <w:t>TI</w:t>
      </w:r>
      <w:r>
        <w:rPr>
          <w:rFonts w:ascii="Times New Roman" w:hAnsi="Times New Roman"/>
          <w:b w:val="0"/>
          <w:color w:val="auto"/>
          <w:szCs w:val="24"/>
        </w:rPr>
        <w:t xml:space="preserve">) do </w:t>
      </w:r>
      <w:r>
        <w:rPr>
          <w:rFonts w:ascii="Times New Roman" w:hAnsi="Times New Roman"/>
          <w:b w:val="0"/>
          <w:color w:val="auto"/>
          <w:szCs w:val="24"/>
        </w:rPr>
        <w:lastRenderedPageBreak/>
        <w:t>Órgão</w:t>
      </w:r>
      <w:r w:rsidRPr="00264317">
        <w:rPr>
          <w:rFonts w:ascii="Times New Roman" w:hAnsi="Times New Roman"/>
          <w:b w:val="0"/>
          <w:color w:val="auto"/>
          <w:szCs w:val="24"/>
        </w:rPr>
        <w:t xml:space="preserve"> </w:t>
      </w:r>
      <w:r>
        <w:rPr>
          <w:rFonts w:ascii="Times New Roman" w:hAnsi="Times New Roman"/>
          <w:b w:val="0"/>
          <w:color w:val="auto"/>
          <w:szCs w:val="24"/>
        </w:rPr>
        <w:t>nos trabalhos de</w:t>
      </w:r>
      <w:r w:rsidRPr="00264317">
        <w:rPr>
          <w:rFonts w:ascii="Times New Roman" w:hAnsi="Times New Roman"/>
          <w:b w:val="0"/>
          <w:color w:val="auto"/>
          <w:szCs w:val="24"/>
        </w:rPr>
        <w:t xml:space="preserve"> elaboração, sem, no entanto, ter sido concluído. </w:t>
      </w:r>
    </w:p>
    <w:p w:rsidR="006848EF"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No que tange ao perfil dos recursos humanos envolvidos, verificou-se, a partir das técnicas aplicadas, que a força de trabalho empregada na área de TI deste Tribunal é insuficiente</w:t>
      </w:r>
      <w:r>
        <w:rPr>
          <w:rFonts w:ascii="Times New Roman" w:hAnsi="Times New Roman"/>
          <w:b w:val="0"/>
          <w:color w:val="auto"/>
          <w:szCs w:val="24"/>
        </w:rPr>
        <w:t xml:space="preserve"> frente à quantidade e complexidade das demandas identificadas</w:t>
      </w:r>
      <w:r w:rsidRPr="00264317">
        <w:rPr>
          <w:rFonts w:ascii="Times New Roman" w:hAnsi="Times New Roman"/>
          <w:b w:val="0"/>
          <w:color w:val="auto"/>
          <w:szCs w:val="24"/>
        </w:rPr>
        <w:t xml:space="preserve">, dada a carência de cargos específicos da área de TI. </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Dos testes realizados, conclui</w:t>
      </w:r>
      <w:r>
        <w:rPr>
          <w:rFonts w:ascii="Times New Roman" w:hAnsi="Times New Roman"/>
          <w:b w:val="0"/>
          <w:color w:val="auto"/>
          <w:szCs w:val="24"/>
        </w:rPr>
        <w:t>u</w:t>
      </w:r>
      <w:r w:rsidRPr="00264317">
        <w:rPr>
          <w:rFonts w:ascii="Times New Roman" w:hAnsi="Times New Roman"/>
          <w:b w:val="0"/>
          <w:color w:val="auto"/>
          <w:szCs w:val="24"/>
        </w:rPr>
        <w:t>-se que a força de trabalho</w:t>
      </w:r>
      <w:r>
        <w:rPr>
          <w:rFonts w:ascii="Times New Roman" w:hAnsi="Times New Roman"/>
          <w:b w:val="0"/>
          <w:color w:val="auto"/>
          <w:szCs w:val="24"/>
        </w:rPr>
        <w:t xml:space="preserve">, </w:t>
      </w:r>
      <w:r w:rsidRPr="00264317">
        <w:rPr>
          <w:rFonts w:ascii="Times New Roman" w:hAnsi="Times New Roman"/>
          <w:b w:val="0"/>
          <w:color w:val="auto"/>
          <w:szCs w:val="24"/>
        </w:rPr>
        <w:t>na área</w:t>
      </w:r>
      <w:r>
        <w:rPr>
          <w:rFonts w:ascii="Times New Roman" w:hAnsi="Times New Roman"/>
          <w:b w:val="0"/>
          <w:color w:val="auto"/>
          <w:szCs w:val="24"/>
        </w:rPr>
        <w:t>,</w:t>
      </w:r>
      <w:r w:rsidRPr="00264317">
        <w:rPr>
          <w:rFonts w:ascii="Times New Roman" w:hAnsi="Times New Roman"/>
          <w:b w:val="0"/>
          <w:color w:val="auto"/>
          <w:szCs w:val="24"/>
        </w:rPr>
        <w:t xml:space="preserve"> </w:t>
      </w:r>
      <w:r>
        <w:rPr>
          <w:rFonts w:ascii="Times New Roman" w:hAnsi="Times New Roman"/>
          <w:b w:val="0"/>
          <w:color w:val="auto"/>
          <w:szCs w:val="24"/>
        </w:rPr>
        <w:t>apresenta</w:t>
      </w:r>
      <w:r w:rsidRPr="00264317">
        <w:rPr>
          <w:rFonts w:ascii="Times New Roman" w:hAnsi="Times New Roman"/>
          <w:b w:val="0"/>
          <w:color w:val="auto"/>
          <w:szCs w:val="24"/>
        </w:rPr>
        <w:t xml:space="preserve"> defasagem de 54 (cinquenta e quatro) servidores </w:t>
      </w:r>
      <w:r>
        <w:rPr>
          <w:rFonts w:ascii="Times New Roman" w:hAnsi="Times New Roman"/>
          <w:b w:val="0"/>
          <w:color w:val="auto"/>
          <w:szCs w:val="24"/>
        </w:rPr>
        <w:t>efetivos</w:t>
      </w:r>
      <w:r w:rsidRPr="00264317">
        <w:rPr>
          <w:rFonts w:ascii="Times New Roman" w:hAnsi="Times New Roman"/>
          <w:b w:val="0"/>
          <w:color w:val="auto"/>
          <w:szCs w:val="24"/>
        </w:rPr>
        <w:t>, considera</w:t>
      </w:r>
      <w:r>
        <w:rPr>
          <w:rFonts w:ascii="Times New Roman" w:hAnsi="Times New Roman"/>
          <w:b w:val="0"/>
          <w:color w:val="auto"/>
          <w:szCs w:val="24"/>
        </w:rPr>
        <w:t>dos</w:t>
      </w:r>
      <w:r w:rsidRPr="00264317">
        <w:rPr>
          <w:rFonts w:ascii="Times New Roman" w:hAnsi="Times New Roman"/>
          <w:b w:val="0"/>
          <w:color w:val="auto"/>
          <w:szCs w:val="24"/>
        </w:rPr>
        <w:t xml:space="preserve"> os parâmetros estabelecidos no Anexo I da Resolução CNJ nº 90/2009, que </w:t>
      </w:r>
      <w:r>
        <w:rPr>
          <w:rFonts w:ascii="Times New Roman" w:hAnsi="Times New Roman"/>
          <w:b w:val="0"/>
          <w:color w:val="auto"/>
          <w:szCs w:val="24"/>
        </w:rPr>
        <w:t>fixa em</w:t>
      </w:r>
      <w:r w:rsidRPr="00264317">
        <w:rPr>
          <w:rFonts w:ascii="Times New Roman" w:hAnsi="Times New Roman"/>
          <w:b w:val="0"/>
          <w:color w:val="auto"/>
          <w:szCs w:val="24"/>
        </w:rPr>
        <w:t xml:space="preserve"> 75 (setenta e cinco) o número </w:t>
      </w:r>
      <w:r>
        <w:rPr>
          <w:rFonts w:ascii="Times New Roman" w:hAnsi="Times New Roman"/>
          <w:b w:val="0"/>
          <w:color w:val="auto"/>
          <w:szCs w:val="24"/>
        </w:rPr>
        <w:t xml:space="preserve">mínimo </w:t>
      </w:r>
      <w:r w:rsidRPr="00264317">
        <w:rPr>
          <w:rFonts w:ascii="Times New Roman" w:hAnsi="Times New Roman"/>
          <w:b w:val="0"/>
          <w:color w:val="auto"/>
          <w:szCs w:val="24"/>
        </w:rPr>
        <w:t xml:space="preserve">de servidores ideal </w:t>
      </w:r>
      <w:r>
        <w:rPr>
          <w:rFonts w:ascii="Times New Roman" w:hAnsi="Times New Roman"/>
          <w:b w:val="0"/>
          <w:color w:val="auto"/>
          <w:szCs w:val="24"/>
        </w:rPr>
        <w:t>em face da</w:t>
      </w:r>
      <w:r w:rsidRPr="00264317">
        <w:rPr>
          <w:rFonts w:ascii="Times New Roman" w:hAnsi="Times New Roman"/>
          <w:b w:val="0"/>
          <w:color w:val="auto"/>
          <w:szCs w:val="24"/>
        </w:rPr>
        <w:t xml:space="preserve"> demanda de usuários </w:t>
      </w:r>
      <w:r>
        <w:rPr>
          <w:rFonts w:ascii="Times New Roman" w:hAnsi="Times New Roman"/>
          <w:b w:val="0"/>
          <w:color w:val="auto"/>
          <w:szCs w:val="24"/>
        </w:rPr>
        <w:t>apurada</w:t>
      </w:r>
      <w:r w:rsidRPr="00264317">
        <w:rPr>
          <w:rFonts w:ascii="Times New Roman" w:hAnsi="Times New Roman"/>
          <w:b w:val="0"/>
          <w:color w:val="auto"/>
          <w:szCs w:val="24"/>
        </w:rPr>
        <w:t xml:space="preserve"> neste </w:t>
      </w:r>
      <w:r>
        <w:rPr>
          <w:rFonts w:ascii="Times New Roman" w:hAnsi="Times New Roman"/>
          <w:b w:val="0"/>
          <w:color w:val="auto"/>
          <w:szCs w:val="24"/>
        </w:rPr>
        <w:t>Regional</w:t>
      </w:r>
      <w:r w:rsidRPr="00264317">
        <w:rPr>
          <w:rFonts w:ascii="Times New Roman" w:hAnsi="Times New Roman"/>
          <w:b w:val="0"/>
          <w:color w:val="auto"/>
          <w:szCs w:val="24"/>
        </w:rPr>
        <w:t>.</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Com relação à qualidade dos recursos humanos envolvidos na área de TI, verificou-se que este Tribunal</w:t>
      </w:r>
      <w:r>
        <w:rPr>
          <w:rFonts w:ascii="Times New Roman" w:hAnsi="Times New Roman"/>
          <w:b w:val="0"/>
          <w:color w:val="auto"/>
          <w:szCs w:val="24"/>
        </w:rPr>
        <w:t xml:space="preserve"> não procedeu à elaboração de</w:t>
      </w:r>
      <w:r w:rsidRPr="00264317">
        <w:rPr>
          <w:rFonts w:ascii="Times New Roman" w:hAnsi="Times New Roman"/>
          <w:b w:val="0"/>
          <w:color w:val="auto"/>
          <w:szCs w:val="24"/>
        </w:rPr>
        <w:t xml:space="preserve"> Plano de Capacitação de Pessoal </w:t>
      </w:r>
      <w:r>
        <w:rPr>
          <w:rFonts w:ascii="Times New Roman" w:hAnsi="Times New Roman"/>
          <w:b w:val="0"/>
          <w:color w:val="auto"/>
          <w:szCs w:val="24"/>
        </w:rPr>
        <w:t xml:space="preserve">(PCP) </w:t>
      </w:r>
      <w:r w:rsidRPr="00264317">
        <w:rPr>
          <w:rFonts w:ascii="Times New Roman" w:hAnsi="Times New Roman"/>
          <w:b w:val="0"/>
          <w:color w:val="auto"/>
          <w:szCs w:val="24"/>
        </w:rPr>
        <w:t xml:space="preserve">específico para gestão de TI, </w:t>
      </w:r>
      <w:r>
        <w:rPr>
          <w:rFonts w:ascii="Times New Roman" w:hAnsi="Times New Roman"/>
          <w:b w:val="0"/>
          <w:color w:val="auto"/>
          <w:szCs w:val="24"/>
        </w:rPr>
        <w:t xml:space="preserve">em 2013, estando no aguardo de conclusão de contratação de consultoria, cujo objeto contempla a referida atividade. </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 xml:space="preserve">No que tange aos procedimentos para salvaguarda da informação, verificou-se </w:t>
      </w:r>
      <w:r>
        <w:rPr>
          <w:rFonts w:ascii="Times New Roman" w:hAnsi="Times New Roman"/>
          <w:b w:val="0"/>
          <w:color w:val="auto"/>
          <w:szCs w:val="24"/>
        </w:rPr>
        <w:t>a existência de</w:t>
      </w:r>
      <w:r w:rsidRPr="00264317">
        <w:rPr>
          <w:rFonts w:ascii="Times New Roman" w:hAnsi="Times New Roman"/>
          <w:b w:val="0"/>
          <w:color w:val="auto"/>
          <w:szCs w:val="24"/>
        </w:rPr>
        <w:t xml:space="preserve"> processo formal de </w:t>
      </w:r>
      <w:r w:rsidRPr="00264317">
        <w:rPr>
          <w:rFonts w:ascii="Times New Roman" w:hAnsi="Times New Roman"/>
          <w:b w:val="0"/>
          <w:i/>
          <w:color w:val="auto"/>
          <w:szCs w:val="24"/>
        </w:rPr>
        <w:t>backup</w:t>
      </w:r>
      <w:r w:rsidRPr="00264317">
        <w:rPr>
          <w:rFonts w:ascii="Times New Roman" w:hAnsi="Times New Roman"/>
          <w:b w:val="0"/>
          <w:color w:val="auto"/>
          <w:szCs w:val="24"/>
        </w:rPr>
        <w:t xml:space="preserve"> e manutenção das informações digitais.</w:t>
      </w:r>
    </w:p>
    <w:p w:rsidR="006848EF" w:rsidRPr="00114917" w:rsidRDefault="006848EF" w:rsidP="00264317">
      <w:pPr>
        <w:pStyle w:val="Norm1"/>
        <w:widowControl w:val="0"/>
        <w:spacing w:before="120" w:after="120"/>
        <w:rPr>
          <w:rFonts w:ascii="Times New Roman" w:hAnsi="Times New Roman"/>
          <w:b w:val="0"/>
          <w:color w:val="auto"/>
          <w:spacing w:val="-2"/>
          <w:szCs w:val="24"/>
        </w:rPr>
      </w:pPr>
      <w:r w:rsidRPr="00114917">
        <w:rPr>
          <w:rFonts w:ascii="Times New Roman" w:hAnsi="Times New Roman"/>
          <w:b w:val="0"/>
          <w:color w:val="auto"/>
          <w:spacing w:val="-2"/>
          <w:szCs w:val="24"/>
        </w:rPr>
        <w:t xml:space="preserve">Observou-se que, conquanto as informações protegidas não estejam sendo armazenadas em local diverso do atualmente utilizado, com a finalidade de salvaguardá-las no caso de sinistro no Edifício-sede, o Tribunal adquiriu novos equipamentos, visando à modernização do parque tecnológico do </w:t>
      </w:r>
      <w:r w:rsidRPr="00114917">
        <w:rPr>
          <w:rFonts w:ascii="Times New Roman" w:hAnsi="Times New Roman"/>
          <w:b w:val="0"/>
          <w:i/>
          <w:color w:val="auto"/>
          <w:spacing w:val="-2"/>
          <w:szCs w:val="24"/>
        </w:rPr>
        <w:t xml:space="preserve">Datacenter </w:t>
      </w:r>
      <w:r w:rsidRPr="00114917">
        <w:rPr>
          <w:rFonts w:ascii="Times New Roman" w:hAnsi="Times New Roman"/>
          <w:b w:val="0"/>
          <w:color w:val="auto"/>
          <w:spacing w:val="-2"/>
          <w:szCs w:val="24"/>
        </w:rPr>
        <w:t xml:space="preserve">e à otimização do serviço de armazenamento de arquivos corporativos; restringiu acesso às pastas das unidades administrativas a pessoas autorizadas; e efetuou ajustes nas rotinas de </w:t>
      </w:r>
      <w:r w:rsidRPr="00114917">
        <w:rPr>
          <w:rFonts w:ascii="Times New Roman" w:hAnsi="Times New Roman"/>
          <w:b w:val="0"/>
          <w:i/>
          <w:color w:val="auto"/>
          <w:spacing w:val="-2"/>
          <w:szCs w:val="24"/>
        </w:rPr>
        <w:t>backup</w:t>
      </w:r>
      <w:r w:rsidRPr="00114917">
        <w:rPr>
          <w:rFonts w:ascii="Times New Roman" w:hAnsi="Times New Roman"/>
          <w:b w:val="0"/>
          <w:color w:val="auto"/>
          <w:spacing w:val="-2"/>
          <w:szCs w:val="24"/>
        </w:rPr>
        <w:t xml:space="preserve"> para prevenção de eventuais falhas que pudessem impedir a realização de cópias de segurança. </w:t>
      </w:r>
    </w:p>
    <w:p w:rsidR="006848EF" w:rsidRPr="00264317" w:rsidRDefault="006848EF" w:rsidP="00264317">
      <w:pPr>
        <w:pStyle w:val="Norm1"/>
        <w:widowControl w:val="0"/>
        <w:spacing w:before="120" w:after="120"/>
        <w:rPr>
          <w:rFonts w:ascii="Times New Roman" w:hAnsi="Times New Roman"/>
          <w:b w:val="0"/>
          <w:color w:val="auto"/>
          <w:spacing w:val="-4"/>
          <w:szCs w:val="24"/>
        </w:rPr>
      </w:pPr>
      <w:r w:rsidRPr="00264317">
        <w:rPr>
          <w:rFonts w:ascii="Times New Roman" w:hAnsi="Times New Roman"/>
          <w:b w:val="0"/>
          <w:color w:val="auto"/>
          <w:spacing w:val="-4"/>
          <w:szCs w:val="24"/>
        </w:rPr>
        <w:t>Registre-se que apesar de ainda não possuir Política de Segurança da Informação (PSI) própria, este Tribunal vem adotando integralmente a</w:t>
      </w:r>
      <w:r>
        <w:rPr>
          <w:rFonts w:ascii="Times New Roman" w:hAnsi="Times New Roman"/>
          <w:b w:val="0"/>
          <w:color w:val="auto"/>
          <w:spacing w:val="-4"/>
          <w:szCs w:val="24"/>
        </w:rPr>
        <w:t>quela</w:t>
      </w:r>
      <w:r w:rsidRPr="00264317">
        <w:rPr>
          <w:rFonts w:ascii="Times New Roman" w:hAnsi="Times New Roman"/>
          <w:b w:val="0"/>
          <w:color w:val="auto"/>
          <w:spacing w:val="-4"/>
          <w:szCs w:val="24"/>
        </w:rPr>
        <w:t xml:space="preserve"> estabelecida pelo TSE, que é aplicável a toda a Justiça Eleitoral, sem, contudo, formalizar a sua adoção/recepção no âmbito deste Regional.</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 xml:space="preserve">Aferiu-se que existe </w:t>
      </w:r>
      <w:r>
        <w:rPr>
          <w:rFonts w:ascii="Times New Roman" w:hAnsi="Times New Roman"/>
          <w:b w:val="0"/>
          <w:color w:val="auto"/>
          <w:szCs w:val="24"/>
        </w:rPr>
        <w:t>Comissão de Segurança da Informação (</w:t>
      </w:r>
      <w:r w:rsidRPr="00264317">
        <w:rPr>
          <w:rFonts w:ascii="Times New Roman" w:hAnsi="Times New Roman"/>
          <w:b w:val="0"/>
          <w:color w:val="auto"/>
          <w:szCs w:val="24"/>
        </w:rPr>
        <w:t>CSI</w:t>
      </w:r>
      <w:r>
        <w:rPr>
          <w:rFonts w:ascii="Times New Roman" w:hAnsi="Times New Roman"/>
          <w:b w:val="0"/>
          <w:color w:val="auto"/>
          <w:szCs w:val="24"/>
        </w:rPr>
        <w:t>)</w:t>
      </w:r>
      <w:r w:rsidRPr="00264317">
        <w:rPr>
          <w:rFonts w:ascii="Times New Roman" w:hAnsi="Times New Roman"/>
          <w:b w:val="0"/>
          <w:color w:val="auto"/>
          <w:szCs w:val="24"/>
        </w:rPr>
        <w:t xml:space="preserve">, formalmente instituída </w:t>
      </w:r>
      <w:r>
        <w:rPr>
          <w:rFonts w:ascii="Times New Roman" w:hAnsi="Times New Roman"/>
          <w:b w:val="0"/>
          <w:color w:val="auto"/>
          <w:szCs w:val="24"/>
        </w:rPr>
        <w:t>por meio da</w:t>
      </w:r>
      <w:r w:rsidRPr="00264317">
        <w:rPr>
          <w:rFonts w:ascii="Times New Roman" w:hAnsi="Times New Roman"/>
          <w:b w:val="0"/>
          <w:color w:val="auto"/>
          <w:szCs w:val="24"/>
        </w:rPr>
        <w:t xml:space="preserve"> Portaria </w:t>
      </w:r>
      <w:r>
        <w:rPr>
          <w:rFonts w:ascii="Times New Roman" w:hAnsi="Times New Roman"/>
          <w:b w:val="0"/>
          <w:color w:val="auto"/>
          <w:szCs w:val="24"/>
        </w:rPr>
        <w:t xml:space="preserve">da Presidência do TRE-BA </w:t>
      </w:r>
      <w:r w:rsidRPr="00264317">
        <w:rPr>
          <w:rFonts w:ascii="Times New Roman" w:hAnsi="Times New Roman"/>
          <w:b w:val="0"/>
          <w:color w:val="auto"/>
          <w:szCs w:val="24"/>
        </w:rPr>
        <w:t>nº 573</w:t>
      </w:r>
      <w:r>
        <w:rPr>
          <w:rFonts w:ascii="Times New Roman" w:hAnsi="Times New Roman"/>
          <w:b w:val="0"/>
          <w:color w:val="auto"/>
          <w:szCs w:val="24"/>
        </w:rPr>
        <w:t>/</w:t>
      </w:r>
      <w:r w:rsidRPr="00264317">
        <w:rPr>
          <w:rFonts w:ascii="Times New Roman" w:hAnsi="Times New Roman"/>
          <w:b w:val="0"/>
          <w:color w:val="auto"/>
          <w:szCs w:val="24"/>
        </w:rPr>
        <w:t>2009, que</w:t>
      </w:r>
      <w:r>
        <w:rPr>
          <w:rFonts w:ascii="Times New Roman" w:hAnsi="Times New Roman"/>
          <w:b w:val="0"/>
          <w:color w:val="auto"/>
          <w:szCs w:val="24"/>
        </w:rPr>
        <w:t>,</w:t>
      </w:r>
      <w:r w:rsidRPr="00264317">
        <w:rPr>
          <w:rFonts w:ascii="Times New Roman" w:hAnsi="Times New Roman"/>
          <w:b w:val="0"/>
          <w:color w:val="auto"/>
          <w:szCs w:val="24"/>
        </w:rPr>
        <w:t xml:space="preserve"> dentre outras ações, procedeu, no exercício em análise, ao levantamento do </w:t>
      </w:r>
      <w:r>
        <w:rPr>
          <w:rFonts w:ascii="Times New Roman" w:hAnsi="Times New Roman"/>
          <w:b w:val="0"/>
          <w:color w:val="auto"/>
          <w:szCs w:val="24"/>
        </w:rPr>
        <w:t>i</w:t>
      </w:r>
      <w:r w:rsidRPr="00264317">
        <w:rPr>
          <w:rFonts w:ascii="Times New Roman" w:hAnsi="Times New Roman"/>
          <w:b w:val="0"/>
          <w:color w:val="auto"/>
          <w:szCs w:val="24"/>
        </w:rPr>
        <w:t xml:space="preserve">nventário de </w:t>
      </w:r>
      <w:r>
        <w:rPr>
          <w:rFonts w:ascii="Times New Roman" w:hAnsi="Times New Roman"/>
          <w:b w:val="0"/>
          <w:color w:val="auto"/>
          <w:szCs w:val="24"/>
        </w:rPr>
        <w:t>a</w:t>
      </w:r>
      <w:r w:rsidRPr="00264317">
        <w:rPr>
          <w:rFonts w:ascii="Times New Roman" w:hAnsi="Times New Roman"/>
          <w:b w:val="0"/>
          <w:color w:val="auto"/>
          <w:szCs w:val="24"/>
        </w:rPr>
        <w:t>tivos de TI em todas as unidades do Tribunal, além d</w:t>
      </w:r>
      <w:r>
        <w:rPr>
          <w:rFonts w:ascii="Times New Roman" w:hAnsi="Times New Roman"/>
          <w:b w:val="0"/>
          <w:color w:val="auto"/>
          <w:szCs w:val="24"/>
        </w:rPr>
        <w:t>e viabilizar a</w:t>
      </w:r>
      <w:r w:rsidRPr="00264317">
        <w:rPr>
          <w:rFonts w:ascii="Times New Roman" w:hAnsi="Times New Roman"/>
          <w:b w:val="0"/>
          <w:color w:val="auto"/>
          <w:szCs w:val="24"/>
        </w:rPr>
        <w:t xml:space="preserve"> divulgação da referida política</w:t>
      </w:r>
      <w:r>
        <w:rPr>
          <w:rFonts w:ascii="Times New Roman" w:hAnsi="Times New Roman"/>
          <w:b w:val="0"/>
          <w:color w:val="auto"/>
          <w:szCs w:val="24"/>
        </w:rPr>
        <w:t>,</w:t>
      </w:r>
      <w:r w:rsidRPr="00264317">
        <w:rPr>
          <w:rFonts w:ascii="Times New Roman" w:hAnsi="Times New Roman"/>
          <w:b w:val="0"/>
          <w:color w:val="auto"/>
          <w:szCs w:val="24"/>
        </w:rPr>
        <w:t xml:space="preserve"> nos instrumentos</w:t>
      </w:r>
      <w:r>
        <w:rPr>
          <w:rFonts w:ascii="Times New Roman" w:hAnsi="Times New Roman"/>
          <w:b w:val="0"/>
          <w:color w:val="auto"/>
          <w:szCs w:val="24"/>
        </w:rPr>
        <w:t xml:space="preserve"> de comunicação</w:t>
      </w:r>
      <w:r w:rsidRPr="00264317">
        <w:rPr>
          <w:rFonts w:ascii="Times New Roman" w:hAnsi="Times New Roman"/>
          <w:b w:val="0"/>
          <w:color w:val="auto"/>
          <w:szCs w:val="24"/>
        </w:rPr>
        <w:t xml:space="preserve"> internos da organização.</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Relativamente ao encaminhamento das falhas na segurança da informação, foi observado que estas ainda não são formalmente registradas e notificadas ao gestor do ativo e/ou à CSI, bem assim, que</w:t>
      </w:r>
      <w:r>
        <w:rPr>
          <w:rFonts w:ascii="Times New Roman" w:hAnsi="Times New Roman"/>
          <w:b w:val="0"/>
          <w:color w:val="auto"/>
          <w:szCs w:val="24"/>
        </w:rPr>
        <w:t>,</w:t>
      </w:r>
      <w:r w:rsidRPr="00264317">
        <w:rPr>
          <w:rFonts w:ascii="Times New Roman" w:hAnsi="Times New Roman"/>
          <w:b w:val="0"/>
          <w:color w:val="auto"/>
          <w:szCs w:val="24"/>
        </w:rPr>
        <w:t xml:space="preserve"> no caso de afastamento provisório ou desligamento do usuário, suas permissões de acesso não são automaticamente bloqueadas.</w:t>
      </w:r>
    </w:p>
    <w:p w:rsidR="006848EF" w:rsidRPr="00264317" w:rsidRDefault="006848EF" w:rsidP="00264317">
      <w:pPr>
        <w:pStyle w:val="Norm1"/>
        <w:widowControl w:val="0"/>
        <w:spacing w:before="120" w:after="120"/>
        <w:rPr>
          <w:rFonts w:ascii="Times New Roman" w:hAnsi="Times New Roman"/>
          <w:b w:val="0"/>
          <w:color w:val="auto"/>
          <w:szCs w:val="24"/>
        </w:rPr>
      </w:pPr>
      <w:r>
        <w:rPr>
          <w:rFonts w:ascii="Times New Roman" w:hAnsi="Times New Roman"/>
          <w:b w:val="0"/>
          <w:color w:val="auto"/>
          <w:szCs w:val="24"/>
        </w:rPr>
        <w:t>Não obstante</w:t>
      </w:r>
      <w:r w:rsidRPr="00264317">
        <w:rPr>
          <w:rFonts w:ascii="Times New Roman" w:hAnsi="Times New Roman"/>
          <w:b w:val="0"/>
          <w:color w:val="auto"/>
          <w:szCs w:val="24"/>
        </w:rPr>
        <w:t xml:space="preserve">, verificou-se a edição da Portaria nº 235, publicada em 9 de julho do ano corrente, normativo que instituiu a Política interna de </w:t>
      </w:r>
      <w:r w:rsidRPr="00264317">
        <w:rPr>
          <w:rFonts w:ascii="Times New Roman" w:hAnsi="Times New Roman"/>
          <w:b w:val="0"/>
          <w:i/>
          <w:color w:val="auto"/>
          <w:szCs w:val="24"/>
        </w:rPr>
        <w:t>Backup</w:t>
      </w:r>
      <w:r w:rsidRPr="00264317">
        <w:rPr>
          <w:rFonts w:ascii="Times New Roman" w:hAnsi="Times New Roman"/>
          <w:b w:val="0"/>
          <w:color w:val="auto"/>
          <w:szCs w:val="24"/>
        </w:rPr>
        <w:t xml:space="preserve"> Corporativo, visando à definição de atribuições e responsabilidades e a diminuição de ocorrência de falhas na segurança da informação digital.</w:t>
      </w:r>
    </w:p>
    <w:p w:rsidR="006848EF" w:rsidRPr="00264317" w:rsidRDefault="006848EF" w:rsidP="00264317">
      <w:pPr>
        <w:pStyle w:val="Norm1"/>
        <w:widowControl w:val="0"/>
        <w:spacing w:before="120" w:after="120"/>
        <w:rPr>
          <w:rFonts w:ascii="Times New Roman" w:hAnsi="Times New Roman"/>
          <w:b w:val="0"/>
          <w:color w:val="auto"/>
          <w:szCs w:val="24"/>
        </w:rPr>
      </w:pPr>
      <w:r>
        <w:rPr>
          <w:rFonts w:ascii="Times New Roman" w:hAnsi="Times New Roman"/>
          <w:b w:val="0"/>
          <w:color w:val="auto"/>
          <w:szCs w:val="24"/>
        </w:rPr>
        <w:t>Concluiu-se, por outro lado,</w:t>
      </w:r>
      <w:r w:rsidRPr="00264317">
        <w:rPr>
          <w:rFonts w:ascii="Times New Roman" w:hAnsi="Times New Roman"/>
          <w:b w:val="0"/>
          <w:color w:val="auto"/>
          <w:szCs w:val="24"/>
        </w:rPr>
        <w:t xml:space="preserve"> que a capacidade de desenvolvimento e produção de sistemas internos é insuficiente. Existe relevante dificuldade da área envolvida, notadamente no que se refere a </w:t>
      </w:r>
      <w:r>
        <w:rPr>
          <w:rFonts w:ascii="Times New Roman" w:hAnsi="Times New Roman"/>
          <w:b w:val="0"/>
          <w:color w:val="auto"/>
          <w:szCs w:val="24"/>
        </w:rPr>
        <w:t>servidores</w:t>
      </w:r>
      <w:r w:rsidRPr="00264317">
        <w:rPr>
          <w:rFonts w:ascii="Times New Roman" w:hAnsi="Times New Roman"/>
          <w:b w:val="0"/>
          <w:color w:val="auto"/>
          <w:szCs w:val="24"/>
        </w:rPr>
        <w:t xml:space="preserve"> especializados em TIC.</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 xml:space="preserve">No que tange à contratação e gestão de bens e serviços de TI, verificou-se que este </w:t>
      </w:r>
      <w:r w:rsidRPr="00264317">
        <w:rPr>
          <w:rFonts w:ascii="Times New Roman" w:hAnsi="Times New Roman"/>
          <w:b w:val="0"/>
          <w:color w:val="auto"/>
          <w:szCs w:val="24"/>
        </w:rPr>
        <w:lastRenderedPageBreak/>
        <w:t>Tribunal ainda não adota processo de trabalho formalizado, baseado em estudos técnicos preliminares</w:t>
      </w:r>
      <w:r>
        <w:rPr>
          <w:rFonts w:ascii="Times New Roman" w:hAnsi="Times New Roman"/>
          <w:b w:val="0"/>
          <w:color w:val="auto"/>
          <w:szCs w:val="24"/>
        </w:rPr>
        <w:t>,</w:t>
      </w:r>
      <w:r w:rsidRPr="00264317">
        <w:rPr>
          <w:rFonts w:ascii="Times New Roman" w:hAnsi="Times New Roman"/>
          <w:b w:val="0"/>
          <w:color w:val="auto"/>
          <w:szCs w:val="24"/>
        </w:rPr>
        <w:t xml:space="preserve"> a fim de avaliar a necessidade e viabilidade da contratação, nem possui área específica de gestão de contratos de bens e serviços de TI para gerir adequadamente os riscos inerentes à atividade. Realiza, contudo, estudos técnicos preliminares para elaboração dos seus </w:t>
      </w:r>
      <w:r>
        <w:rPr>
          <w:rFonts w:ascii="Times New Roman" w:hAnsi="Times New Roman"/>
          <w:b w:val="0"/>
          <w:color w:val="auto"/>
          <w:szCs w:val="24"/>
        </w:rPr>
        <w:t>t</w:t>
      </w:r>
      <w:r w:rsidRPr="00264317">
        <w:rPr>
          <w:rFonts w:ascii="Times New Roman" w:hAnsi="Times New Roman"/>
          <w:b w:val="0"/>
          <w:color w:val="auto"/>
          <w:szCs w:val="24"/>
        </w:rPr>
        <w:t xml:space="preserve">ermos de </w:t>
      </w:r>
      <w:r>
        <w:rPr>
          <w:rFonts w:ascii="Times New Roman" w:hAnsi="Times New Roman"/>
          <w:b w:val="0"/>
          <w:color w:val="auto"/>
          <w:szCs w:val="24"/>
        </w:rPr>
        <w:t>r</w:t>
      </w:r>
      <w:r w:rsidRPr="00264317">
        <w:rPr>
          <w:rFonts w:ascii="Times New Roman" w:hAnsi="Times New Roman"/>
          <w:b w:val="0"/>
          <w:color w:val="auto"/>
          <w:szCs w:val="24"/>
        </w:rPr>
        <w:t xml:space="preserve">eferência e </w:t>
      </w:r>
      <w:r>
        <w:rPr>
          <w:rFonts w:ascii="Times New Roman" w:hAnsi="Times New Roman"/>
          <w:b w:val="0"/>
          <w:color w:val="auto"/>
          <w:szCs w:val="24"/>
        </w:rPr>
        <w:t>p</w:t>
      </w:r>
      <w:r w:rsidRPr="00264317">
        <w:rPr>
          <w:rFonts w:ascii="Times New Roman" w:hAnsi="Times New Roman"/>
          <w:b w:val="0"/>
          <w:color w:val="auto"/>
          <w:szCs w:val="24"/>
        </w:rPr>
        <w:t xml:space="preserve">rojetos </w:t>
      </w:r>
      <w:r>
        <w:rPr>
          <w:rFonts w:ascii="Times New Roman" w:hAnsi="Times New Roman"/>
          <w:b w:val="0"/>
          <w:color w:val="auto"/>
          <w:szCs w:val="24"/>
        </w:rPr>
        <w:t>b</w:t>
      </w:r>
      <w:r w:rsidRPr="00264317">
        <w:rPr>
          <w:rFonts w:ascii="Times New Roman" w:hAnsi="Times New Roman"/>
          <w:b w:val="0"/>
          <w:color w:val="auto"/>
          <w:szCs w:val="24"/>
        </w:rPr>
        <w:t>ásicos, ainda que inexistam controles formalizados que comprovem tais pesquisas.</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Acerca da existência de Plano de Continuidade de Negócios para as atividades críticas</w:t>
      </w:r>
      <w:r>
        <w:rPr>
          <w:rFonts w:ascii="Times New Roman" w:hAnsi="Times New Roman"/>
          <w:b w:val="0"/>
          <w:color w:val="auto"/>
          <w:szCs w:val="24"/>
        </w:rPr>
        <w:t xml:space="preserve"> no intuito de</w:t>
      </w:r>
      <w:r w:rsidRPr="00432B9C">
        <w:rPr>
          <w:rFonts w:ascii="Times New Roman" w:hAnsi="Times New Roman"/>
          <w:b w:val="0"/>
          <w:color w:val="auto"/>
          <w:szCs w:val="24"/>
        </w:rPr>
        <w:t xml:space="preserve"> minimizar impacto</w:t>
      </w:r>
      <w:r>
        <w:rPr>
          <w:rFonts w:ascii="Times New Roman" w:hAnsi="Times New Roman"/>
          <w:b w:val="0"/>
          <w:color w:val="auto"/>
          <w:szCs w:val="24"/>
        </w:rPr>
        <w:t>s</w:t>
      </w:r>
      <w:r w:rsidRPr="00432B9C">
        <w:rPr>
          <w:rFonts w:ascii="Times New Roman" w:hAnsi="Times New Roman"/>
          <w:b w:val="0"/>
          <w:color w:val="auto"/>
          <w:szCs w:val="24"/>
        </w:rPr>
        <w:t xml:space="preserve"> sobre a organização e </w:t>
      </w:r>
      <w:r>
        <w:rPr>
          <w:rFonts w:ascii="Times New Roman" w:hAnsi="Times New Roman"/>
          <w:b w:val="0"/>
          <w:color w:val="auto"/>
          <w:szCs w:val="24"/>
        </w:rPr>
        <w:t xml:space="preserve">possibilitar a </w:t>
      </w:r>
      <w:r w:rsidRPr="00432B9C">
        <w:rPr>
          <w:rFonts w:ascii="Times New Roman" w:hAnsi="Times New Roman"/>
          <w:b w:val="0"/>
          <w:color w:val="auto"/>
          <w:szCs w:val="24"/>
        </w:rPr>
        <w:t>recupera</w:t>
      </w:r>
      <w:r>
        <w:rPr>
          <w:rFonts w:ascii="Times New Roman" w:hAnsi="Times New Roman"/>
          <w:b w:val="0"/>
          <w:color w:val="auto"/>
          <w:szCs w:val="24"/>
        </w:rPr>
        <w:t>ção de</w:t>
      </w:r>
      <w:r w:rsidRPr="00432B9C">
        <w:rPr>
          <w:rFonts w:ascii="Times New Roman" w:hAnsi="Times New Roman"/>
          <w:b w:val="0"/>
          <w:color w:val="auto"/>
          <w:szCs w:val="24"/>
        </w:rPr>
        <w:t xml:space="preserve"> perdas de informações a um nível aceitável, </w:t>
      </w:r>
      <w:r>
        <w:rPr>
          <w:rFonts w:ascii="Times New Roman" w:hAnsi="Times New Roman"/>
          <w:b w:val="0"/>
          <w:color w:val="auto"/>
          <w:szCs w:val="24"/>
        </w:rPr>
        <w:t>constatou-se</w:t>
      </w:r>
      <w:r w:rsidRPr="00264317">
        <w:rPr>
          <w:rFonts w:ascii="Times New Roman" w:hAnsi="Times New Roman"/>
          <w:b w:val="0"/>
          <w:color w:val="auto"/>
          <w:szCs w:val="24"/>
        </w:rPr>
        <w:t xml:space="preserve"> o mesmo óbice da ausência de capacitação para o desenvolvimento da ação.</w:t>
      </w:r>
    </w:p>
    <w:p w:rsidR="006848EF" w:rsidRPr="00A123EE" w:rsidRDefault="006848EF" w:rsidP="00264317">
      <w:pPr>
        <w:pStyle w:val="Norm1"/>
        <w:widowControl w:val="0"/>
        <w:spacing w:before="120" w:after="120"/>
        <w:rPr>
          <w:rFonts w:ascii="Times New Roman" w:hAnsi="Times New Roman"/>
          <w:b w:val="0"/>
          <w:color w:val="auto"/>
          <w:spacing w:val="-2"/>
          <w:szCs w:val="24"/>
        </w:rPr>
      </w:pPr>
      <w:r w:rsidRPr="00A123EE">
        <w:rPr>
          <w:rFonts w:ascii="Times New Roman" w:hAnsi="Times New Roman"/>
          <w:b w:val="0"/>
          <w:color w:val="auto"/>
          <w:spacing w:val="-2"/>
          <w:szCs w:val="24"/>
        </w:rPr>
        <w:t>Verificou-se que este Tribunal adota, na medida do possível, os critérios de sustentabilidade ambiental nas contratações de TI, constatada por esta Unidade de Auditoria por meio de consulta a processos de aquisição, a exemplo do expediente nº 6.859/2013, que trata da aquisição de equipamentos de informática com maior eficiência no consumo de energia, e do expediente nº 6.860/2013, que prevê exigências à contratada que garantam a destinação ambiental em conformidade com a legislação específica.</w:t>
      </w:r>
    </w:p>
    <w:p w:rsidR="006848EF" w:rsidRPr="00264317"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 xml:space="preserve">Dos documentos analisados constatou-se, ainda, que a maior dificuldade enfrentada pela STI não é orçamentária, mas sim na definição de critérios que garantam a sustentabilidade ambiental nas aquisições sem prejudicar a isonomia do processo licitatório, bem como na fiscalização do quanto exigido. </w:t>
      </w:r>
      <w:r>
        <w:rPr>
          <w:rFonts w:ascii="Times New Roman" w:hAnsi="Times New Roman"/>
          <w:b w:val="0"/>
          <w:color w:val="auto"/>
          <w:szCs w:val="24"/>
        </w:rPr>
        <w:t>Nesse sentido, t</w:t>
      </w:r>
      <w:r w:rsidRPr="00264317">
        <w:rPr>
          <w:rFonts w:ascii="Times New Roman" w:hAnsi="Times New Roman"/>
          <w:b w:val="0"/>
          <w:color w:val="auto"/>
          <w:szCs w:val="24"/>
        </w:rPr>
        <w:t>em</w:t>
      </w:r>
      <w:r>
        <w:rPr>
          <w:rFonts w:ascii="Times New Roman" w:hAnsi="Times New Roman"/>
          <w:b w:val="0"/>
          <w:color w:val="auto"/>
          <w:szCs w:val="24"/>
        </w:rPr>
        <w:t>-se</w:t>
      </w:r>
      <w:r w:rsidRPr="00264317">
        <w:rPr>
          <w:rFonts w:ascii="Times New Roman" w:hAnsi="Times New Roman"/>
          <w:b w:val="0"/>
          <w:color w:val="auto"/>
          <w:szCs w:val="24"/>
        </w:rPr>
        <w:t xml:space="preserve"> mantid</w:t>
      </w:r>
      <w:r>
        <w:rPr>
          <w:rFonts w:ascii="Times New Roman" w:hAnsi="Times New Roman"/>
          <w:b w:val="0"/>
          <w:color w:val="auto"/>
          <w:szCs w:val="24"/>
        </w:rPr>
        <w:t xml:space="preserve">o, nos respectivos editais, </w:t>
      </w:r>
      <w:r w:rsidRPr="00264317">
        <w:rPr>
          <w:rFonts w:ascii="Times New Roman" w:hAnsi="Times New Roman"/>
          <w:b w:val="0"/>
          <w:color w:val="auto"/>
          <w:szCs w:val="24"/>
        </w:rPr>
        <w:t>exigência de apresentação, por parte dos licitantes, de certidão de comprovação de atendimento aos referidos critérios.</w:t>
      </w:r>
    </w:p>
    <w:p w:rsidR="006848EF" w:rsidRDefault="006848EF" w:rsidP="00264317">
      <w:pPr>
        <w:pStyle w:val="Norm1"/>
        <w:widowControl w:val="0"/>
        <w:spacing w:before="120" w:after="120"/>
        <w:rPr>
          <w:rFonts w:ascii="Times New Roman" w:hAnsi="Times New Roman"/>
          <w:b w:val="0"/>
          <w:color w:val="auto"/>
          <w:szCs w:val="24"/>
        </w:rPr>
      </w:pPr>
      <w:r w:rsidRPr="00264317">
        <w:rPr>
          <w:rFonts w:ascii="Times New Roman" w:hAnsi="Times New Roman"/>
          <w:b w:val="0"/>
          <w:color w:val="auto"/>
          <w:szCs w:val="24"/>
        </w:rPr>
        <w:t>Com referência à implementação do processo de gerenciamento de riscos, visando à identificação</w:t>
      </w:r>
      <w:r>
        <w:rPr>
          <w:rFonts w:ascii="Times New Roman" w:hAnsi="Times New Roman"/>
          <w:b w:val="0"/>
          <w:color w:val="auto"/>
          <w:szCs w:val="24"/>
        </w:rPr>
        <w:t xml:space="preserve"> </w:t>
      </w:r>
      <w:r w:rsidRPr="00264317">
        <w:rPr>
          <w:rFonts w:ascii="Times New Roman" w:hAnsi="Times New Roman"/>
          <w:b w:val="0"/>
          <w:color w:val="auto"/>
          <w:szCs w:val="24"/>
        </w:rPr>
        <w:t xml:space="preserve">e </w:t>
      </w:r>
      <w:r>
        <w:rPr>
          <w:rFonts w:ascii="Times New Roman" w:hAnsi="Times New Roman"/>
          <w:b w:val="0"/>
          <w:color w:val="auto"/>
          <w:szCs w:val="24"/>
        </w:rPr>
        <w:t xml:space="preserve">implementação de controles voltados à </w:t>
      </w:r>
      <w:r w:rsidRPr="00264317">
        <w:rPr>
          <w:rFonts w:ascii="Times New Roman" w:hAnsi="Times New Roman"/>
          <w:b w:val="0"/>
          <w:color w:val="auto"/>
          <w:szCs w:val="24"/>
        </w:rPr>
        <w:t xml:space="preserve">mitigação </w:t>
      </w:r>
      <w:r>
        <w:rPr>
          <w:rFonts w:ascii="Times New Roman" w:hAnsi="Times New Roman"/>
          <w:b w:val="0"/>
          <w:color w:val="auto"/>
          <w:szCs w:val="24"/>
        </w:rPr>
        <w:t>daqueles</w:t>
      </w:r>
      <w:r w:rsidRPr="00264317">
        <w:rPr>
          <w:rFonts w:ascii="Times New Roman" w:hAnsi="Times New Roman"/>
          <w:b w:val="0"/>
          <w:color w:val="auto"/>
          <w:szCs w:val="24"/>
        </w:rPr>
        <w:t xml:space="preserve"> associados às atividades críticas deste Tribunal, verificou-se que se trata de meta </w:t>
      </w:r>
      <w:r>
        <w:rPr>
          <w:rFonts w:ascii="Times New Roman" w:hAnsi="Times New Roman"/>
          <w:b w:val="0"/>
          <w:color w:val="auto"/>
          <w:szCs w:val="24"/>
        </w:rPr>
        <w:t xml:space="preserve">a ser perseguida depois de realizada a necessária </w:t>
      </w:r>
      <w:r w:rsidRPr="00264317">
        <w:rPr>
          <w:rFonts w:ascii="Times New Roman" w:hAnsi="Times New Roman"/>
          <w:b w:val="0"/>
          <w:color w:val="auto"/>
          <w:szCs w:val="24"/>
        </w:rPr>
        <w:t>capacitação do pessoal envolvido na atividade, o que ainda não ocorreu.</w:t>
      </w:r>
    </w:p>
    <w:p w:rsidR="006848EF" w:rsidRDefault="006848EF" w:rsidP="009A2088">
      <w:pPr>
        <w:pStyle w:val="PargrafodaLista"/>
        <w:spacing w:before="360" w:after="240"/>
        <w:ind w:left="357" w:hanging="357"/>
        <w:rPr>
          <w:sz w:val="24"/>
          <w:szCs w:val="24"/>
        </w:rPr>
      </w:pPr>
      <w:bookmarkStart w:id="7" w:name="_Toc396482382"/>
      <w:r>
        <w:rPr>
          <w:sz w:val="24"/>
          <w:szCs w:val="24"/>
        </w:rPr>
        <w:t>ACHADOS DE AUDITORIA</w:t>
      </w:r>
      <w:bookmarkEnd w:id="7"/>
    </w:p>
    <w:p w:rsidR="006848EF" w:rsidRDefault="006848EF" w:rsidP="006B5DD8">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Ultimadas as etapas reservadas ao exame, análise e cotejo de documentos, manifestações das unidades envolvidas e demais fontes de informação utilizadas para elucidação das questões de auditoria propostas, restaram evidenciados os seguintes achados:</w:t>
      </w:r>
    </w:p>
    <w:p w:rsidR="006848EF" w:rsidRPr="009A4B99" w:rsidRDefault="006848EF" w:rsidP="00083F74">
      <w:pPr>
        <w:pStyle w:val="TextosemFormatao"/>
        <w:numPr>
          <w:ilvl w:val="1"/>
          <w:numId w:val="2"/>
        </w:numPr>
        <w:spacing w:before="240" w:after="120"/>
        <w:jc w:val="both"/>
        <w:rPr>
          <w:rFonts w:ascii="Times New Roman" w:hAnsi="Times New Roman" w:cs="Times New Roman"/>
          <w:i/>
          <w:sz w:val="24"/>
          <w:szCs w:val="24"/>
          <w:lang w:eastAsia="pt-BR"/>
        </w:rPr>
      </w:pPr>
      <w:r w:rsidRPr="009A4B99">
        <w:rPr>
          <w:rFonts w:ascii="Times New Roman" w:hAnsi="Times New Roman"/>
          <w:i/>
          <w:sz w:val="24"/>
          <w:szCs w:val="24"/>
        </w:rPr>
        <w:t>Insuficiência de pessoal de cargo privativo da área de TI</w:t>
      </w:r>
      <w:r w:rsidRPr="009A4B99">
        <w:rPr>
          <w:rFonts w:ascii="Times New Roman" w:hAnsi="Times New Roman" w:cs="Times New Roman"/>
          <w:i/>
          <w:sz w:val="24"/>
          <w:szCs w:val="24"/>
          <w:lang w:eastAsia="pt-BR"/>
        </w:rPr>
        <w:t xml:space="preserve">: </w:t>
      </w:r>
    </w:p>
    <w:p w:rsidR="006848EF" w:rsidRDefault="006848EF"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sidRPr="002C7127">
        <w:rPr>
          <w:rFonts w:ascii="Times New Roman" w:hAnsi="Times New Roman" w:cs="Times New Roman"/>
          <w:i/>
          <w:sz w:val="24"/>
          <w:szCs w:val="24"/>
          <w:lang w:eastAsia="pt-BR"/>
        </w:rPr>
        <w:t>Situação encontrada:</w:t>
      </w:r>
      <w:r w:rsidRPr="002C7127">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existência de 21 servidores efetivos ocupantes de cargo específico de TI, refletindo defasagem de 72% em relação ao quantitativo mínimo ideal parametrizado pelo CNJ.</w:t>
      </w:r>
    </w:p>
    <w:p w:rsidR="006848EF" w:rsidRDefault="006848EF"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Pr>
          <w:rFonts w:ascii="Times New Roman" w:hAnsi="Times New Roman" w:cs="Times New Roman"/>
          <w:i/>
          <w:sz w:val="24"/>
          <w:szCs w:val="24"/>
          <w:lang w:eastAsia="pt-BR"/>
        </w:rPr>
        <w:t>Critério(s):</w:t>
      </w:r>
      <w:r>
        <w:rPr>
          <w:rFonts w:ascii="Times New Roman" w:hAnsi="Times New Roman" w:cs="Times New Roman"/>
          <w:sz w:val="24"/>
          <w:szCs w:val="24"/>
          <w:lang w:eastAsia="pt-BR"/>
        </w:rPr>
        <w:t xml:space="preserve"> parâmetros constantes do Anexo I, da Res. CNJ nº 90/2009, que estabelece quantitativo mínimo de 75 profissionais de TI do quadro permanente para 1.501 a 3.000 usuários de recursos de TIC. </w:t>
      </w:r>
    </w:p>
    <w:p w:rsidR="006848EF" w:rsidRDefault="006848EF"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sidRPr="002C7127">
        <w:rPr>
          <w:rFonts w:ascii="Times New Roman" w:hAnsi="Times New Roman" w:cs="Times New Roman"/>
          <w:i/>
          <w:sz w:val="24"/>
          <w:szCs w:val="24"/>
          <w:lang w:eastAsia="pt-BR"/>
        </w:rPr>
        <w:t>Risco(s) e efeito(s):</w:t>
      </w:r>
      <w:r w:rsidRPr="002C7127">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impossibilidade de atendimento às demandas do Órgão, notadamente no que tange ao suporte aos objetivos e estratégias organizacionais, </w:t>
      </w:r>
      <w:r>
        <w:rPr>
          <w:rFonts w:ascii="Times New Roman" w:hAnsi="Times New Roman" w:cs="Times New Roman"/>
          <w:sz w:val="24"/>
          <w:szCs w:val="24"/>
          <w:lang w:eastAsia="pt-BR"/>
        </w:rPr>
        <w:lastRenderedPageBreak/>
        <w:t>limitando a implementação de boas práticas e, consequentemente, o incremento de resultados, comprometendo, ainda, a eficiência, eficácia e efetividade da gestão.</w:t>
      </w:r>
    </w:p>
    <w:p w:rsidR="006848EF" w:rsidRDefault="006848EF" w:rsidP="002C7127">
      <w:pPr>
        <w:pStyle w:val="TextosemFormatao"/>
        <w:numPr>
          <w:ilvl w:val="0"/>
          <w:numId w:val="3"/>
        </w:numPr>
        <w:spacing w:after="120"/>
        <w:ind w:left="714" w:hanging="357"/>
        <w:jc w:val="both"/>
        <w:rPr>
          <w:rFonts w:ascii="Times New Roman" w:hAnsi="Times New Roman" w:cs="Times New Roman"/>
          <w:sz w:val="24"/>
          <w:szCs w:val="24"/>
          <w:lang w:eastAsia="pt-BR"/>
        </w:rPr>
      </w:pPr>
      <w:r w:rsidRPr="00E5520C">
        <w:rPr>
          <w:rFonts w:ascii="Times New Roman" w:hAnsi="Times New Roman" w:cs="Times New Roman"/>
          <w:i/>
          <w:sz w:val="24"/>
          <w:szCs w:val="24"/>
          <w:lang w:eastAsia="pt-BR"/>
        </w:rPr>
        <w:t>Causa(s):</w:t>
      </w:r>
      <w:r>
        <w:rPr>
          <w:rFonts w:ascii="Times New Roman" w:hAnsi="Times New Roman" w:cs="Times New Roman"/>
          <w:sz w:val="24"/>
          <w:szCs w:val="24"/>
          <w:lang w:eastAsia="pt-BR"/>
        </w:rPr>
        <w:t xml:space="preserve"> crescimento do quantitativo de usuários e respectivas demandas em razão desproporcional ao incremento do quadro de pessoal permanente da área de TIC do TRE-BA.</w:t>
      </w:r>
    </w:p>
    <w:p w:rsidR="006848EF" w:rsidRPr="002E2701" w:rsidRDefault="006848EF" w:rsidP="002E2701">
      <w:pPr>
        <w:pStyle w:val="TextosemFormatao"/>
        <w:numPr>
          <w:ilvl w:val="0"/>
          <w:numId w:val="3"/>
        </w:numPr>
        <w:spacing w:after="120"/>
        <w:ind w:left="714" w:hanging="357"/>
        <w:jc w:val="both"/>
        <w:rPr>
          <w:rFonts w:ascii="Times New Roman" w:hAnsi="Times New Roman" w:cs="Times New Roman"/>
          <w:sz w:val="24"/>
          <w:szCs w:val="24"/>
          <w:lang w:eastAsia="pt-BR"/>
        </w:rPr>
      </w:pPr>
      <w:r>
        <w:rPr>
          <w:rFonts w:ascii="Times New Roman" w:hAnsi="Times New Roman" w:cs="Times New Roman"/>
          <w:i/>
          <w:sz w:val="24"/>
          <w:szCs w:val="24"/>
          <w:lang w:eastAsia="pt-BR"/>
        </w:rPr>
        <w:t>Evidência(s):</w:t>
      </w:r>
      <w:r>
        <w:rPr>
          <w:rFonts w:ascii="Times New Roman" w:hAnsi="Times New Roman" w:cs="Times New Roman"/>
          <w:sz w:val="24"/>
          <w:szCs w:val="24"/>
          <w:lang w:eastAsia="pt-BR"/>
        </w:rPr>
        <w:t xml:space="preserve"> manifestação da STI em resposta à alínea “b”, da RDI nº 3/2014/SCI, e ao </w:t>
      </w:r>
      <w:r w:rsidRPr="00BF124B">
        <w:rPr>
          <w:rFonts w:ascii="Times New Roman" w:hAnsi="Times New Roman" w:cs="Times New Roman"/>
          <w:snapToGrid w:val="0"/>
          <w:spacing w:val="-6"/>
          <w:sz w:val="24"/>
          <w:szCs w:val="24"/>
          <w:lang w:eastAsia="pt-BR"/>
        </w:rPr>
        <w:t>Memorando Circular nº 16/2014/SCI</w:t>
      </w:r>
      <w:r>
        <w:rPr>
          <w:rFonts w:ascii="Times New Roman" w:hAnsi="Times New Roman" w:cs="Times New Roman"/>
          <w:snapToGrid w:val="0"/>
          <w:spacing w:val="-6"/>
          <w:sz w:val="24"/>
          <w:szCs w:val="24"/>
          <w:lang w:eastAsia="pt-BR"/>
        </w:rPr>
        <w:t>.</w:t>
      </w:r>
    </w:p>
    <w:p w:rsidR="006848EF" w:rsidRPr="00083F74" w:rsidRDefault="006848EF" w:rsidP="00083F74">
      <w:pPr>
        <w:pStyle w:val="TextosemFormatao"/>
        <w:numPr>
          <w:ilvl w:val="1"/>
          <w:numId w:val="2"/>
        </w:numPr>
        <w:spacing w:before="240" w:after="120"/>
        <w:jc w:val="both"/>
        <w:rPr>
          <w:rFonts w:ascii="Times New Roman" w:hAnsi="Times New Roman"/>
          <w:i/>
          <w:sz w:val="24"/>
          <w:szCs w:val="24"/>
        </w:rPr>
      </w:pPr>
      <w:r w:rsidRPr="00083F74">
        <w:rPr>
          <w:rFonts w:ascii="Times New Roman" w:hAnsi="Times New Roman"/>
          <w:i/>
          <w:sz w:val="24"/>
          <w:szCs w:val="24"/>
        </w:rPr>
        <w:t xml:space="preserve">Ausência de mecanismos de controle, no planejamento existente, para que a Alta Administração acompanhe o desempenho de TI da instituição, bem assim, ausência de aperfeiçoamento contínuo do citado planejamento, com base na análise dos seus indicadores: </w:t>
      </w:r>
    </w:p>
    <w:p w:rsidR="006848EF" w:rsidRDefault="006848EF" w:rsidP="00556134">
      <w:pPr>
        <w:pStyle w:val="TextosemFormatao"/>
        <w:numPr>
          <w:ilvl w:val="0"/>
          <w:numId w:val="3"/>
        </w:numPr>
        <w:spacing w:after="120"/>
        <w:ind w:left="714" w:hanging="357"/>
        <w:jc w:val="both"/>
        <w:rPr>
          <w:rFonts w:ascii="Times New Roman" w:hAnsi="Times New Roman" w:cs="Times New Roman"/>
          <w:sz w:val="24"/>
          <w:szCs w:val="24"/>
          <w:lang w:eastAsia="pt-BR"/>
        </w:rPr>
      </w:pPr>
      <w:r w:rsidRPr="002C7127">
        <w:rPr>
          <w:rFonts w:ascii="Times New Roman" w:hAnsi="Times New Roman" w:cs="Times New Roman"/>
          <w:i/>
          <w:sz w:val="24"/>
          <w:szCs w:val="24"/>
          <w:lang w:eastAsia="pt-BR"/>
        </w:rPr>
        <w:t>Situação encontrada:</w:t>
      </w:r>
      <w:r w:rsidRPr="002C7127">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existência de planejamento estratégico de TI institucional, para o período 2010-2014, formalizado por meio da Res. Adm. TRE-BA nº 3/2010, sem registro de aperfeiçoamento ou revisão posterior a sua instituição e sem previsão, ainda, de indicadores de desempenho destinados a mensurar os resultados da referida estratégia e possibilitar, assim, o acompanhamento de sua execução pela Alta Gestão do Órgão, seja diretamente ou por meio do Comitê Gestor do planejamento estratégico de TI.</w:t>
      </w:r>
      <w:r w:rsidRPr="002C7127">
        <w:rPr>
          <w:rFonts w:ascii="Times New Roman" w:hAnsi="Times New Roman" w:cs="Times New Roman"/>
          <w:sz w:val="24"/>
          <w:szCs w:val="24"/>
        </w:rPr>
        <w:t xml:space="preserve"> </w:t>
      </w:r>
    </w:p>
    <w:p w:rsidR="006848EF" w:rsidRPr="00A123EE" w:rsidRDefault="006848EF" w:rsidP="00556134">
      <w:pPr>
        <w:pStyle w:val="TextosemFormatao"/>
        <w:numPr>
          <w:ilvl w:val="0"/>
          <w:numId w:val="3"/>
        </w:numPr>
        <w:spacing w:after="120"/>
        <w:ind w:left="714" w:hanging="357"/>
        <w:jc w:val="both"/>
        <w:rPr>
          <w:rFonts w:ascii="Times New Roman" w:hAnsi="Times New Roman" w:cs="Times New Roman"/>
          <w:spacing w:val="-2"/>
          <w:sz w:val="24"/>
          <w:szCs w:val="24"/>
          <w:lang w:eastAsia="pt-BR"/>
        </w:rPr>
      </w:pPr>
      <w:r w:rsidRPr="00A123EE">
        <w:rPr>
          <w:rFonts w:ascii="Times New Roman" w:hAnsi="Times New Roman" w:cs="Times New Roman"/>
          <w:i/>
          <w:spacing w:val="-2"/>
          <w:sz w:val="24"/>
          <w:szCs w:val="24"/>
          <w:lang w:eastAsia="pt-BR"/>
        </w:rPr>
        <w:t>Critério(s):</w:t>
      </w:r>
      <w:r>
        <w:rPr>
          <w:rFonts w:ascii="Times New Roman" w:hAnsi="Times New Roman" w:cs="Times New Roman"/>
          <w:spacing w:val="-2"/>
          <w:sz w:val="24"/>
          <w:szCs w:val="24"/>
          <w:lang w:eastAsia="pt-BR"/>
        </w:rPr>
        <w:t xml:space="preserve"> i</w:t>
      </w:r>
      <w:r w:rsidRPr="00A123EE">
        <w:rPr>
          <w:rFonts w:ascii="Times New Roman" w:hAnsi="Times New Roman" w:cs="Times New Roman"/>
          <w:spacing w:val="-2"/>
          <w:sz w:val="24"/>
          <w:szCs w:val="24"/>
          <w:lang w:eastAsia="pt-BR"/>
        </w:rPr>
        <w:t xml:space="preserve">tens 9.1 e 9.1.1 do Acórdão TCU – Plenário nº 2.308/2010, que recomenda ao CNJ que oriente as unidades sob sua jurisdição acerca de necessidade de estabelecer formalmente: </w:t>
      </w:r>
      <w:r w:rsidRPr="00A123EE">
        <w:rPr>
          <w:rFonts w:ascii="Times New Roman" w:hAnsi="Times New Roman" w:cs="Times New Roman"/>
          <w:color w:val="000000"/>
          <w:spacing w:val="-2"/>
          <w:sz w:val="23"/>
          <w:szCs w:val="23"/>
        </w:rPr>
        <w:t>objetivos institucionais de TI alinhados às estratégias de negócio; indicadores e metas para cada objetivo definido; e mecanismos para que a Alta Administração acompanhe o desempenho da TI da instituição; art. 2º, §1º e incisos I e II, da Res. CNJ nº 99/2009, que regulamentam, no âmbito do Judiciário, a obrigatoriedade de aprovação de planejamento estratégico de TIC com previsão de objetivos, indicadores e metas de curto, médio e longo prazos; e parágrafo único do art. 2º, da Res. Adm. TRE-BA nº 3/2010 que fixa as competências do Comitê Gestor do planejamento estratégico de TI deste Regional.</w:t>
      </w:r>
    </w:p>
    <w:p w:rsidR="006848EF" w:rsidRPr="008E31AA" w:rsidRDefault="006848EF"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8E31AA">
        <w:rPr>
          <w:rFonts w:ascii="Times New Roman" w:hAnsi="Times New Roman" w:cs="Times New Roman"/>
          <w:i/>
          <w:sz w:val="24"/>
          <w:szCs w:val="24"/>
          <w:lang w:eastAsia="pt-BR"/>
        </w:rPr>
        <w:t>Risco(s) e efeito(s):</w:t>
      </w:r>
      <w:r w:rsidRPr="008E31AA">
        <w:rPr>
          <w:rFonts w:ascii="Times New Roman" w:hAnsi="Times New Roman" w:cs="Times New Roman"/>
          <w:sz w:val="24"/>
          <w:szCs w:val="24"/>
          <w:lang w:eastAsia="pt-BR"/>
        </w:rPr>
        <w:t xml:space="preserve"> a inexistência de mecanismos de controle ou mensuração de resultados decorrentes do plano estratégico instituído impossibilita o acompanhamento da execução da Estratégia definida, bem como a adoção de medidas preventivas e/ou corretivas no sentido de assegurar que os objetivos institucionais afetos à área de TI sejam efetivamente concretizados. A ausência do referido acompanhamento obsta, ainda, a revisão ou aperfeiçoamento do quanto planejado de modo a compatibilizar objetivos e iniciativas de TIC com a missão do TRE-BA.</w:t>
      </w:r>
    </w:p>
    <w:p w:rsidR="006848EF" w:rsidRDefault="006848EF" w:rsidP="00556134">
      <w:pPr>
        <w:pStyle w:val="TextosemFormatao"/>
        <w:numPr>
          <w:ilvl w:val="0"/>
          <w:numId w:val="3"/>
        </w:numPr>
        <w:spacing w:after="120"/>
        <w:ind w:left="714" w:hanging="357"/>
        <w:jc w:val="both"/>
        <w:rPr>
          <w:rFonts w:ascii="Times New Roman" w:hAnsi="Times New Roman" w:cs="Times New Roman"/>
          <w:sz w:val="24"/>
          <w:szCs w:val="24"/>
          <w:lang w:eastAsia="pt-BR"/>
        </w:rPr>
      </w:pPr>
      <w:r w:rsidRPr="00E5520C">
        <w:rPr>
          <w:rFonts w:ascii="Times New Roman" w:hAnsi="Times New Roman" w:cs="Times New Roman"/>
          <w:i/>
          <w:sz w:val="24"/>
          <w:szCs w:val="24"/>
          <w:lang w:eastAsia="pt-BR"/>
        </w:rPr>
        <w:t>Causa(s):</w:t>
      </w:r>
      <w:r>
        <w:rPr>
          <w:rFonts w:ascii="Times New Roman" w:hAnsi="Times New Roman" w:cs="Times New Roman"/>
          <w:sz w:val="24"/>
          <w:szCs w:val="24"/>
          <w:lang w:eastAsia="pt-BR"/>
        </w:rPr>
        <w:t xml:space="preserve"> ausência de previsão de mecanismos de controle ou indicadores de desempenho que possibilitem o acompanhamento da execução da Estratégia institucional de TI por parte da Alta Administração do Órgão, além de atuação limitada do Comitê Gestor do planejamento estratégico de TI do TRE-BA.</w:t>
      </w:r>
    </w:p>
    <w:p w:rsidR="006848EF" w:rsidRPr="00E202B6" w:rsidRDefault="006848EF"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2F188C">
        <w:rPr>
          <w:rFonts w:ascii="Times New Roman" w:hAnsi="Times New Roman" w:cs="Times New Roman"/>
          <w:i/>
          <w:sz w:val="24"/>
          <w:szCs w:val="24"/>
          <w:lang w:eastAsia="pt-BR"/>
        </w:rPr>
        <w:t>Evidência(s):</w:t>
      </w:r>
      <w:r w:rsidRPr="002F188C">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manifestação da STI em resposta à alínea “a”, da RDI nº 3/2014/SCI, e ao </w:t>
      </w:r>
      <w:r w:rsidRPr="00BF124B">
        <w:rPr>
          <w:rFonts w:ascii="Times New Roman" w:hAnsi="Times New Roman" w:cs="Times New Roman"/>
          <w:snapToGrid w:val="0"/>
          <w:spacing w:val="-6"/>
          <w:sz w:val="24"/>
          <w:szCs w:val="24"/>
          <w:lang w:eastAsia="pt-BR"/>
        </w:rPr>
        <w:t>Memorando Circular nº 16/2014/SCI</w:t>
      </w:r>
      <w:r>
        <w:rPr>
          <w:rFonts w:ascii="Times New Roman" w:hAnsi="Times New Roman" w:cs="Times New Roman"/>
          <w:snapToGrid w:val="0"/>
          <w:spacing w:val="-6"/>
          <w:sz w:val="24"/>
          <w:szCs w:val="24"/>
          <w:lang w:eastAsia="pt-BR"/>
        </w:rPr>
        <w:t>.</w:t>
      </w:r>
    </w:p>
    <w:p w:rsidR="006848EF" w:rsidRDefault="006848EF" w:rsidP="00083F74">
      <w:pPr>
        <w:pStyle w:val="TextosemFormatao"/>
        <w:numPr>
          <w:ilvl w:val="1"/>
          <w:numId w:val="2"/>
        </w:numPr>
        <w:spacing w:before="240" w:after="120"/>
        <w:jc w:val="both"/>
        <w:rPr>
          <w:rFonts w:ascii="Times New Roman" w:hAnsi="Times New Roman"/>
          <w:i/>
          <w:sz w:val="24"/>
          <w:szCs w:val="24"/>
        </w:rPr>
      </w:pPr>
      <w:r>
        <w:rPr>
          <w:rFonts w:ascii="Times New Roman" w:hAnsi="Times New Roman"/>
          <w:i/>
          <w:sz w:val="24"/>
          <w:szCs w:val="24"/>
        </w:rPr>
        <w:lastRenderedPageBreak/>
        <w:t>Inexistência de Plano Diretor de TI (PDTI):</w:t>
      </w:r>
    </w:p>
    <w:p w:rsidR="006848EF" w:rsidRPr="00125297" w:rsidRDefault="006848EF" w:rsidP="00125297">
      <w:pPr>
        <w:pStyle w:val="TextosemFormatao"/>
        <w:numPr>
          <w:ilvl w:val="0"/>
          <w:numId w:val="3"/>
        </w:numPr>
        <w:spacing w:after="120"/>
        <w:ind w:left="714" w:hanging="357"/>
        <w:jc w:val="both"/>
        <w:rPr>
          <w:rFonts w:ascii="Times New Roman" w:hAnsi="Times New Roman" w:cs="Times New Roman"/>
          <w:i/>
          <w:sz w:val="24"/>
          <w:szCs w:val="24"/>
          <w:lang w:eastAsia="pt-BR"/>
        </w:rPr>
      </w:pPr>
      <w:r w:rsidRPr="00125297">
        <w:rPr>
          <w:rFonts w:ascii="Times New Roman" w:hAnsi="Times New Roman" w:cs="Times New Roman"/>
          <w:i/>
          <w:sz w:val="24"/>
          <w:szCs w:val="24"/>
          <w:lang w:eastAsia="pt-BR"/>
        </w:rPr>
        <w:t xml:space="preserve">Situação encontrada: </w:t>
      </w:r>
      <w:r>
        <w:rPr>
          <w:rFonts w:ascii="Times New Roman" w:hAnsi="Times New Roman" w:cs="Times New Roman"/>
          <w:sz w:val="24"/>
          <w:szCs w:val="24"/>
          <w:lang w:eastAsia="pt-BR"/>
        </w:rPr>
        <w:t>in</w:t>
      </w:r>
      <w:r w:rsidRPr="00125297">
        <w:rPr>
          <w:rFonts w:ascii="Times New Roman" w:hAnsi="Times New Roman" w:cs="Times New Roman"/>
          <w:sz w:val="24"/>
          <w:szCs w:val="24"/>
          <w:lang w:eastAsia="pt-BR"/>
        </w:rPr>
        <w:t xml:space="preserve">existência de </w:t>
      </w:r>
      <w:r>
        <w:rPr>
          <w:rFonts w:ascii="Times New Roman" w:hAnsi="Times New Roman" w:cs="Times New Roman"/>
          <w:sz w:val="24"/>
          <w:szCs w:val="24"/>
          <w:lang w:eastAsia="pt-BR"/>
        </w:rPr>
        <w:t>PDTI institucional, embora haja previsão de elaboração, sem prazo definido para publicação. Tramitação de expediente administrativo protocolizado sob nº 13.699/2013</w:t>
      </w:r>
      <w:r>
        <w:rPr>
          <w:rFonts w:ascii="Times New Roman" w:hAnsi="Times New Roman" w:cs="Times New Roman"/>
          <w:i/>
          <w:sz w:val="24"/>
          <w:szCs w:val="24"/>
          <w:lang w:eastAsia="pt-BR"/>
        </w:rPr>
        <w:t xml:space="preserve"> </w:t>
      </w:r>
      <w:r>
        <w:rPr>
          <w:rFonts w:ascii="Times New Roman" w:hAnsi="Times New Roman" w:cs="Times New Roman"/>
          <w:sz w:val="24"/>
          <w:szCs w:val="24"/>
          <w:lang w:eastAsia="pt-BR"/>
        </w:rPr>
        <w:t>objetivando contratação de consultoria para auxiliar a STI na questão.</w:t>
      </w:r>
    </w:p>
    <w:p w:rsidR="006848EF" w:rsidRPr="00125297" w:rsidRDefault="006848EF" w:rsidP="00125297">
      <w:pPr>
        <w:pStyle w:val="TextosemFormatao"/>
        <w:numPr>
          <w:ilvl w:val="0"/>
          <w:numId w:val="3"/>
        </w:numPr>
        <w:spacing w:after="120"/>
        <w:ind w:left="714" w:hanging="357"/>
        <w:jc w:val="both"/>
        <w:rPr>
          <w:rFonts w:ascii="Times New Roman" w:hAnsi="Times New Roman" w:cs="Times New Roman"/>
          <w:i/>
          <w:sz w:val="24"/>
          <w:szCs w:val="24"/>
          <w:lang w:eastAsia="pt-BR"/>
        </w:rPr>
      </w:pPr>
      <w:r w:rsidRPr="00125297">
        <w:rPr>
          <w:rFonts w:ascii="Times New Roman" w:hAnsi="Times New Roman" w:cs="Times New Roman"/>
          <w:i/>
          <w:sz w:val="24"/>
          <w:szCs w:val="24"/>
          <w:lang w:eastAsia="pt-BR"/>
        </w:rPr>
        <w:t xml:space="preserve">Critério(s): </w:t>
      </w:r>
      <w:r>
        <w:rPr>
          <w:rFonts w:ascii="Times New Roman" w:hAnsi="Times New Roman" w:cs="Times New Roman"/>
          <w:sz w:val="24"/>
          <w:szCs w:val="24"/>
          <w:lang w:eastAsia="pt-BR"/>
        </w:rPr>
        <w:t>parágrafo único, do art. 11, da Res. CNJ nº 90/2009</w:t>
      </w:r>
      <w:r w:rsidRPr="00125297">
        <w:rPr>
          <w:rFonts w:ascii="Times New Roman" w:hAnsi="Times New Roman" w:cs="Times New Roman"/>
          <w:i/>
          <w:sz w:val="24"/>
          <w:szCs w:val="24"/>
          <w:lang w:eastAsia="pt-BR"/>
        </w:rPr>
        <w:t>.</w:t>
      </w:r>
    </w:p>
    <w:p w:rsidR="006848EF" w:rsidRPr="009475DB" w:rsidRDefault="006848EF" w:rsidP="00125297">
      <w:pPr>
        <w:pStyle w:val="TextosemFormatao"/>
        <w:numPr>
          <w:ilvl w:val="0"/>
          <w:numId w:val="3"/>
        </w:numPr>
        <w:spacing w:after="120"/>
        <w:ind w:left="714" w:hanging="357"/>
        <w:jc w:val="both"/>
        <w:rPr>
          <w:rFonts w:ascii="Times New Roman" w:hAnsi="Times New Roman" w:cs="Times New Roman"/>
          <w:i/>
          <w:sz w:val="24"/>
          <w:szCs w:val="24"/>
          <w:lang w:eastAsia="pt-BR"/>
        </w:rPr>
      </w:pPr>
      <w:r w:rsidRPr="00125297">
        <w:rPr>
          <w:rFonts w:ascii="Times New Roman" w:hAnsi="Times New Roman" w:cs="Times New Roman"/>
          <w:i/>
          <w:sz w:val="24"/>
          <w:szCs w:val="24"/>
          <w:lang w:eastAsia="pt-BR"/>
        </w:rPr>
        <w:t xml:space="preserve">Risco(s) e efeito(s): </w:t>
      </w:r>
      <w:r w:rsidRPr="009475DB">
        <w:rPr>
          <w:rFonts w:ascii="Times New Roman" w:hAnsi="Times New Roman" w:cs="Times New Roman"/>
          <w:sz w:val="24"/>
          <w:szCs w:val="24"/>
          <w:lang w:eastAsia="pt-BR"/>
        </w:rPr>
        <w:t xml:space="preserve">a </w:t>
      </w:r>
      <w:r>
        <w:rPr>
          <w:rFonts w:ascii="Times New Roman" w:hAnsi="Times New Roman" w:cs="Times New Roman"/>
          <w:sz w:val="24"/>
          <w:szCs w:val="24"/>
          <w:lang w:eastAsia="pt-BR"/>
        </w:rPr>
        <w:t>ausência de instrumento de gestão que contemple iniciativas e respectivos planos de ação destinados a viabilizar a concretização das estratégias definidas no Planejamento Estratégico de TI pode comprometer a acompanhamento, bem como a efetiva concretização dos objetivos de TI institucionais.</w:t>
      </w:r>
    </w:p>
    <w:p w:rsidR="006848EF" w:rsidRPr="00125297" w:rsidRDefault="006848EF" w:rsidP="00125297">
      <w:pPr>
        <w:pStyle w:val="TextosemFormatao"/>
        <w:numPr>
          <w:ilvl w:val="0"/>
          <w:numId w:val="3"/>
        </w:numPr>
        <w:spacing w:after="120"/>
        <w:ind w:left="714" w:hanging="357"/>
        <w:jc w:val="both"/>
        <w:rPr>
          <w:rFonts w:ascii="Times New Roman" w:hAnsi="Times New Roman" w:cs="Times New Roman"/>
          <w:i/>
          <w:sz w:val="24"/>
          <w:szCs w:val="24"/>
          <w:lang w:eastAsia="pt-BR"/>
        </w:rPr>
      </w:pPr>
      <w:r w:rsidRPr="00125297">
        <w:rPr>
          <w:rFonts w:ascii="Times New Roman" w:hAnsi="Times New Roman" w:cs="Times New Roman"/>
          <w:i/>
          <w:sz w:val="24"/>
          <w:szCs w:val="24"/>
          <w:lang w:eastAsia="pt-BR"/>
        </w:rPr>
        <w:t xml:space="preserve">Causa(s): </w:t>
      </w:r>
      <w:r>
        <w:rPr>
          <w:rFonts w:ascii="Times New Roman" w:hAnsi="Times New Roman" w:cs="Times New Roman"/>
          <w:sz w:val="24"/>
          <w:szCs w:val="24"/>
          <w:lang w:eastAsia="pt-BR"/>
        </w:rPr>
        <w:t>não conclusão do expediente nº 13.699/2013 com vistas à contratação de consultoria especializada</w:t>
      </w:r>
      <w:r w:rsidRPr="00125297">
        <w:rPr>
          <w:rFonts w:ascii="Times New Roman" w:hAnsi="Times New Roman" w:cs="Times New Roman"/>
          <w:i/>
          <w:sz w:val="24"/>
          <w:szCs w:val="24"/>
          <w:lang w:eastAsia="pt-BR"/>
        </w:rPr>
        <w:t>.</w:t>
      </w:r>
    </w:p>
    <w:p w:rsidR="006848EF" w:rsidRPr="004207DA" w:rsidRDefault="006848EF" w:rsidP="00125297">
      <w:pPr>
        <w:pStyle w:val="TextosemFormatao"/>
        <w:numPr>
          <w:ilvl w:val="0"/>
          <w:numId w:val="3"/>
        </w:numPr>
        <w:spacing w:after="120"/>
        <w:ind w:left="714" w:hanging="357"/>
        <w:jc w:val="both"/>
        <w:rPr>
          <w:rFonts w:ascii="Times New Roman" w:hAnsi="Times New Roman" w:cs="Times New Roman"/>
          <w:sz w:val="24"/>
          <w:szCs w:val="24"/>
          <w:lang w:eastAsia="pt-BR"/>
        </w:rPr>
      </w:pPr>
      <w:r w:rsidRPr="00125297">
        <w:rPr>
          <w:rFonts w:ascii="Times New Roman" w:hAnsi="Times New Roman" w:cs="Times New Roman"/>
          <w:i/>
          <w:sz w:val="24"/>
          <w:szCs w:val="24"/>
          <w:lang w:eastAsia="pt-BR"/>
        </w:rPr>
        <w:t xml:space="preserve">Evidência(s): </w:t>
      </w:r>
      <w:r w:rsidRPr="004207DA">
        <w:rPr>
          <w:rFonts w:ascii="Times New Roman" w:hAnsi="Times New Roman" w:cs="Times New Roman"/>
          <w:sz w:val="24"/>
          <w:szCs w:val="24"/>
          <w:lang w:eastAsia="pt-BR"/>
        </w:rPr>
        <w:t>manifestação da STI em resposta ao Memorando Circular nº 16/2014/SCI.</w:t>
      </w:r>
    </w:p>
    <w:p w:rsidR="006848EF" w:rsidRPr="00083F74" w:rsidRDefault="006848EF" w:rsidP="00083F74">
      <w:pPr>
        <w:pStyle w:val="TextosemFormatao"/>
        <w:numPr>
          <w:ilvl w:val="1"/>
          <w:numId w:val="2"/>
        </w:numPr>
        <w:spacing w:before="240" w:after="120"/>
        <w:jc w:val="both"/>
        <w:rPr>
          <w:rFonts w:ascii="Times New Roman" w:hAnsi="Times New Roman"/>
          <w:i/>
          <w:sz w:val="24"/>
          <w:szCs w:val="24"/>
        </w:rPr>
      </w:pPr>
      <w:r>
        <w:rPr>
          <w:rFonts w:ascii="Times New Roman" w:hAnsi="Times New Roman"/>
          <w:i/>
          <w:sz w:val="24"/>
          <w:szCs w:val="24"/>
        </w:rPr>
        <w:t>Inexistência</w:t>
      </w:r>
      <w:r w:rsidRPr="00083F74">
        <w:rPr>
          <w:rFonts w:ascii="Times New Roman" w:hAnsi="Times New Roman"/>
          <w:i/>
          <w:sz w:val="24"/>
          <w:szCs w:val="24"/>
        </w:rPr>
        <w:t xml:space="preserve"> de Plano de Capacitação de Pessoal específico para gestão de TI: </w:t>
      </w:r>
    </w:p>
    <w:p w:rsidR="006848EF"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Situação encontrada: </w:t>
      </w:r>
      <w:r>
        <w:rPr>
          <w:rFonts w:ascii="Times New Roman" w:hAnsi="Times New Roman" w:cs="Times New Roman"/>
          <w:sz w:val="24"/>
          <w:szCs w:val="24"/>
          <w:lang w:eastAsia="pt-BR"/>
        </w:rPr>
        <w:t>inexistência de Plano de Capacitação de Pessoal específico para a área de TI institucional. Tramitação de expediente administrativo protocolizado sob nº 13.699/2013</w:t>
      </w:r>
      <w:r>
        <w:rPr>
          <w:rFonts w:ascii="Times New Roman" w:hAnsi="Times New Roman" w:cs="Times New Roman"/>
          <w:i/>
          <w:sz w:val="24"/>
          <w:szCs w:val="24"/>
          <w:lang w:eastAsia="pt-BR"/>
        </w:rPr>
        <w:t xml:space="preserve"> </w:t>
      </w:r>
      <w:r>
        <w:rPr>
          <w:rFonts w:ascii="Times New Roman" w:hAnsi="Times New Roman" w:cs="Times New Roman"/>
          <w:sz w:val="24"/>
          <w:szCs w:val="24"/>
          <w:lang w:eastAsia="pt-BR"/>
        </w:rPr>
        <w:t>objetivando contratação de consultoria para auxiliar a STI na questão</w:t>
      </w:r>
      <w:r w:rsidRPr="006508E0">
        <w:rPr>
          <w:rFonts w:ascii="Times New Roman" w:hAnsi="Times New Roman" w:cs="Times New Roman"/>
          <w:sz w:val="24"/>
          <w:szCs w:val="24"/>
          <w:lang w:eastAsia="pt-BR"/>
        </w:rPr>
        <w:t xml:space="preserve">. </w:t>
      </w:r>
    </w:p>
    <w:p w:rsidR="006848EF"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Pr>
          <w:rFonts w:ascii="Times New Roman" w:hAnsi="Times New Roman" w:cs="Times New Roman"/>
          <w:i/>
          <w:sz w:val="24"/>
          <w:szCs w:val="24"/>
          <w:lang w:eastAsia="pt-BR"/>
        </w:rPr>
        <w:t>Critério(s):</w:t>
      </w:r>
      <w:r>
        <w:rPr>
          <w:rFonts w:ascii="Times New Roman" w:hAnsi="Times New Roman" w:cs="Times New Roman"/>
          <w:sz w:val="24"/>
          <w:szCs w:val="24"/>
          <w:lang w:eastAsia="pt-BR"/>
        </w:rPr>
        <w:t xml:space="preserve"> art. 3º e respectivo parágrafo único da Res. CNJ. Nº 90/2009 que determinam a elaboração e implantação de plano anual de capacitação voltado ao desenvolvimento de competências necessárias à operacionalização e gestão de serviços de TIC no âmbito do Poder Judiciário.</w:t>
      </w:r>
    </w:p>
    <w:p w:rsidR="006848EF"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Risco(s) e efeito(s): </w:t>
      </w:r>
      <w:r>
        <w:rPr>
          <w:rFonts w:ascii="Times New Roman" w:hAnsi="Times New Roman" w:cs="Times New Roman"/>
          <w:sz w:val="24"/>
          <w:szCs w:val="24"/>
          <w:lang w:eastAsia="pt-BR"/>
        </w:rPr>
        <w:t>a ausência de planejamento específico com vistas ao desenvolvimento de competências necessárias à operacionalização e gestão dos serviços de TI institucionais compromete a capacidade de pronto e pleno atendimento às demandas do Órgão, o aperfeiçoamento e/ou informatização de processos de trabalho e a implementação de boas práticas de gestão.</w:t>
      </w:r>
    </w:p>
    <w:p w:rsidR="006848EF" w:rsidRPr="00377210"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sidRPr="004E5518">
        <w:rPr>
          <w:rFonts w:ascii="Times New Roman" w:hAnsi="Times New Roman" w:cs="Times New Roman"/>
          <w:i/>
          <w:sz w:val="24"/>
          <w:szCs w:val="24"/>
          <w:lang w:eastAsia="pt-BR"/>
        </w:rPr>
        <w:t xml:space="preserve">Causa(s): </w:t>
      </w:r>
      <w:r w:rsidRPr="00377210">
        <w:rPr>
          <w:rFonts w:ascii="Times New Roman" w:hAnsi="Times New Roman" w:cs="Times New Roman"/>
          <w:sz w:val="24"/>
          <w:szCs w:val="24"/>
          <w:lang w:eastAsia="pt-BR"/>
        </w:rPr>
        <w:t>não conclusão do expediente nº 13.699/2013 com vistas à contratação de consultoria especializada</w:t>
      </w:r>
      <w:r w:rsidRPr="00377210">
        <w:rPr>
          <w:rFonts w:ascii="Times New Roman" w:hAnsi="Times New Roman" w:cs="Times New Roman"/>
          <w:i/>
          <w:sz w:val="24"/>
          <w:szCs w:val="24"/>
          <w:lang w:eastAsia="pt-BR"/>
        </w:rPr>
        <w:t>.</w:t>
      </w:r>
    </w:p>
    <w:p w:rsidR="006848EF" w:rsidRPr="008E461A" w:rsidRDefault="006848EF" w:rsidP="008E461A">
      <w:pPr>
        <w:pStyle w:val="TextosemFormatao"/>
        <w:numPr>
          <w:ilvl w:val="0"/>
          <w:numId w:val="3"/>
        </w:numPr>
        <w:spacing w:after="120"/>
        <w:ind w:left="714" w:hanging="357"/>
        <w:jc w:val="both"/>
        <w:rPr>
          <w:rFonts w:ascii="Times New Roman" w:hAnsi="Times New Roman" w:cs="Times New Roman"/>
          <w:sz w:val="24"/>
          <w:szCs w:val="24"/>
          <w:lang w:eastAsia="pt-BR"/>
        </w:rPr>
      </w:pPr>
      <w:r w:rsidRPr="002F188C">
        <w:rPr>
          <w:rFonts w:ascii="Times New Roman" w:hAnsi="Times New Roman" w:cs="Times New Roman"/>
          <w:i/>
          <w:sz w:val="24"/>
          <w:szCs w:val="24"/>
          <w:lang w:eastAsia="pt-BR"/>
        </w:rPr>
        <w:t>Evidência(s):</w:t>
      </w:r>
      <w:r w:rsidRPr="002F188C">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 xml:space="preserve">manifestação da STI em resposta ao </w:t>
      </w:r>
      <w:r w:rsidRPr="00BF124B">
        <w:rPr>
          <w:rFonts w:ascii="Times New Roman" w:hAnsi="Times New Roman" w:cs="Times New Roman"/>
          <w:snapToGrid w:val="0"/>
          <w:spacing w:val="-6"/>
          <w:sz w:val="24"/>
          <w:szCs w:val="24"/>
          <w:lang w:eastAsia="pt-BR"/>
        </w:rPr>
        <w:t>Memorando Circular nº 16/2014/SCI</w:t>
      </w:r>
      <w:r>
        <w:rPr>
          <w:rFonts w:ascii="Times New Roman" w:hAnsi="Times New Roman" w:cs="Times New Roman"/>
          <w:snapToGrid w:val="0"/>
          <w:spacing w:val="-6"/>
          <w:sz w:val="24"/>
          <w:szCs w:val="24"/>
          <w:lang w:eastAsia="pt-BR"/>
        </w:rPr>
        <w:t>.</w:t>
      </w:r>
    </w:p>
    <w:p w:rsidR="006848EF" w:rsidRPr="00083F74" w:rsidRDefault="006848EF" w:rsidP="00083F74">
      <w:pPr>
        <w:pStyle w:val="TextosemFormatao"/>
        <w:numPr>
          <w:ilvl w:val="1"/>
          <w:numId w:val="2"/>
        </w:numPr>
        <w:spacing w:before="240" w:after="120"/>
        <w:jc w:val="both"/>
        <w:rPr>
          <w:rFonts w:ascii="Times New Roman" w:hAnsi="Times New Roman"/>
          <w:i/>
          <w:sz w:val="24"/>
          <w:szCs w:val="24"/>
        </w:rPr>
      </w:pPr>
      <w:r w:rsidRPr="00083F74">
        <w:rPr>
          <w:rFonts w:ascii="Times New Roman" w:hAnsi="Times New Roman"/>
          <w:i/>
          <w:sz w:val="24"/>
          <w:szCs w:val="24"/>
        </w:rPr>
        <w:t>Ausência de processo de trabalho formalizado ou de área específica de gestão de contratos de bens e serviços de TI:</w:t>
      </w:r>
    </w:p>
    <w:p w:rsidR="006848EF"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Situação encontrada: </w:t>
      </w:r>
      <w:r>
        <w:rPr>
          <w:rFonts w:ascii="Times New Roman" w:hAnsi="Times New Roman" w:cs="Times New Roman"/>
          <w:sz w:val="24"/>
          <w:szCs w:val="24"/>
          <w:lang w:eastAsia="pt-BR"/>
        </w:rPr>
        <w:t>inexistência de formalização de processo de trabalho ou de unidade administrativa com competência adstrita à gestão de contratos de bens e serviços de TI no âmbito do TRE-BA</w:t>
      </w:r>
      <w:r w:rsidRPr="006508E0">
        <w:rPr>
          <w:rFonts w:ascii="Times New Roman" w:hAnsi="Times New Roman" w:cs="Times New Roman"/>
          <w:sz w:val="24"/>
          <w:szCs w:val="24"/>
          <w:lang w:eastAsia="pt-BR"/>
        </w:rPr>
        <w:t xml:space="preserve">. </w:t>
      </w:r>
    </w:p>
    <w:p w:rsidR="006848EF" w:rsidRPr="00233DE6"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Pr>
          <w:rFonts w:ascii="Times New Roman" w:hAnsi="Times New Roman" w:cs="Times New Roman"/>
          <w:i/>
          <w:sz w:val="24"/>
          <w:szCs w:val="24"/>
          <w:lang w:eastAsia="pt-BR"/>
        </w:rPr>
        <w:t xml:space="preserve">Critério(s): </w:t>
      </w:r>
      <w:r w:rsidRPr="00233DE6">
        <w:rPr>
          <w:rFonts w:ascii="Times New Roman" w:hAnsi="Times New Roman" w:cs="Times New Roman"/>
          <w:sz w:val="24"/>
          <w:szCs w:val="24"/>
          <w:lang w:eastAsia="pt-BR"/>
        </w:rPr>
        <w:t xml:space="preserve">disposições constantes dos Acórdãos TCU-Plenário nºs 1.603/2008 e 2.308/2010, que evidenciam a necessidade de formalização de processo de </w:t>
      </w:r>
      <w:r w:rsidRPr="00233DE6">
        <w:rPr>
          <w:rFonts w:ascii="Times New Roman" w:hAnsi="Times New Roman" w:cs="Times New Roman"/>
          <w:sz w:val="24"/>
          <w:szCs w:val="24"/>
          <w:lang w:eastAsia="pt-BR"/>
        </w:rPr>
        <w:lastRenderedPageBreak/>
        <w:t>trabalho ou de área específica de gestão de contratos de bens e serviços de TI no âmbito da Administração Pública Federal.</w:t>
      </w:r>
    </w:p>
    <w:p w:rsidR="006848EF"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Risco(s) e efeito(s): </w:t>
      </w:r>
      <w:r>
        <w:rPr>
          <w:rFonts w:ascii="Times New Roman" w:hAnsi="Times New Roman" w:cs="Times New Roman"/>
          <w:sz w:val="24"/>
          <w:szCs w:val="24"/>
          <w:lang w:eastAsia="pt-BR"/>
        </w:rPr>
        <w:t>a indefinição formal de processo de trabalho ou de área administrativa voltada à gestão de contratos de bens e serviços de TI impossibilita a uniformização e, consequentemente, a disseminação de procedimentos padronizados relacionados às contratações de TI, inclusive no que concerne à observância de dispositivos legais e normativos específicos, de modo a minorar a ocorrência de dúvidas e falhas nas aquisições decorrentes, evitando, assim, a realização de contratações desnecessárias, de baixa qualidade ou desalinhadas aos objetivos organizacionais.</w:t>
      </w:r>
    </w:p>
    <w:p w:rsidR="006848EF" w:rsidRDefault="006848EF"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DC37FA">
        <w:rPr>
          <w:rFonts w:ascii="Times New Roman" w:hAnsi="Times New Roman" w:cs="Times New Roman"/>
          <w:i/>
          <w:sz w:val="24"/>
          <w:szCs w:val="24"/>
          <w:lang w:eastAsia="pt-BR"/>
        </w:rPr>
        <w:t xml:space="preserve">Causa(s): </w:t>
      </w:r>
      <w:r w:rsidRPr="00DC37FA">
        <w:rPr>
          <w:rFonts w:ascii="Times New Roman" w:hAnsi="Times New Roman" w:cs="Times New Roman"/>
          <w:sz w:val="24"/>
          <w:szCs w:val="24"/>
          <w:lang w:eastAsia="pt-BR"/>
        </w:rPr>
        <w:t xml:space="preserve">inexistência </w:t>
      </w:r>
      <w:r>
        <w:rPr>
          <w:rFonts w:ascii="Times New Roman" w:hAnsi="Times New Roman" w:cs="Times New Roman"/>
          <w:sz w:val="24"/>
          <w:szCs w:val="24"/>
          <w:lang w:eastAsia="pt-BR"/>
        </w:rPr>
        <w:t>de mapeamento de processo</w:t>
      </w:r>
      <w:r w:rsidRPr="00DC37FA">
        <w:rPr>
          <w:rFonts w:ascii="Times New Roman" w:hAnsi="Times New Roman" w:cs="Times New Roman"/>
          <w:sz w:val="24"/>
          <w:szCs w:val="24"/>
          <w:lang w:eastAsia="pt-BR"/>
        </w:rPr>
        <w:t xml:space="preserve"> de aquisição de bens e serviços de TI, bem como de formalização </w:t>
      </w:r>
      <w:r>
        <w:rPr>
          <w:rFonts w:ascii="Times New Roman" w:hAnsi="Times New Roman" w:cs="Times New Roman"/>
          <w:sz w:val="24"/>
          <w:szCs w:val="24"/>
          <w:lang w:eastAsia="pt-BR"/>
        </w:rPr>
        <w:t>do correspondente processo de trabalho e, ainda, ausência de área com competências afetas à gestão de contratos de TI institucionais.</w:t>
      </w:r>
    </w:p>
    <w:p w:rsidR="006848EF" w:rsidRPr="00DC37FA" w:rsidRDefault="006848EF" w:rsidP="002F188C">
      <w:pPr>
        <w:pStyle w:val="TextosemFormatao"/>
        <w:numPr>
          <w:ilvl w:val="0"/>
          <w:numId w:val="3"/>
        </w:numPr>
        <w:spacing w:after="120"/>
        <w:ind w:left="714" w:hanging="357"/>
        <w:jc w:val="both"/>
        <w:rPr>
          <w:rFonts w:ascii="Times New Roman" w:hAnsi="Times New Roman" w:cs="Times New Roman"/>
          <w:sz w:val="24"/>
          <w:szCs w:val="24"/>
          <w:lang w:eastAsia="pt-BR"/>
        </w:rPr>
      </w:pPr>
      <w:r w:rsidRPr="00DC37FA">
        <w:rPr>
          <w:rFonts w:ascii="Times New Roman" w:hAnsi="Times New Roman" w:cs="Times New Roman"/>
          <w:i/>
          <w:sz w:val="24"/>
          <w:szCs w:val="24"/>
          <w:lang w:eastAsia="pt-BR"/>
        </w:rPr>
        <w:t xml:space="preserve">Evidência(s): </w:t>
      </w:r>
      <w:r>
        <w:rPr>
          <w:rFonts w:ascii="Times New Roman" w:hAnsi="Times New Roman" w:cs="Times New Roman"/>
          <w:sz w:val="24"/>
          <w:szCs w:val="24"/>
          <w:lang w:eastAsia="pt-BR"/>
        </w:rPr>
        <w:t xml:space="preserve">manifestação da STI em resposta à alínea “f”, da RDI nº 3/2014/SCI, e ao </w:t>
      </w:r>
      <w:r w:rsidRPr="00BF124B">
        <w:rPr>
          <w:rFonts w:ascii="Times New Roman" w:hAnsi="Times New Roman" w:cs="Times New Roman"/>
          <w:snapToGrid w:val="0"/>
          <w:spacing w:val="-6"/>
          <w:sz w:val="24"/>
          <w:szCs w:val="24"/>
          <w:lang w:eastAsia="pt-BR"/>
        </w:rPr>
        <w:t>Memorando Circular nº 16/2014/SCI</w:t>
      </w:r>
      <w:r w:rsidRPr="00DC37FA">
        <w:rPr>
          <w:rFonts w:ascii="Times New Roman" w:hAnsi="Times New Roman" w:cs="Times New Roman"/>
          <w:sz w:val="24"/>
          <w:szCs w:val="24"/>
          <w:lang w:eastAsia="pt-BR"/>
        </w:rPr>
        <w:t>.</w:t>
      </w:r>
    </w:p>
    <w:p w:rsidR="006848EF" w:rsidRPr="00083F74" w:rsidRDefault="006848EF" w:rsidP="00083F74">
      <w:pPr>
        <w:pStyle w:val="TextosemFormatao"/>
        <w:numPr>
          <w:ilvl w:val="1"/>
          <w:numId w:val="2"/>
        </w:numPr>
        <w:spacing w:before="240" w:after="120"/>
        <w:jc w:val="both"/>
        <w:rPr>
          <w:rFonts w:ascii="Times New Roman" w:hAnsi="Times New Roman"/>
          <w:i/>
          <w:sz w:val="24"/>
          <w:szCs w:val="24"/>
        </w:rPr>
      </w:pPr>
      <w:r w:rsidRPr="00083F74">
        <w:rPr>
          <w:rFonts w:ascii="Times New Roman" w:hAnsi="Times New Roman"/>
          <w:i/>
          <w:sz w:val="24"/>
          <w:szCs w:val="24"/>
        </w:rPr>
        <w:t>Ausência de gerência e mitigação de riscos:</w:t>
      </w:r>
    </w:p>
    <w:p w:rsidR="006848EF"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Situação encontrada: </w:t>
      </w:r>
      <w:r>
        <w:rPr>
          <w:rFonts w:ascii="Times New Roman" w:hAnsi="Times New Roman" w:cs="Times New Roman"/>
          <w:sz w:val="24"/>
          <w:szCs w:val="24"/>
          <w:lang w:eastAsia="pt-BR"/>
        </w:rPr>
        <w:t>ausência de mecanismos ou de política formal de gerenciamento de riscos associados às atividades críticas do TRE-BA. Condicionamento de sua definição à capacitação prévia dos servidores envolvidos com a atividade.</w:t>
      </w:r>
    </w:p>
    <w:p w:rsidR="006848EF"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Pr>
          <w:rFonts w:ascii="Times New Roman" w:hAnsi="Times New Roman" w:cs="Times New Roman"/>
          <w:i/>
          <w:sz w:val="24"/>
          <w:szCs w:val="24"/>
          <w:lang w:eastAsia="pt-BR"/>
        </w:rPr>
        <w:t>Critério(s):</w:t>
      </w:r>
      <w:r>
        <w:rPr>
          <w:rFonts w:ascii="Times New Roman" w:hAnsi="Times New Roman" w:cs="Times New Roman"/>
          <w:sz w:val="24"/>
          <w:szCs w:val="24"/>
          <w:lang w:eastAsia="pt-BR"/>
        </w:rPr>
        <w:t xml:space="preserve"> arts</w:t>
      </w:r>
      <w:r w:rsidRPr="00206759">
        <w:rPr>
          <w:rFonts w:ascii="Times New Roman" w:hAnsi="Times New Roman" w:cs="Times New Roman"/>
          <w:sz w:val="24"/>
          <w:szCs w:val="24"/>
          <w:lang w:eastAsia="pt-BR"/>
        </w:rPr>
        <w:t xml:space="preserve">. 19 </w:t>
      </w:r>
      <w:r>
        <w:rPr>
          <w:rFonts w:ascii="Times New Roman" w:hAnsi="Times New Roman" w:cs="Times New Roman"/>
          <w:sz w:val="24"/>
          <w:szCs w:val="24"/>
          <w:lang w:eastAsia="pt-BR"/>
        </w:rPr>
        <w:t>e 20 da</w:t>
      </w:r>
      <w:r w:rsidRPr="00206759">
        <w:rPr>
          <w:rFonts w:ascii="Times New Roman" w:hAnsi="Times New Roman" w:cs="Times New Roman"/>
          <w:sz w:val="24"/>
          <w:szCs w:val="24"/>
          <w:lang w:eastAsia="pt-BR"/>
        </w:rPr>
        <w:t xml:space="preserve"> Res. Adm. TSE nº 22.780/2008, que</w:t>
      </w:r>
      <w:r>
        <w:rPr>
          <w:rFonts w:ascii="Times New Roman" w:hAnsi="Times New Roman" w:cs="Times New Roman"/>
          <w:sz w:val="24"/>
          <w:szCs w:val="24"/>
          <w:lang w:eastAsia="pt-BR"/>
        </w:rPr>
        <w:t xml:space="preserve"> determinam, respectivamente, a obrigatoriedade de implementação de processo de gerenciamento de riscos com vistas à identificação e mitigação de eventos impeditivos associados às atividades críticas da Justiça Eleitoral, e a elaboração de planos de continuidade de negócio para cada atividade essencial identificada.</w:t>
      </w:r>
    </w:p>
    <w:p w:rsidR="006848EF" w:rsidRPr="00206759" w:rsidRDefault="006848EF" w:rsidP="00556134">
      <w:pPr>
        <w:pStyle w:val="TextosemFormatao"/>
        <w:numPr>
          <w:ilvl w:val="0"/>
          <w:numId w:val="6"/>
        </w:numPr>
        <w:spacing w:after="120"/>
        <w:ind w:left="709"/>
        <w:jc w:val="both"/>
        <w:rPr>
          <w:rFonts w:ascii="Times New Roman" w:hAnsi="Times New Roman" w:cs="Times New Roman"/>
          <w:i/>
          <w:sz w:val="24"/>
          <w:szCs w:val="24"/>
          <w:lang w:eastAsia="pt-BR"/>
        </w:rPr>
      </w:pPr>
      <w:r w:rsidRPr="006508E0">
        <w:rPr>
          <w:rFonts w:ascii="Times New Roman" w:hAnsi="Times New Roman" w:cs="Times New Roman"/>
          <w:i/>
          <w:sz w:val="24"/>
          <w:szCs w:val="24"/>
          <w:lang w:eastAsia="pt-BR"/>
        </w:rPr>
        <w:t xml:space="preserve">Risco(s) e efeito(s): </w:t>
      </w:r>
      <w:r w:rsidRPr="006508E0">
        <w:rPr>
          <w:rFonts w:ascii="Times New Roman" w:hAnsi="Times New Roman" w:cs="Times New Roman"/>
          <w:sz w:val="24"/>
          <w:szCs w:val="24"/>
          <w:lang w:eastAsia="pt-BR"/>
        </w:rPr>
        <w:t xml:space="preserve">a ausência de </w:t>
      </w:r>
      <w:r>
        <w:rPr>
          <w:rFonts w:ascii="Times New Roman" w:hAnsi="Times New Roman" w:cs="Times New Roman"/>
          <w:sz w:val="24"/>
          <w:szCs w:val="24"/>
          <w:lang w:eastAsia="pt-BR"/>
        </w:rPr>
        <w:t>definição formal de mecanismos de controle ou de política de identificação e gerenciamento de riscos à concretização de atividades críticas deste Regional, passando, inclusive, pela elaboração de planos de continuidade de negócio, poderá impactar na garantia do fluxo de informações necessárias em momento de crise, dificultando o retorno seguro à situação de normalidade do Órgão.</w:t>
      </w:r>
    </w:p>
    <w:p w:rsidR="006848EF" w:rsidRPr="006508E0" w:rsidRDefault="006848EF" w:rsidP="00556134">
      <w:pPr>
        <w:pStyle w:val="TextosemFormatao"/>
        <w:numPr>
          <w:ilvl w:val="0"/>
          <w:numId w:val="6"/>
        </w:numPr>
        <w:spacing w:after="120"/>
        <w:ind w:left="709"/>
        <w:jc w:val="both"/>
        <w:rPr>
          <w:rFonts w:ascii="Times New Roman" w:hAnsi="Times New Roman" w:cs="Times New Roman"/>
          <w:sz w:val="24"/>
          <w:szCs w:val="24"/>
          <w:lang w:eastAsia="pt-BR"/>
        </w:rPr>
      </w:pPr>
      <w:r w:rsidRPr="006508E0">
        <w:rPr>
          <w:rFonts w:ascii="Times New Roman" w:hAnsi="Times New Roman" w:cs="Times New Roman"/>
          <w:i/>
          <w:sz w:val="24"/>
          <w:szCs w:val="24"/>
          <w:lang w:eastAsia="pt-BR"/>
        </w:rPr>
        <w:t xml:space="preserve">Causa(s): </w:t>
      </w:r>
      <w:r>
        <w:rPr>
          <w:rFonts w:ascii="Times New Roman" w:hAnsi="Times New Roman" w:cs="Times New Roman"/>
          <w:sz w:val="24"/>
          <w:szCs w:val="24"/>
          <w:lang w:eastAsia="pt-BR"/>
        </w:rPr>
        <w:t>ausência de capacitação dos servidores envolvidos com a atividade</w:t>
      </w:r>
      <w:r w:rsidRPr="006508E0">
        <w:rPr>
          <w:rFonts w:ascii="Times New Roman" w:hAnsi="Times New Roman" w:cs="Times New Roman"/>
          <w:sz w:val="24"/>
          <w:szCs w:val="24"/>
          <w:lang w:eastAsia="pt-BR"/>
        </w:rPr>
        <w:t xml:space="preserve">. </w:t>
      </w:r>
    </w:p>
    <w:p w:rsidR="006848EF" w:rsidRDefault="006848EF" w:rsidP="00212054">
      <w:pPr>
        <w:pStyle w:val="TextosemFormatao"/>
        <w:numPr>
          <w:ilvl w:val="0"/>
          <w:numId w:val="3"/>
        </w:numPr>
        <w:spacing w:after="120"/>
        <w:ind w:left="714" w:hanging="357"/>
        <w:jc w:val="both"/>
        <w:rPr>
          <w:rFonts w:ascii="Times New Roman" w:hAnsi="Times New Roman" w:cs="Times New Roman"/>
          <w:sz w:val="24"/>
          <w:szCs w:val="24"/>
          <w:lang w:eastAsia="pt-BR"/>
        </w:rPr>
      </w:pPr>
      <w:r w:rsidRPr="00212054">
        <w:rPr>
          <w:rFonts w:ascii="Times New Roman" w:hAnsi="Times New Roman" w:cs="Times New Roman"/>
          <w:i/>
          <w:sz w:val="24"/>
          <w:szCs w:val="24"/>
          <w:lang w:eastAsia="pt-BR"/>
        </w:rPr>
        <w:t xml:space="preserve">Evidência(s): </w:t>
      </w:r>
      <w:bookmarkStart w:id="8" w:name="_Toc396311635"/>
      <w:r>
        <w:rPr>
          <w:rFonts w:ascii="Times New Roman" w:hAnsi="Times New Roman" w:cs="Times New Roman"/>
          <w:sz w:val="24"/>
          <w:szCs w:val="24"/>
          <w:lang w:eastAsia="pt-BR"/>
        </w:rPr>
        <w:t>manifestação da STI e CSI em resposta à alínea “e” da, RDI nº 3/2014/SCI, e ao Memorando Circular nº 16/2014/SCI</w:t>
      </w:r>
      <w:r w:rsidRPr="00DC37FA">
        <w:rPr>
          <w:rFonts w:ascii="Times New Roman" w:hAnsi="Times New Roman" w:cs="Times New Roman"/>
          <w:sz w:val="24"/>
          <w:szCs w:val="24"/>
          <w:lang w:eastAsia="pt-BR"/>
        </w:rPr>
        <w:t>.</w:t>
      </w:r>
    </w:p>
    <w:p w:rsidR="006848EF" w:rsidRPr="007921B5" w:rsidRDefault="006848EF" w:rsidP="00212054">
      <w:pPr>
        <w:pStyle w:val="TextosemFormatao"/>
        <w:numPr>
          <w:ilvl w:val="0"/>
          <w:numId w:val="3"/>
        </w:numPr>
        <w:spacing w:after="120"/>
        <w:ind w:left="714" w:hanging="357"/>
        <w:jc w:val="both"/>
        <w:rPr>
          <w:rFonts w:ascii="Times New Roman" w:hAnsi="Times New Roman" w:cs="Times New Roman"/>
          <w:sz w:val="24"/>
          <w:szCs w:val="24"/>
          <w:lang w:eastAsia="pt-BR"/>
        </w:rPr>
      </w:pPr>
      <w:r>
        <w:rPr>
          <w:rFonts w:ascii="Times New Roman" w:hAnsi="Times New Roman" w:cs="Times New Roman"/>
          <w:i/>
          <w:sz w:val="24"/>
          <w:szCs w:val="24"/>
          <w:lang w:eastAsia="pt-BR"/>
        </w:rPr>
        <w:t xml:space="preserve">Analise da(s) manifestação(ões) do(s) gestor(es): </w:t>
      </w:r>
      <w:r>
        <w:rPr>
          <w:rFonts w:ascii="Times New Roman" w:hAnsi="Times New Roman" w:cs="Times New Roman"/>
          <w:sz w:val="24"/>
          <w:szCs w:val="24"/>
          <w:lang w:eastAsia="pt-BR"/>
        </w:rPr>
        <w:t>o estabelecimento de meta alusiva à definição de processo de gerenciamento de riscos relativos às atividades críticas institucionais e a previsão, na proposta orçamentária de 2015, de verbas destinadas à contratação de consultoria especializada, não asseguram a efetiva elaboração e implementação da política requerida e não elidem, ainda, o achado ora evidenciado.</w:t>
      </w:r>
    </w:p>
    <w:p w:rsidR="006848EF" w:rsidRPr="007F0734" w:rsidRDefault="006848EF" w:rsidP="00165AD6">
      <w:pPr>
        <w:pStyle w:val="PargrafodaLista"/>
        <w:spacing w:before="480" w:after="240"/>
        <w:ind w:left="357" w:hanging="357"/>
        <w:contextualSpacing w:val="0"/>
        <w:rPr>
          <w:sz w:val="24"/>
          <w:szCs w:val="24"/>
        </w:rPr>
      </w:pPr>
      <w:bookmarkStart w:id="9" w:name="_Toc396482383"/>
      <w:bookmarkEnd w:id="8"/>
      <w:r w:rsidRPr="007F0734">
        <w:rPr>
          <w:sz w:val="24"/>
          <w:szCs w:val="24"/>
        </w:rPr>
        <w:lastRenderedPageBreak/>
        <w:t>CONCLUSÕES</w:t>
      </w:r>
      <w:bookmarkEnd w:id="9"/>
    </w:p>
    <w:p w:rsidR="006848EF" w:rsidRDefault="006848EF" w:rsidP="008C72E3">
      <w:pPr>
        <w:spacing w:before="120" w:after="120" w:line="240" w:lineRule="auto"/>
        <w:jc w:val="both"/>
        <w:rPr>
          <w:rFonts w:ascii="Times New Roman" w:hAnsi="Times New Roman"/>
          <w:sz w:val="24"/>
          <w:szCs w:val="24"/>
        </w:rPr>
      </w:pPr>
      <w:r w:rsidRPr="007F0734">
        <w:rPr>
          <w:rFonts w:ascii="Times New Roman" w:hAnsi="Times New Roman"/>
          <w:sz w:val="24"/>
          <w:szCs w:val="24"/>
        </w:rPr>
        <w:t xml:space="preserve">O incremento da complexidade dos processos e atividades afetos à TI, no âmbito das organizações públicas, ao longo dos últimos anos, tem revelado sua dimensão estratégica no que tange ao suporte à concretização de objetivos e metas institucionais. Nesse sentido, </w:t>
      </w:r>
      <w:r>
        <w:rPr>
          <w:rFonts w:ascii="Times New Roman" w:hAnsi="Times New Roman"/>
          <w:sz w:val="24"/>
          <w:szCs w:val="24"/>
        </w:rPr>
        <w:t>o aperfeiçoamento de políticas, normas, métodos e procedimentos relacionados à área e destinados a assegurar à Alta Gestão nível aceitável de risco, eficiente utilização de recursos, apoio aos processos organizacionais e alinhamento à Estratégia institucional, apresenta-se como condição essencial à caracterização da boa governança de TI e, consequentemente, corporativa.</w:t>
      </w:r>
    </w:p>
    <w:p w:rsidR="006848EF" w:rsidRDefault="006848EF" w:rsidP="008C72E3">
      <w:pPr>
        <w:spacing w:before="120" w:after="120" w:line="240" w:lineRule="auto"/>
        <w:jc w:val="both"/>
        <w:rPr>
          <w:rFonts w:ascii="Times New Roman" w:hAnsi="Times New Roman"/>
          <w:sz w:val="24"/>
          <w:szCs w:val="24"/>
        </w:rPr>
      </w:pPr>
      <w:r>
        <w:rPr>
          <w:rFonts w:ascii="Times New Roman" w:hAnsi="Times New Roman"/>
          <w:sz w:val="24"/>
          <w:szCs w:val="24"/>
        </w:rPr>
        <w:t xml:space="preserve">Assim, a avaliação do grau de aderência da gestão de TI do TRE-BA às prescrições e parâmetros estabelecidos em normativos emanados do TCU e do CNJ reveste-se de grande importância em face da compreensão já solidificada acerca do relevante papel da TI no processo de agregação de valor aos negócios organizacionais, bem como do necessário nivelamento dos órgãos integrantes da Administração Pública Federal, notadamente, do Poder Judiciário, no que concerne à implementação de estrutura de governança compatível com as funções desempenhadas pelo Órgão no atendimento aos anseios da sociedade. </w:t>
      </w:r>
    </w:p>
    <w:p w:rsidR="006848EF" w:rsidRPr="00A56B4C" w:rsidRDefault="006848EF" w:rsidP="007F49BB">
      <w:pPr>
        <w:spacing w:before="120" w:after="120" w:line="240" w:lineRule="auto"/>
        <w:jc w:val="both"/>
        <w:rPr>
          <w:rFonts w:ascii="Times New Roman" w:hAnsi="Times New Roman"/>
          <w:sz w:val="24"/>
          <w:szCs w:val="24"/>
        </w:rPr>
      </w:pPr>
      <w:r w:rsidRPr="00A56B4C">
        <w:rPr>
          <w:rFonts w:ascii="Times New Roman" w:hAnsi="Times New Roman"/>
          <w:sz w:val="24"/>
          <w:szCs w:val="24"/>
        </w:rPr>
        <w:t xml:space="preserve">Desse modo, analisadas as fontes de informação selecionadas e interpretados os resultados dos testes aplicados ao longo do presente procedimento de auditoria, concluiu-se que a gestão de TI deste Regional, apesar de registrar a implementação de significativas melhorias, a exemplo da instituição de planejamento estratégico específico e da adoção de procedimentos para salvaguarda das informações, restou classificada com conceito insuficiente, visto que requer, ainda, aprimoramento, notadamente no que concerne </w:t>
      </w:r>
      <w:r>
        <w:rPr>
          <w:rFonts w:ascii="Times New Roman" w:hAnsi="Times New Roman"/>
          <w:sz w:val="24"/>
          <w:szCs w:val="24"/>
        </w:rPr>
        <w:t>aos seguintes aspectos objeto de questões de auditoria: ampliação do quadro de pessoal privativo de TI assegurando atendimento aos parâmetros mínimos estabelecidos pelo CNJ; elaboração e implementação de plano de</w:t>
      </w:r>
      <w:r w:rsidRPr="00A56B4C">
        <w:rPr>
          <w:rFonts w:ascii="Times New Roman" w:hAnsi="Times New Roman"/>
          <w:sz w:val="24"/>
          <w:szCs w:val="24"/>
        </w:rPr>
        <w:t xml:space="preserve"> capacitação </w:t>
      </w:r>
      <w:r>
        <w:rPr>
          <w:rFonts w:ascii="Times New Roman" w:hAnsi="Times New Roman"/>
          <w:sz w:val="24"/>
          <w:szCs w:val="24"/>
        </w:rPr>
        <w:t>específico da área de TI;</w:t>
      </w:r>
      <w:r w:rsidRPr="00A56B4C">
        <w:rPr>
          <w:rFonts w:ascii="Times New Roman" w:hAnsi="Times New Roman"/>
          <w:sz w:val="24"/>
          <w:szCs w:val="24"/>
        </w:rPr>
        <w:t xml:space="preserve"> </w:t>
      </w:r>
      <w:r>
        <w:rPr>
          <w:rFonts w:ascii="Times New Roman" w:hAnsi="Times New Roman"/>
          <w:sz w:val="24"/>
          <w:szCs w:val="24"/>
        </w:rPr>
        <w:t xml:space="preserve">elaboração e implementação de indicadores para monitoramento do PETI; elaboração de PDTI; implementação de política de </w:t>
      </w:r>
      <w:r w:rsidRPr="00A56B4C">
        <w:rPr>
          <w:rFonts w:ascii="Times New Roman" w:hAnsi="Times New Roman"/>
          <w:sz w:val="24"/>
          <w:szCs w:val="24"/>
        </w:rPr>
        <w:t>gerenciamento e mitigação de riscos</w:t>
      </w:r>
      <w:r>
        <w:rPr>
          <w:rFonts w:ascii="Times New Roman" w:hAnsi="Times New Roman"/>
          <w:sz w:val="24"/>
          <w:szCs w:val="24"/>
        </w:rPr>
        <w:t>;</w:t>
      </w:r>
      <w:r w:rsidRPr="00A56B4C">
        <w:rPr>
          <w:rFonts w:ascii="Times New Roman" w:hAnsi="Times New Roman"/>
          <w:sz w:val="24"/>
          <w:szCs w:val="24"/>
        </w:rPr>
        <w:t xml:space="preserve"> e </w:t>
      </w:r>
      <w:r>
        <w:rPr>
          <w:rFonts w:ascii="Times New Roman" w:hAnsi="Times New Roman"/>
          <w:sz w:val="24"/>
          <w:szCs w:val="24"/>
        </w:rPr>
        <w:t xml:space="preserve">formalização de processo de trabalho referente à </w:t>
      </w:r>
      <w:r w:rsidRPr="00A56B4C">
        <w:rPr>
          <w:rFonts w:ascii="Times New Roman" w:hAnsi="Times New Roman"/>
          <w:sz w:val="24"/>
          <w:szCs w:val="24"/>
        </w:rPr>
        <w:t>contratação e gestão de bens e serviços de TI.</w:t>
      </w:r>
    </w:p>
    <w:p w:rsidR="006848EF" w:rsidRDefault="006848EF" w:rsidP="007F49BB">
      <w:pPr>
        <w:spacing w:before="120" w:after="120" w:line="240" w:lineRule="auto"/>
        <w:jc w:val="both"/>
        <w:rPr>
          <w:rFonts w:ascii="Times New Roman" w:hAnsi="Times New Roman"/>
          <w:sz w:val="24"/>
          <w:szCs w:val="24"/>
        </w:rPr>
      </w:pPr>
      <w:r>
        <w:rPr>
          <w:rFonts w:ascii="Times New Roman" w:hAnsi="Times New Roman"/>
          <w:sz w:val="24"/>
          <w:szCs w:val="24"/>
        </w:rPr>
        <w:t>Espera-se que as situações desconformes evidenciadas e respectivos encaminhamentos propostos no presente relatório sejam acolhidos pela Alta Gestão deste Regional na condição de insumo para melhor instrumentalização do processo decisório, revertendo-se, por consequência, em oportunidades de melhoria da estrutura de governança de TI, otimização dos resultados da gestão e agregação de valor aos produtos gerados para a sociedade.</w:t>
      </w:r>
    </w:p>
    <w:p w:rsidR="006848EF" w:rsidRDefault="006848EF" w:rsidP="008E31AA">
      <w:pPr>
        <w:pStyle w:val="PargrafodaLista"/>
        <w:spacing w:before="480" w:after="240"/>
        <w:ind w:left="357" w:hanging="357"/>
        <w:contextualSpacing w:val="0"/>
        <w:rPr>
          <w:sz w:val="24"/>
          <w:szCs w:val="24"/>
        </w:rPr>
      </w:pPr>
      <w:bookmarkStart w:id="10" w:name="_Toc396482385"/>
      <w:r>
        <w:rPr>
          <w:sz w:val="24"/>
          <w:szCs w:val="24"/>
        </w:rPr>
        <w:t>‘</w:t>
      </w:r>
      <w:r w:rsidRPr="00ED73CF">
        <w:rPr>
          <w:sz w:val="24"/>
          <w:szCs w:val="24"/>
        </w:rPr>
        <w:t>REFERÊNCIA</w:t>
      </w:r>
      <w:r>
        <w:rPr>
          <w:sz w:val="24"/>
          <w:szCs w:val="24"/>
        </w:rPr>
        <w:t>S</w:t>
      </w:r>
      <w:bookmarkEnd w:id="10"/>
      <w:r w:rsidRPr="00ED73CF">
        <w:rPr>
          <w:sz w:val="24"/>
          <w:szCs w:val="24"/>
        </w:rPr>
        <w:t xml:space="preserve"> </w:t>
      </w:r>
    </w:p>
    <w:p w:rsidR="006848EF" w:rsidRPr="00502CE3" w:rsidRDefault="006848EF" w:rsidP="00601E7D">
      <w:pPr>
        <w:pStyle w:val="TextosemFormatao"/>
        <w:rPr>
          <w:rFonts w:ascii="Times New Roman" w:hAnsi="Times New Roman" w:cs="Times New Roman"/>
          <w:sz w:val="24"/>
          <w:szCs w:val="24"/>
          <w:lang w:eastAsia="pt-BR"/>
        </w:rPr>
      </w:pPr>
    </w:p>
    <w:p w:rsidR="006848EF" w:rsidRPr="00E5749C" w:rsidRDefault="006848EF" w:rsidP="007067FA">
      <w:pPr>
        <w:spacing w:after="240" w:line="240" w:lineRule="auto"/>
        <w:jc w:val="both"/>
        <w:rPr>
          <w:rFonts w:ascii="Times New Roman" w:hAnsi="Times New Roman"/>
          <w:sz w:val="24"/>
          <w:szCs w:val="24"/>
        </w:rPr>
      </w:pPr>
      <w:r w:rsidRPr="00E5749C">
        <w:rPr>
          <w:rFonts w:ascii="Times New Roman" w:hAnsi="Times New Roman"/>
          <w:sz w:val="24"/>
          <w:szCs w:val="24"/>
        </w:rPr>
        <w:t>BRASIL. Conselho Nacional de Justiça.</w:t>
      </w:r>
      <w:r w:rsidRPr="00E5749C">
        <w:rPr>
          <w:rFonts w:ascii="Times New Roman" w:hAnsi="Times New Roman"/>
          <w:i/>
          <w:sz w:val="24"/>
          <w:szCs w:val="24"/>
        </w:rPr>
        <w:t xml:space="preserve"> Resolução CNJ nº </w:t>
      </w:r>
      <w:r>
        <w:rPr>
          <w:rFonts w:ascii="Times New Roman" w:hAnsi="Times New Roman"/>
          <w:i/>
          <w:sz w:val="24"/>
          <w:szCs w:val="24"/>
        </w:rPr>
        <w:t>90</w:t>
      </w:r>
      <w:r w:rsidRPr="00E5749C">
        <w:rPr>
          <w:rFonts w:ascii="Times New Roman" w:hAnsi="Times New Roman"/>
          <w:i/>
          <w:sz w:val="24"/>
          <w:szCs w:val="24"/>
        </w:rPr>
        <w:t xml:space="preserve">, de </w:t>
      </w:r>
      <w:r>
        <w:rPr>
          <w:rFonts w:ascii="Times New Roman" w:hAnsi="Times New Roman"/>
          <w:i/>
          <w:sz w:val="24"/>
          <w:szCs w:val="24"/>
        </w:rPr>
        <w:t>29</w:t>
      </w:r>
      <w:r w:rsidRPr="00E5749C">
        <w:rPr>
          <w:rFonts w:ascii="Times New Roman" w:hAnsi="Times New Roman"/>
          <w:i/>
          <w:sz w:val="24"/>
          <w:szCs w:val="24"/>
        </w:rPr>
        <w:t xml:space="preserve"> de setembro de 2009</w:t>
      </w:r>
      <w:r w:rsidRPr="00E5749C">
        <w:rPr>
          <w:rFonts w:ascii="Times New Roman" w:hAnsi="Times New Roman"/>
          <w:sz w:val="24"/>
          <w:szCs w:val="24"/>
        </w:rPr>
        <w:t xml:space="preserve">. </w:t>
      </w:r>
      <w:r w:rsidRPr="004F0673">
        <w:rPr>
          <w:rFonts w:ascii="Times New Roman" w:hAnsi="Times New Roman"/>
          <w:sz w:val="24"/>
          <w:szCs w:val="24"/>
        </w:rPr>
        <w:t>Dispõe sobre os requisitos de nivelamento de tecnologia da informação no âmbito do Poder Judiciário</w:t>
      </w:r>
      <w:r w:rsidRPr="00E5749C">
        <w:rPr>
          <w:rFonts w:ascii="Times New Roman" w:hAnsi="Times New Roman"/>
          <w:sz w:val="24"/>
          <w:szCs w:val="24"/>
        </w:rPr>
        <w:t xml:space="preserve">. Brasília. 2009. Disponível em </w:t>
      </w:r>
      <w:r w:rsidRPr="004F0673">
        <w:rPr>
          <w:rFonts w:ascii="Times New Roman" w:hAnsi="Times New Roman"/>
          <w:sz w:val="24"/>
          <w:szCs w:val="24"/>
        </w:rPr>
        <w:t>http://www.cnj.jus.br/atos-administrativos/atos-da-presidencia/323-resolucoes/12205-resolucao-no-90-de-29-de-setembro-de-2009</w:t>
      </w:r>
      <w:r w:rsidRPr="00E5749C">
        <w:rPr>
          <w:rFonts w:ascii="Times New Roman" w:hAnsi="Times New Roman"/>
          <w:sz w:val="24"/>
          <w:szCs w:val="24"/>
        </w:rPr>
        <w:t xml:space="preserve">. Acesso em </w:t>
      </w:r>
      <w:r>
        <w:rPr>
          <w:rFonts w:ascii="Times New Roman" w:hAnsi="Times New Roman"/>
          <w:sz w:val="24"/>
          <w:szCs w:val="24"/>
        </w:rPr>
        <w:t>18</w:t>
      </w:r>
      <w:r w:rsidRPr="00E5749C">
        <w:rPr>
          <w:rFonts w:ascii="Times New Roman" w:hAnsi="Times New Roman"/>
          <w:sz w:val="24"/>
          <w:szCs w:val="24"/>
        </w:rPr>
        <w:t xml:space="preserve"> de </w:t>
      </w:r>
      <w:r>
        <w:rPr>
          <w:rFonts w:ascii="Times New Roman" w:hAnsi="Times New Roman"/>
          <w:sz w:val="24"/>
          <w:szCs w:val="24"/>
        </w:rPr>
        <w:t>fevereiro</w:t>
      </w:r>
      <w:r w:rsidRPr="00E5749C">
        <w:rPr>
          <w:rFonts w:ascii="Times New Roman" w:hAnsi="Times New Roman"/>
          <w:sz w:val="24"/>
          <w:szCs w:val="24"/>
        </w:rPr>
        <w:t xml:space="preserve"> de 2014.</w:t>
      </w:r>
    </w:p>
    <w:p w:rsidR="006848EF" w:rsidRDefault="006848EF" w:rsidP="007067FA">
      <w:pPr>
        <w:spacing w:after="240" w:line="240" w:lineRule="auto"/>
        <w:jc w:val="both"/>
        <w:rPr>
          <w:rFonts w:ascii="Times New Roman" w:hAnsi="Times New Roman"/>
          <w:sz w:val="24"/>
          <w:szCs w:val="24"/>
        </w:rPr>
      </w:pPr>
      <w:r w:rsidRPr="00E5749C">
        <w:rPr>
          <w:rFonts w:ascii="Times New Roman" w:hAnsi="Times New Roman"/>
          <w:sz w:val="24"/>
          <w:szCs w:val="24"/>
        </w:rPr>
        <w:lastRenderedPageBreak/>
        <w:t xml:space="preserve">_______. ________________________. </w:t>
      </w:r>
      <w:r w:rsidRPr="00E5749C">
        <w:rPr>
          <w:rFonts w:ascii="Times New Roman" w:hAnsi="Times New Roman"/>
          <w:i/>
          <w:sz w:val="24"/>
          <w:szCs w:val="24"/>
        </w:rPr>
        <w:t xml:space="preserve">Resolução CNJ nº </w:t>
      </w:r>
      <w:r>
        <w:rPr>
          <w:rFonts w:ascii="Times New Roman" w:hAnsi="Times New Roman"/>
          <w:i/>
          <w:sz w:val="24"/>
          <w:szCs w:val="24"/>
        </w:rPr>
        <w:t>99</w:t>
      </w:r>
      <w:r w:rsidRPr="00E5749C">
        <w:rPr>
          <w:rFonts w:ascii="Times New Roman" w:hAnsi="Times New Roman"/>
          <w:i/>
          <w:sz w:val="24"/>
          <w:szCs w:val="24"/>
        </w:rPr>
        <w:t xml:space="preserve">, de </w:t>
      </w:r>
      <w:r>
        <w:rPr>
          <w:rFonts w:ascii="Times New Roman" w:hAnsi="Times New Roman"/>
          <w:i/>
          <w:sz w:val="24"/>
          <w:szCs w:val="24"/>
        </w:rPr>
        <w:t>24</w:t>
      </w:r>
      <w:r w:rsidRPr="00E5749C">
        <w:rPr>
          <w:rFonts w:ascii="Times New Roman" w:hAnsi="Times New Roman"/>
          <w:i/>
          <w:sz w:val="24"/>
          <w:szCs w:val="24"/>
        </w:rPr>
        <w:t xml:space="preserve"> de </w:t>
      </w:r>
      <w:r>
        <w:rPr>
          <w:rFonts w:ascii="Times New Roman" w:hAnsi="Times New Roman"/>
          <w:i/>
          <w:sz w:val="24"/>
          <w:szCs w:val="24"/>
        </w:rPr>
        <w:t>novembro</w:t>
      </w:r>
      <w:r w:rsidRPr="00E5749C">
        <w:rPr>
          <w:rFonts w:ascii="Times New Roman" w:hAnsi="Times New Roman"/>
          <w:i/>
          <w:sz w:val="24"/>
          <w:szCs w:val="24"/>
        </w:rPr>
        <w:t xml:space="preserve"> de 20</w:t>
      </w:r>
      <w:r>
        <w:rPr>
          <w:rFonts w:ascii="Times New Roman" w:hAnsi="Times New Roman"/>
          <w:i/>
          <w:sz w:val="24"/>
          <w:szCs w:val="24"/>
        </w:rPr>
        <w:t>09</w:t>
      </w:r>
      <w:r w:rsidRPr="00E5749C">
        <w:rPr>
          <w:rFonts w:ascii="Times New Roman" w:hAnsi="Times New Roman"/>
          <w:sz w:val="24"/>
          <w:szCs w:val="24"/>
        </w:rPr>
        <w:t xml:space="preserve">. </w:t>
      </w:r>
      <w:r w:rsidRPr="004F0673">
        <w:rPr>
          <w:rFonts w:ascii="Times New Roman" w:hAnsi="Times New Roman"/>
          <w:sz w:val="24"/>
          <w:szCs w:val="24"/>
        </w:rPr>
        <w:t>Institui o Planejamento Estratégico de Tecnologia da Informação e Comunicação no âmbito do Poder Judiciário. Brasília. 20</w:t>
      </w:r>
      <w:r>
        <w:rPr>
          <w:rFonts w:ascii="Times New Roman" w:hAnsi="Times New Roman"/>
          <w:sz w:val="24"/>
          <w:szCs w:val="24"/>
        </w:rPr>
        <w:t>09</w:t>
      </w:r>
      <w:r w:rsidRPr="004F0673">
        <w:rPr>
          <w:rFonts w:ascii="Times New Roman" w:hAnsi="Times New Roman"/>
          <w:sz w:val="24"/>
          <w:szCs w:val="24"/>
        </w:rPr>
        <w:t>.</w:t>
      </w:r>
      <w:r w:rsidRPr="00E5749C">
        <w:rPr>
          <w:rFonts w:ascii="Times New Roman" w:hAnsi="Times New Roman"/>
          <w:sz w:val="24"/>
          <w:szCs w:val="24"/>
        </w:rPr>
        <w:t xml:space="preserve"> Disponível em </w:t>
      </w:r>
      <w:r w:rsidRPr="004F0673">
        <w:rPr>
          <w:rFonts w:ascii="Times New Roman" w:hAnsi="Times New Roman"/>
          <w:sz w:val="24"/>
          <w:szCs w:val="24"/>
        </w:rPr>
        <w:t>http://www.cnj.jus.br/atos-administrativos/atos-da-presidencia/323-resolucoes/12217-resolucao-no-99-de-24-de-novembro-2009</w:t>
      </w:r>
      <w:r w:rsidRPr="00E5749C">
        <w:rPr>
          <w:rFonts w:ascii="Times New Roman" w:hAnsi="Times New Roman"/>
          <w:sz w:val="24"/>
          <w:szCs w:val="24"/>
        </w:rPr>
        <w:t xml:space="preserve">. Acesso em </w:t>
      </w:r>
      <w:r>
        <w:rPr>
          <w:rFonts w:ascii="Times New Roman" w:hAnsi="Times New Roman"/>
          <w:sz w:val="24"/>
          <w:szCs w:val="24"/>
        </w:rPr>
        <w:t>18 de fevereiro</w:t>
      </w:r>
      <w:r w:rsidRPr="00E5749C">
        <w:rPr>
          <w:rFonts w:ascii="Times New Roman" w:hAnsi="Times New Roman"/>
          <w:sz w:val="24"/>
          <w:szCs w:val="24"/>
        </w:rPr>
        <w:t xml:space="preserve"> de 2014.</w:t>
      </w:r>
    </w:p>
    <w:p w:rsidR="006848EF" w:rsidRPr="00CC1F58" w:rsidRDefault="006848EF" w:rsidP="007067FA">
      <w:pPr>
        <w:spacing w:after="240" w:line="240" w:lineRule="auto"/>
        <w:jc w:val="both"/>
        <w:rPr>
          <w:rFonts w:ascii="Times New Roman" w:hAnsi="Times New Roman"/>
          <w:sz w:val="24"/>
          <w:szCs w:val="24"/>
        </w:rPr>
      </w:pPr>
      <w:r w:rsidRPr="00CC1F58">
        <w:rPr>
          <w:rFonts w:ascii="Times New Roman" w:hAnsi="Times New Roman"/>
          <w:sz w:val="24"/>
          <w:szCs w:val="24"/>
        </w:rPr>
        <w:t xml:space="preserve">BRASIL. Presidência da República. Decreto nº 5.378, de 23 de fevereiro de 2005. Institui o Programa Nacional de Gestão Pública e Desburocratização - GESPÚBLICA e o Comitê Gestor do Programa Nacional de Gestão Pública e Desburocratização, e dá outras providências. Brasília. 2005. Disponível em http://www.planalto.gov.br/ccivil_03/_ato2004-2006/2005/Decreto/D5378.htm. Acesso em 18 de fevereiro de 2014. </w:t>
      </w:r>
    </w:p>
    <w:p w:rsidR="006848EF" w:rsidRDefault="006848EF" w:rsidP="007067FA">
      <w:pPr>
        <w:spacing w:after="240" w:line="240" w:lineRule="auto"/>
        <w:jc w:val="both"/>
        <w:rPr>
          <w:rFonts w:ascii="Times New Roman" w:hAnsi="Times New Roman"/>
          <w:sz w:val="24"/>
          <w:szCs w:val="24"/>
        </w:rPr>
      </w:pPr>
      <w:r w:rsidRPr="00E5749C">
        <w:rPr>
          <w:rFonts w:ascii="Times New Roman" w:hAnsi="Times New Roman"/>
          <w:sz w:val="24"/>
          <w:szCs w:val="24"/>
        </w:rPr>
        <w:t>BRASIL. Tribunal de Contas da União.</w:t>
      </w:r>
      <w:r w:rsidRPr="00DA17B8">
        <w:rPr>
          <w:rFonts w:ascii="Times New Roman" w:hAnsi="Times New Roman"/>
          <w:i/>
          <w:sz w:val="24"/>
          <w:szCs w:val="24"/>
        </w:rPr>
        <w:t xml:space="preserve"> </w:t>
      </w:r>
      <w:r w:rsidRPr="00E5749C">
        <w:rPr>
          <w:rFonts w:ascii="Times New Roman" w:hAnsi="Times New Roman"/>
          <w:i/>
          <w:sz w:val="24"/>
          <w:szCs w:val="24"/>
        </w:rPr>
        <w:t>Acórdão</w:t>
      </w:r>
      <w:r>
        <w:rPr>
          <w:rFonts w:ascii="Times New Roman" w:hAnsi="Times New Roman"/>
          <w:i/>
          <w:sz w:val="24"/>
          <w:szCs w:val="24"/>
        </w:rPr>
        <w:t xml:space="preserve"> - Plenário</w:t>
      </w:r>
      <w:r w:rsidRPr="00E5749C">
        <w:rPr>
          <w:rFonts w:ascii="Times New Roman" w:hAnsi="Times New Roman"/>
          <w:i/>
          <w:sz w:val="24"/>
          <w:szCs w:val="24"/>
        </w:rPr>
        <w:t xml:space="preserve"> nº </w:t>
      </w:r>
      <w:r>
        <w:rPr>
          <w:rFonts w:ascii="Times New Roman" w:hAnsi="Times New Roman"/>
          <w:i/>
          <w:sz w:val="24"/>
          <w:szCs w:val="24"/>
        </w:rPr>
        <w:t>1.603, de 13 de agosto de 2008.</w:t>
      </w:r>
      <w:r>
        <w:rPr>
          <w:rFonts w:ascii="Times New Roman" w:hAnsi="Times New Roman"/>
          <w:sz w:val="24"/>
          <w:szCs w:val="24"/>
        </w:rPr>
        <w:t xml:space="preserve"> E</w:t>
      </w:r>
      <w:r w:rsidRPr="00F66256">
        <w:rPr>
          <w:rFonts w:ascii="Times New Roman" w:hAnsi="Times New Roman"/>
          <w:sz w:val="24"/>
          <w:szCs w:val="24"/>
        </w:rPr>
        <w:t>stabelece parâmetros afetos à governança de TI no âmbito da Administração Pública Federal</w:t>
      </w:r>
      <w:r>
        <w:rPr>
          <w:rFonts w:ascii="Times New Roman" w:hAnsi="Times New Roman"/>
          <w:sz w:val="24"/>
          <w:szCs w:val="24"/>
        </w:rPr>
        <w:t xml:space="preserve"> – Diagnóstico 2007.</w:t>
      </w:r>
      <w:r w:rsidRPr="00E5749C">
        <w:rPr>
          <w:rFonts w:ascii="Times New Roman" w:hAnsi="Times New Roman"/>
          <w:sz w:val="24"/>
          <w:szCs w:val="24"/>
        </w:rPr>
        <w:t xml:space="preserve"> Relator: </w:t>
      </w:r>
      <w:r>
        <w:rPr>
          <w:rFonts w:ascii="Times New Roman" w:hAnsi="Times New Roman"/>
          <w:sz w:val="24"/>
          <w:szCs w:val="24"/>
        </w:rPr>
        <w:t>Guilherme Palmeira</w:t>
      </w:r>
      <w:r w:rsidRPr="00E5749C">
        <w:rPr>
          <w:rFonts w:ascii="Times New Roman" w:hAnsi="Times New Roman"/>
          <w:sz w:val="24"/>
          <w:szCs w:val="24"/>
        </w:rPr>
        <w:t>. Brasília</w:t>
      </w:r>
      <w:r>
        <w:rPr>
          <w:rFonts w:ascii="Times New Roman" w:hAnsi="Times New Roman"/>
          <w:sz w:val="24"/>
          <w:szCs w:val="24"/>
        </w:rPr>
        <w:t>. 2008</w:t>
      </w:r>
      <w:r w:rsidRPr="00E5749C">
        <w:rPr>
          <w:rFonts w:ascii="Times New Roman" w:hAnsi="Times New Roman"/>
          <w:sz w:val="24"/>
          <w:szCs w:val="24"/>
        </w:rPr>
        <w:t xml:space="preserve">. Disponível em </w:t>
      </w:r>
      <w:r w:rsidRPr="00F66256">
        <w:rPr>
          <w:rFonts w:ascii="Times New Roman" w:hAnsi="Times New Roman"/>
          <w:sz w:val="24"/>
          <w:szCs w:val="24"/>
        </w:rPr>
        <w:t>portal2.tcu.gov.br/portal/page/portal/TCU/comunidades/governanca_ti/normas_e_referencias</w:t>
      </w:r>
      <w:r w:rsidRPr="00E5749C">
        <w:rPr>
          <w:rFonts w:ascii="Times New Roman" w:hAnsi="Times New Roman"/>
          <w:sz w:val="24"/>
          <w:szCs w:val="24"/>
        </w:rPr>
        <w:t xml:space="preserve">. Acesso em </w:t>
      </w:r>
      <w:r>
        <w:rPr>
          <w:rFonts w:ascii="Times New Roman" w:hAnsi="Times New Roman"/>
          <w:sz w:val="24"/>
          <w:szCs w:val="24"/>
        </w:rPr>
        <w:t>18</w:t>
      </w:r>
      <w:r w:rsidRPr="00E5749C">
        <w:rPr>
          <w:rFonts w:ascii="Times New Roman" w:hAnsi="Times New Roman"/>
          <w:sz w:val="24"/>
          <w:szCs w:val="24"/>
        </w:rPr>
        <w:t xml:space="preserve"> de </w:t>
      </w:r>
      <w:r>
        <w:rPr>
          <w:rFonts w:ascii="Times New Roman" w:hAnsi="Times New Roman"/>
          <w:sz w:val="24"/>
          <w:szCs w:val="24"/>
        </w:rPr>
        <w:t>fevereiro</w:t>
      </w:r>
      <w:r w:rsidRPr="00E5749C">
        <w:rPr>
          <w:rFonts w:ascii="Times New Roman" w:hAnsi="Times New Roman"/>
          <w:sz w:val="24"/>
          <w:szCs w:val="24"/>
        </w:rPr>
        <w:t xml:space="preserve"> de 2014.</w:t>
      </w:r>
    </w:p>
    <w:p w:rsidR="006848EF" w:rsidRDefault="006848EF" w:rsidP="00F66256">
      <w:pPr>
        <w:spacing w:after="240" w:line="240" w:lineRule="auto"/>
        <w:jc w:val="both"/>
        <w:rPr>
          <w:rFonts w:ascii="Times New Roman" w:hAnsi="Times New Roman"/>
          <w:spacing w:val="-2"/>
          <w:sz w:val="24"/>
          <w:szCs w:val="24"/>
        </w:rPr>
      </w:pPr>
      <w:r w:rsidRPr="00E5749C">
        <w:rPr>
          <w:rFonts w:ascii="Times New Roman" w:hAnsi="Times New Roman"/>
          <w:sz w:val="24"/>
          <w:szCs w:val="24"/>
        </w:rPr>
        <w:t>_____</w:t>
      </w:r>
      <w:r>
        <w:rPr>
          <w:rFonts w:ascii="Times New Roman" w:hAnsi="Times New Roman"/>
          <w:sz w:val="24"/>
          <w:szCs w:val="24"/>
        </w:rPr>
        <w:t>__. ___________________________</w:t>
      </w:r>
      <w:r w:rsidRPr="00E5749C">
        <w:rPr>
          <w:rFonts w:ascii="Times New Roman" w:hAnsi="Times New Roman"/>
          <w:sz w:val="24"/>
          <w:szCs w:val="24"/>
        </w:rPr>
        <w:t>.</w:t>
      </w:r>
      <w:r w:rsidRPr="00DA17B8">
        <w:rPr>
          <w:rFonts w:ascii="Times New Roman" w:hAnsi="Times New Roman"/>
          <w:i/>
          <w:sz w:val="24"/>
          <w:szCs w:val="24"/>
        </w:rPr>
        <w:t xml:space="preserve"> </w:t>
      </w:r>
      <w:r w:rsidRPr="00E5749C">
        <w:rPr>
          <w:rFonts w:ascii="Times New Roman" w:hAnsi="Times New Roman"/>
          <w:i/>
          <w:sz w:val="24"/>
          <w:szCs w:val="24"/>
        </w:rPr>
        <w:t>Acórdão</w:t>
      </w:r>
      <w:r>
        <w:rPr>
          <w:rFonts w:ascii="Times New Roman" w:hAnsi="Times New Roman"/>
          <w:i/>
          <w:sz w:val="24"/>
          <w:szCs w:val="24"/>
        </w:rPr>
        <w:t xml:space="preserve"> - Plenário</w:t>
      </w:r>
      <w:r w:rsidRPr="00E5749C">
        <w:rPr>
          <w:rFonts w:ascii="Times New Roman" w:hAnsi="Times New Roman"/>
          <w:i/>
          <w:sz w:val="24"/>
          <w:szCs w:val="24"/>
        </w:rPr>
        <w:t xml:space="preserve"> nº </w:t>
      </w:r>
      <w:r>
        <w:rPr>
          <w:rFonts w:ascii="Times New Roman" w:hAnsi="Times New Roman"/>
          <w:i/>
          <w:sz w:val="24"/>
          <w:szCs w:val="24"/>
        </w:rPr>
        <w:t>2.308, de 8 de setembro de 2010</w:t>
      </w:r>
      <w:r w:rsidRPr="00E5749C">
        <w:rPr>
          <w:rFonts w:ascii="Times New Roman" w:hAnsi="Times New Roman"/>
          <w:sz w:val="24"/>
          <w:szCs w:val="24"/>
        </w:rPr>
        <w:t>.</w:t>
      </w:r>
      <w:r>
        <w:rPr>
          <w:rFonts w:ascii="Times New Roman" w:hAnsi="Times New Roman"/>
          <w:sz w:val="24"/>
          <w:szCs w:val="24"/>
        </w:rPr>
        <w:t xml:space="preserve"> E</w:t>
      </w:r>
      <w:r w:rsidRPr="00F66256">
        <w:rPr>
          <w:rFonts w:ascii="Times New Roman" w:hAnsi="Times New Roman"/>
          <w:sz w:val="24"/>
          <w:szCs w:val="24"/>
        </w:rPr>
        <w:t>stabelece parâmetros afetos à governança de TI no âmbito da Administração Pública Federal</w:t>
      </w:r>
      <w:r>
        <w:rPr>
          <w:rFonts w:ascii="Times New Roman" w:hAnsi="Times New Roman"/>
          <w:sz w:val="24"/>
          <w:szCs w:val="24"/>
        </w:rPr>
        <w:t xml:space="preserve"> – Diagnóstico 2010.</w:t>
      </w:r>
      <w:r w:rsidRPr="00E5749C">
        <w:rPr>
          <w:rFonts w:ascii="Times New Roman" w:hAnsi="Times New Roman"/>
          <w:sz w:val="24"/>
          <w:szCs w:val="24"/>
        </w:rPr>
        <w:t xml:space="preserve"> Relator: Ministro </w:t>
      </w:r>
      <w:r>
        <w:rPr>
          <w:rFonts w:ascii="Times New Roman" w:hAnsi="Times New Roman"/>
          <w:sz w:val="24"/>
          <w:szCs w:val="24"/>
        </w:rPr>
        <w:t>Aroldo Cedras</w:t>
      </w:r>
      <w:r w:rsidRPr="00E5749C">
        <w:rPr>
          <w:rFonts w:ascii="Times New Roman" w:hAnsi="Times New Roman"/>
          <w:sz w:val="24"/>
          <w:szCs w:val="24"/>
        </w:rPr>
        <w:t>. Brasília</w:t>
      </w:r>
      <w:r>
        <w:rPr>
          <w:rFonts w:ascii="Times New Roman" w:hAnsi="Times New Roman"/>
          <w:sz w:val="24"/>
          <w:szCs w:val="24"/>
        </w:rPr>
        <w:t>. 2010</w:t>
      </w:r>
      <w:r w:rsidRPr="00E5749C">
        <w:rPr>
          <w:rFonts w:ascii="Times New Roman" w:hAnsi="Times New Roman"/>
          <w:sz w:val="24"/>
          <w:szCs w:val="24"/>
        </w:rPr>
        <w:t xml:space="preserve">. </w:t>
      </w:r>
      <w:r w:rsidRPr="00F66256">
        <w:rPr>
          <w:rFonts w:ascii="Times New Roman" w:hAnsi="Times New Roman"/>
          <w:spacing w:val="-2"/>
          <w:sz w:val="24"/>
          <w:szCs w:val="24"/>
        </w:rPr>
        <w:t>Disponível em portal2.tcu.gov.br/portal/page/portal/TCU/comunidades/governanca_ti/normas_e_referencias. Acesso em 18 de fevereiro de 2014.</w:t>
      </w:r>
    </w:p>
    <w:p w:rsidR="006848EF" w:rsidRPr="00E5749C" w:rsidRDefault="006848EF" w:rsidP="007F08F2">
      <w:pPr>
        <w:spacing w:after="240" w:line="240" w:lineRule="auto"/>
        <w:jc w:val="both"/>
        <w:rPr>
          <w:rFonts w:ascii="Times New Roman" w:hAnsi="Times New Roman"/>
          <w:sz w:val="24"/>
          <w:szCs w:val="24"/>
        </w:rPr>
      </w:pPr>
      <w:r w:rsidRPr="00E5749C">
        <w:rPr>
          <w:rFonts w:ascii="Times New Roman" w:hAnsi="Times New Roman"/>
          <w:sz w:val="24"/>
          <w:szCs w:val="24"/>
        </w:rPr>
        <w:t>_____</w:t>
      </w:r>
      <w:r>
        <w:rPr>
          <w:rFonts w:ascii="Times New Roman" w:hAnsi="Times New Roman"/>
          <w:sz w:val="24"/>
          <w:szCs w:val="24"/>
        </w:rPr>
        <w:t>__. ___________________________</w:t>
      </w:r>
      <w:r w:rsidRPr="00E5749C">
        <w:rPr>
          <w:rFonts w:ascii="Times New Roman" w:hAnsi="Times New Roman"/>
          <w:sz w:val="24"/>
          <w:szCs w:val="24"/>
        </w:rPr>
        <w:t>.</w:t>
      </w:r>
      <w:r w:rsidRPr="00DA17B8">
        <w:rPr>
          <w:rFonts w:ascii="Times New Roman" w:hAnsi="Times New Roman"/>
          <w:i/>
          <w:sz w:val="24"/>
          <w:szCs w:val="24"/>
        </w:rPr>
        <w:t xml:space="preserve"> </w:t>
      </w:r>
      <w:r w:rsidRPr="00E5749C">
        <w:rPr>
          <w:rFonts w:ascii="Times New Roman" w:hAnsi="Times New Roman"/>
          <w:i/>
          <w:sz w:val="24"/>
          <w:szCs w:val="24"/>
        </w:rPr>
        <w:t>Acórdão</w:t>
      </w:r>
      <w:r>
        <w:rPr>
          <w:rFonts w:ascii="Times New Roman" w:hAnsi="Times New Roman"/>
          <w:i/>
          <w:sz w:val="24"/>
          <w:szCs w:val="24"/>
        </w:rPr>
        <w:t xml:space="preserve"> - Plenário</w:t>
      </w:r>
      <w:r w:rsidRPr="00E5749C">
        <w:rPr>
          <w:rFonts w:ascii="Times New Roman" w:hAnsi="Times New Roman"/>
          <w:i/>
          <w:sz w:val="24"/>
          <w:szCs w:val="24"/>
        </w:rPr>
        <w:t xml:space="preserve"> nº </w:t>
      </w:r>
      <w:r>
        <w:rPr>
          <w:rFonts w:ascii="Times New Roman" w:hAnsi="Times New Roman"/>
          <w:i/>
          <w:sz w:val="24"/>
          <w:szCs w:val="24"/>
        </w:rPr>
        <w:t>2.585, de 26 de setembro de 2012</w:t>
      </w:r>
      <w:r w:rsidRPr="00E5749C">
        <w:rPr>
          <w:rFonts w:ascii="Times New Roman" w:hAnsi="Times New Roman"/>
          <w:sz w:val="24"/>
          <w:szCs w:val="24"/>
        </w:rPr>
        <w:t>.</w:t>
      </w:r>
      <w:r>
        <w:rPr>
          <w:rFonts w:ascii="Times New Roman" w:hAnsi="Times New Roman"/>
          <w:sz w:val="24"/>
          <w:szCs w:val="24"/>
        </w:rPr>
        <w:t xml:space="preserve"> E</w:t>
      </w:r>
      <w:r w:rsidRPr="00F66256">
        <w:rPr>
          <w:rFonts w:ascii="Times New Roman" w:hAnsi="Times New Roman"/>
          <w:sz w:val="24"/>
          <w:szCs w:val="24"/>
        </w:rPr>
        <w:t>stabelece parâmetros afetos à governança de TI no âmbito da Administração Pública Federal</w:t>
      </w:r>
      <w:r>
        <w:rPr>
          <w:rFonts w:ascii="Times New Roman" w:hAnsi="Times New Roman"/>
          <w:sz w:val="24"/>
          <w:szCs w:val="24"/>
        </w:rPr>
        <w:t xml:space="preserve"> – Diagnóstico 2012.</w:t>
      </w:r>
      <w:r w:rsidRPr="00E5749C">
        <w:rPr>
          <w:rFonts w:ascii="Times New Roman" w:hAnsi="Times New Roman"/>
          <w:sz w:val="24"/>
          <w:szCs w:val="24"/>
        </w:rPr>
        <w:t xml:space="preserve"> Relator: Ministro </w:t>
      </w:r>
      <w:r>
        <w:rPr>
          <w:rFonts w:ascii="Times New Roman" w:hAnsi="Times New Roman"/>
          <w:sz w:val="24"/>
          <w:szCs w:val="24"/>
        </w:rPr>
        <w:t>Walton Alencar Rodrigues</w:t>
      </w:r>
      <w:r w:rsidRPr="00E5749C">
        <w:rPr>
          <w:rFonts w:ascii="Times New Roman" w:hAnsi="Times New Roman"/>
          <w:sz w:val="24"/>
          <w:szCs w:val="24"/>
        </w:rPr>
        <w:t>. Brasília</w:t>
      </w:r>
      <w:r>
        <w:rPr>
          <w:rFonts w:ascii="Times New Roman" w:hAnsi="Times New Roman"/>
          <w:sz w:val="24"/>
          <w:szCs w:val="24"/>
        </w:rPr>
        <w:t>. 2012</w:t>
      </w:r>
      <w:r w:rsidRPr="00E5749C">
        <w:rPr>
          <w:rFonts w:ascii="Times New Roman" w:hAnsi="Times New Roman"/>
          <w:sz w:val="24"/>
          <w:szCs w:val="24"/>
        </w:rPr>
        <w:t xml:space="preserve">. </w:t>
      </w:r>
      <w:r w:rsidRPr="00F66256">
        <w:rPr>
          <w:rFonts w:ascii="Times New Roman" w:hAnsi="Times New Roman"/>
          <w:spacing w:val="-2"/>
          <w:sz w:val="24"/>
          <w:szCs w:val="24"/>
        </w:rPr>
        <w:t>Disponível em portal2.tcu.gov.br/portal/page/portal/TCU/comunidades/governanca_ti/normas_e_referencias. Acesso em 18 de fevereiro de 2014.</w:t>
      </w:r>
    </w:p>
    <w:p w:rsidR="006848EF" w:rsidRPr="007F49BB" w:rsidRDefault="006848EF" w:rsidP="003424B9">
      <w:pPr>
        <w:spacing w:after="240" w:line="240" w:lineRule="auto"/>
        <w:jc w:val="both"/>
        <w:rPr>
          <w:rFonts w:ascii="Times New Roman" w:hAnsi="Times New Roman"/>
          <w:sz w:val="24"/>
          <w:szCs w:val="24"/>
        </w:rPr>
      </w:pPr>
      <w:r w:rsidRPr="007F49BB">
        <w:rPr>
          <w:rFonts w:ascii="Times New Roman" w:hAnsi="Times New Roman"/>
          <w:sz w:val="24"/>
          <w:szCs w:val="24"/>
        </w:rPr>
        <w:t xml:space="preserve">BRASIL. Tribunal Regional Eleitoral da Bahia. </w:t>
      </w:r>
      <w:r w:rsidRPr="007F49BB">
        <w:rPr>
          <w:rFonts w:ascii="Times New Roman" w:hAnsi="Times New Roman"/>
          <w:i/>
          <w:sz w:val="24"/>
          <w:szCs w:val="24"/>
        </w:rPr>
        <w:t>Relatório de Auditoria de Gestão</w:t>
      </w:r>
      <w:r w:rsidRPr="007F49BB">
        <w:rPr>
          <w:rFonts w:ascii="Times New Roman" w:hAnsi="Times New Roman"/>
          <w:sz w:val="24"/>
          <w:szCs w:val="24"/>
        </w:rPr>
        <w:t xml:space="preserve">. Exercício 2012. Salvador-BA. 2013. Disponível </w:t>
      </w:r>
      <w:r w:rsidRPr="00481CF5">
        <w:rPr>
          <w:rFonts w:ascii="Times New Roman" w:hAnsi="Times New Roman"/>
          <w:sz w:val="24"/>
          <w:szCs w:val="24"/>
        </w:rPr>
        <w:t>em</w:t>
      </w:r>
      <w:r w:rsidRPr="007F49BB">
        <w:rPr>
          <w:rFonts w:ascii="Times New Roman" w:hAnsi="Times New Roman"/>
          <w:sz w:val="24"/>
          <w:szCs w:val="24"/>
        </w:rPr>
        <w:t xml:space="preserve"> http://www.tre-ba.jus.br/transparencia/processos-de-contas-anuais/relatorio-de-gestao-anual. Acesso em </w:t>
      </w:r>
      <w:r>
        <w:rPr>
          <w:rFonts w:ascii="Times New Roman" w:hAnsi="Times New Roman"/>
          <w:sz w:val="24"/>
          <w:szCs w:val="24"/>
        </w:rPr>
        <w:t>18 de fevereiro</w:t>
      </w:r>
      <w:r w:rsidRPr="007F49BB">
        <w:rPr>
          <w:rFonts w:ascii="Times New Roman" w:hAnsi="Times New Roman"/>
          <w:sz w:val="24"/>
          <w:szCs w:val="24"/>
        </w:rPr>
        <w:t xml:space="preserve"> de 2014.</w:t>
      </w:r>
    </w:p>
    <w:p w:rsidR="006848EF" w:rsidRPr="00435057" w:rsidRDefault="006848EF" w:rsidP="003424B9">
      <w:pPr>
        <w:spacing w:after="240" w:line="240" w:lineRule="auto"/>
        <w:jc w:val="both"/>
        <w:rPr>
          <w:rFonts w:ascii="Times New Roman" w:hAnsi="Times New Roman"/>
          <w:sz w:val="24"/>
          <w:szCs w:val="24"/>
        </w:rPr>
      </w:pPr>
      <w:r w:rsidRPr="00E5749C">
        <w:rPr>
          <w:rFonts w:ascii="Times New Roman" w:hAnsi="Times New Roman"/>
          <w:sz w:val="24"/>
          <w:szCs w:val="24"/>
        </w:rPr>
        <w:t>__</w:t>
      </w:r>
      <w:r>
        <w:rPr>
          <w:rFonts w:ascii="Times New Roman" w:hAnsi="Times New Roman"/>
          <w:sz w:val="24"/>
          <w:szCs w:val="24"/>
        </w:rPr>
        <w:t>_____. ____________________________</w:t>
      </w:r>
      <w:r w:rsidRPr="00E5749C">
        <w:rPr>
          <w:rFonts w:ascii="Times New Roman" w:hAnsi="Times New Roman"/>
          <w:sz w:val="24"/>
          <w:szCs w:val="24"/>
        </w:rPr>
        <w:t>.</w:t>
      </w:r>
      <w:r w:rsidRPr="007F49BB">
        <w:rPr>
          <w:rFonts w:ascii="Times New Roman" w:hAnsi="Times New Roman"/>
          <w:sz w:val="24"/>
          <w:szCs w:val="24"/>
        </w:rPr>
        <w:t xml:space="preserve"> </w:t>
      </w:r>
      <w:r w:rsidRPr="007F49BB">
        <w:rPr>
          <w:rFonts w:ascii="Times New Roman" w:hAnsi="Times New Roman"/>
          <w:i/>
          <w:sz w:val="24"/>
          <w:szCs w:val="24"/>
        </w:rPr>
        <w:t>Relatório de Gestão</w:t>
      </w:r>
      <w:r w:rsidRPr="007F49BB">
        <w:rPr>
          <w:rFonts w:ascii="Times New Roman" w:hAnsi="Times New Roman"/>
          <w:sz w:val="24"/>
          <w:szCs w:val="24"/>
        </w:rPr>
        <w:t xml:space="preserve">. Exercício 2013. Salvador-BA. 2013. Disponível </w:t>
      </w:r>
      <w:r w:rsidRPr="00481CF5">
        <w:rPr>
          <w:rFonts w:ascii="Times New Roman" w:hAnsi="Times New Roman"/>
          <w:sz w:val="24"/>
          <w:szCs w:val="24"/>
        </w:rPr>
        <w:t>em</w:t>
      </w:r>
      <w:r w:rsidRPr="007F49BB">
        <w:rPr>
          <w:rFonts w:ascii="Times New Roman" w:hAnsi="Times New Roman"/>
          <w:sz w:val="24"/>
          <w:szCs w:val="24"/>
        </w:rPr>
        <w:t xml:space="preserve"> http://www.tre-ba.jus.br/transparencia/processos-de-contas-anuais/relatorio-de-gestao-anual. </w:t>
      </w:r>
      <w:r w:rsidRPr="00435057">
        <w:rPr>
          <w:rFonts w:ascii="Times New Roman" w:hAnsi="Times New Roman"/>
          <w:sz w:val="24"/>
          <w:szCs w:val="24"/>
        </w:rPr>
        <w:t>Acesso em 30 de maio de 2014.</w:t>
      </w:r>
    </w:p>
    <w:p w:rsidR="006848EF" w:rsidRDefault="006848EF" w:rsidP="004F0673">
      <w:pPr>
        <w:autoSpaceDE w:val="0"/>
        <w:autoSpaceDN w:val="0"/>
        <w:adjustRightInd w:val="0"/>
        <w:spacing w:after="0" w:line="240" w:lineRule="auto"/>
        <w:jc w:val="both"/>
        <w:rPr>
          <w:rFonts w:ascii="Times New Roman" w:hAnsi="Times New Roman"/>
          <w:sz w:val="24"/>
          <w:szCs w:val="24"/>
        </w:rPr>
      </w:pPr>
      <w:r w:rsidRPr="00E5749C">
        <w:rPr>
          <w:rFonts w:ascii="Times New Roman" w:hAnsi="Times New Roman"/>
          <w:sz w:val="24"/>
          <w:szCs w:val="24"/>
        </w:rPr>
        <w:t>__</w:t>
      </w:r>
      <w:r>
        <w:rPr>
          <w:rFonts w:ascii="Times New Roman" w:hAnsi="Times New Roman"/>
          <w:sz w:val="24"/>
          <w:szCs w:val="24"/>
        </w:rPr>
        <w:t>_____. _____________________________</w:t>
      </w:r>
      <w:r w:rsidRPr="00E5749C">
        <w:rPr>
          <w:rFonts w:ascii="Times New Roman" w:hAnsi="Times New Roman"/>
          <w:sz w:val="24"/>
          <w:szCs w:val="24"/>
        </w:rPr>
        <w:t>.</w:t>
      </w:r>
      <w:r w:rsidRPr="007F49BB">
        <w:rPr>
          <w:rFonts w:ascii="Times New Roman" w:hAnsi="Times New Roman"/>
          <w:sz w:val="24"/>
          <w:szCs w:val="24"/>
        </w:rPr>
        <w:t xml:space="preserve"> </w:t>
      </w:r>
      <w:r>
        <w:rPr>
          <w:rFonts w:ascii="Times New Roman" w:hAnsi="Times New Roman"/>
          <w:i/>
          <w:sz w:val="24"/>
          <w:szCs w:val="24"/>
        </w:rPr>
        <w:t>Resolução Administrativa nº 3</w:t>
      </w:r>
      <w:r w:rsidRPr="00E5749C">
        <w:rPr>
          <w:rFonts w:ascii="Times New Roman" w:hAnsi="Times New Roman"/>
          <w:i/>
          <w:sz w:val="24"/>
          <w:szCs w:val="24"/>
        </w:rPr>
        <w:t xml:space="preserve">, de </w:t>
      </w:r>
      <w:r>
        <w:rPr>
          <w:rFonts w:ascii="Times New Roman" w:hAnsi="Times New Roman"/>
          <w:i/>
          <w:sz w:val="24"/>
          <w:szCs w:val="24"/>
        </w:rPr>
        <w:t xml:space="preserve">26 </w:t>
      </w:r>
      <w:r w:rsidRPr="00E5749C">
        <w:rPr>
          <w:rFonts w:ascii="Times New Roman" w:hAnsi="Times New Roman"/>
          <w:i/>
          <w:sz w:val="24"/>
          <w:szCs w:val="24"/>
        </w:rPr>
        <w:t xml:space="preserve">de </w:t>
      </w:r>
      <w:r>
        <w:rPr>
          <w:rFonts w:ascii="Times New Roman" w:hAnsi="Times New Roman"/>
          <w:i/>
          <w:sz w:val="24"/>
          <w:szCs w:val="24"/>
        </w:rPr>
        <w:t>abril</w:t>
      </w:r>
      <w:r w:rsidRPr="00E5749C">
        <w:rPr>
          <w:rFonts w:ascii="Times New Roman" w:hAnsi="Times New Roman"/>
          <w:i/>
          <w:sz w:val="24"/>
          <w:szCs w:val="24"/>
        </w:rPr>
        <w:t xml:space="preserve"> de 20</w:t>
      </w:r>
      <w:r>
        <w:rPr>
          <w:rFonts w:ascii="Times New Roman" w:hAnsi="Times New Roman"/>
          <w:i/>
          <w:sz w:val="24"/>
          <w:szCs w:val="24"/>
        </w:rPr>
        <w:t>10</w:t>
      </w:r>
      <w:r w:rsidRPr="00E5749C">
        <w:rPr>
          <w:rFonts w:ascii="Times New Roman" w:hAnsi="Times New Roman"/>
          <w:i/>
          <w:sz w:val="24"/>
          <w:szCs w:val="24"/>
        </w:rPr>
        <w:t>.</w:t>
      </w:r>
      <w:r w:rsidRPr="00E5749C">
        <w:rPr>
          <w:rFonts w:ascii="Times New Roman" w:hAnsi="Times New Roman"/>
          <w:sz w:val="24"/>
          <w:szCs w:val="24"/>
        </w:rPr>
        <w:t xml:space="preserve"> </w:t>
      </w:r>
      <w:r w:rsidRPr="004F0673">
        <w:rPr>
          <w:rFonts w:ascii="Times New Roman" w:hAnsi="Times New Roman"/>
          <w:sz w:val="24"/>
          <w:szCs w:val="24"/>
        </w:rPr>
        <w:t>Aprova o Planejamento Estratégico de Tecnologia da Informação do Tribunal Regional Eleitoral da Bahia para o</w:t>
      </w:r>
      <w:r>
        <w:rPr>
          <w:rFonts w:ascii="Times New Roman" w:hAnsi="Times New Roman"/>
          <w:sz w:val="24"/>
          <w:szCs w:val="24"/>
        </w:rPr>
        <w:t xml:space="preserve"> </w:t>
      </w:r>
      <w:r w:rsidRPr="004F0673">
        <w:rPr>
          <w:rFonts w:ascii="Times New Roman" w:hAnsi="Times New Roman"/>
          <w:sz w:val="24"/>
          <w:szCs w:val="24"/>
        </w:rPr>
        <w:t>período de 2010 a 2014 e dá outras providências.</w:t>
      </w:r>
      <w:r w:rsidRPr="00E5749C">
        <w:rPr>
          <w:rFonts w:ascii="Times New Roman" w:hAnsi="Times New Roman"/>
          <w:sz w:val="24"/>
          <w:szCs w:val="24"/>
        </w:rPr>
        <w:t xml:space="preserve"> Disponível em </w:t>
      </w:r>
      <w:r w:rsidRPr="004F0673">
        <w:rPr>
          <w:rFonts w:ascii="Times New Roman" w:hAnsi="Times New Roman"/>
          <w:sz w:val="24"/>
          <w:szCs w:val="24"/>
        </w:rPr>
        <w:t>http://intranet.tre-ba.gov.br/institucional/gestao-estrategica/planejamento-estrategico-de-ti</w:t>
      </w:r>
      <w:r w:rsidRPr="00E5749C">
        <w:rPr>
          <w:rFonts w:ascii="Times New Roman" w:hAnsi="Times New Roman"/>
          <w:sz w:val="24"/>
          <w:szCs w:val="24"/>
        </w:rPr>
        <w:t xml:space="preserve">. Acesso em </w:t>
      </w:r>
      <w:r>
        <w:rPr>
          <w:rFonts w:ascii="Times New Roman" w:hAnsi="Times New Roman"/>
          <w:sz w:val="24"/>
          <w:szCs w:val="24"/>
        </w:rPr>
        <w:t>18</w:t>
      </w:r>
      <w:r w:rsidRPr="00E5749C">
        <w:rPr>
          <w:rFonts w:ascii="Times New Roman" w:hAnsi="Times New Roman"/>
          <w:sz w:val="24"/>
          <w:szCs w:val="24"/>
        </w:rPr>
        <w:t xml:space="preserve"> de </w:t>
      </w:r>
      <w:r>
        <w:rPr>
          <w:rFonts w:ascii="Times New Roman" w:hAnsi="Times New Roman"/>
          <w:sz w:val="24"/>
          <w:szCs w:val="24"/>
        </w:rPr>
        <w:t>fevereiro</w:t>
      </w:r>
      <w:r w:rsidRPr="00E5749C">
        <w:rPr>
          <w:rFonts w:ascii="Times New Roman" w:hAnsi="Times New Roman"/>
          <w:sz w:val="24"/>
          <w:szCs w:val="24"/>
        </w:rPr>
        <w:t xml:space="preserve"> de 2014.</w:t>
      </w:r>
    </w:p>
    <w:p w:rsidR="006848EF" w:rsidRDefault="006848EF" w:rsidP="004F0673">
      <w:pPr>
        <w:autoSpaceDE w:val="0"/>
        <w:autoSpaceDN w:val="0"/>
        <w:adjustRightInd w:val="0"/>
        <w:spacing w:after="0" w:line="240" w:lineRule="auto"/>
        <w:rPr>
          <w:rFonts w:ascii="Times New Roman" w:hAnsi="Times New Roman"/>
          <w:sz w:val="24"/>
          <w:szCs w:val="24"/>
        </w:rPr>
      </w:pPr>
    </w:p>
    <w:p w:rsidR="006848EF" w:rsidRDefault="006848EF" w:rsidP="004F0673">
      <w:pPr>
        <w:autoSpaceDE w:val="0"/>
        <w:autoSpaceDN w:val="0"/>
        <w:adjustRightInd w:val="0"/>
        <w:spacing w:after="0" w:line="240" w:lineRule="auto"/>
        <w:jc w:val="both"/>
        <w:rPr>
          <w:rFonts w:ascii="Times New Roman" w:hAnsi="Times New Roman"/>
          <w:sz w:val="24"/>
          <w:szCs w:val="24"/>
        </w:rPr>
      </w:pPr>
      <w:r w:rsidRPr="00E5749C">
        <w:rPr>
          <w:rFonts w:ascii="Times New Roman" w:hAnsi="Times New Roman"/>
          <w:sz w:val="24"/>
          <w:szCs w:val="24"/>
        </w:rPr>
        <w:t>__</w:t>
      </w:r>
      <w:r>
        <w:rPr>
          <w:rFonts w:ascii="Times New Roman" w:hAnsi="Times New Roman"/>
          <w:sz w:val="24"/>
          <w:szCs w:val="24"/>
        </w:rPr>
        <w:t>_____. _____________________________</w:t>
      </w:r>
      <w:r w:rsidRPr="00E5749C">
        <w:rPr>
          <w:rFonts w:ascii="Times New Roman" w:hAnsi="Times New Roman"/>
          <w:sz w:val="24"/>
          <w:szCs w:val="24"/>
        </w:rPr>
        <w:t>.</w:t>
      </w:r>
      <w:r w:rsidRPr="007F49BB">
        <w:rPr>
          <w:rFonts w:ascii="Times New Roman" w:hAnsi="Times New Roman"/>
          <w:sz w:val="24"/>
          <w:szCs w:val="24"/>
        </w:rPr>
        <w:t xml:space="preserve"> </w:t>
      </w:r>
      <w:r>
        <w:rPr>
          <w:rFonts w:ascii="Times New Roman" w:hAnsi="Times New Roman"/>
          <w:i/>
          <w:sz w:val="24"/>
          <w:szCs w:val="24"/>
        </w:rPr>
        <w:t>Portaria da Diretoria Geral nº 573</w:t>
      </w:r>
      <w:r w:rsidRPr="00E5749C">
        <w:rPr>
          <w:rFonts w:ascii="Times New Roman" w:hAnsi="Times New Roman"/>
          <w:i/>
          <w:sz w:val="24"/>
          <w:szCs w:val="24"/>
        </w:rPr>
        <w:t xml:space="preserve">, de </w:t>
      </w:r>
      <w:r>
        <w:rPr>
          <w:rFonts w:ascii="Times New Roman" w:hAnsi="Times New Roman"/>
          <w:i/>
          <w:sz w:val="24"/>
          <w:szCs w:val="24"/>
        </w:rPr>
        <w:t xml:space="preserve">2 </w:t>
      </w:r>
      <w:r w:rsidRPr="00E5749C">
        <w:rPr>
          <w:rFonts w:ascii="Times New Roman" w:hAnsi="Times New Roman"/>
          <w:i/>
          <w:sz w:val="24"/>
          <w:szCs w:val="24"/>
        </w:rPr>
        <w:t xml:space="preserve">de </w:t>
      </w:r>
      <w:r>
        <w:rPr>
          <w:rFonts w:ascii="Times New Roman" w:hAnsi="Times New Roman"/>
          <w:i/>
          <w:sz w:val="24"/>
          <w:szCs w:val="24"/>
        </w:rPr>
        <w:t>outubro</w:t>
      </w:r>
      <w:r w:rsidRPr="00E5749C">
        <w:rPr>
          <w:rFonts w:ascii="Times New Roman" w:hAnsi="Times New Roman"/>
          <w:i/>
          <w:sz w:val="24"/>
          <w:szCs w:val="24"/>
        </w:rPr>
        <w:t xml:space="preserve"> de 20</w:t>
      </w:r>
      <w:r>
        <w:rPr>
          <w:rFonts w:ascii="Times New Roman" w:hAnsi="Times New Roman"/>
          <w:i/>
          <w:sz w:val="24"/>
          <w:szCs w:val="24"/>
        </w:rPr>
        <w:t>09</w:t>
      </w:r>
      <w:r w:rsidRPr="00E5749C">
        <w:rPr>
          <w:rFonts w:ascii="Times New Roman" w:hAnsi="Times New Roman"/>
          <w:i/>
          <w:sz w:val="24"/>
          <w:szCs w:val="24"/>
        </w:rPr>
        <w:t>.</w:t>
      </w:r>
      <w:r w:rsidRPr="00E5749C">
        <w:rPr>
          <w:rFonts w:ascii="Times New Roman" w:hAnsi="Times New Roman"/>
          <w:sz w:val="24"/>
          <w:szCs w:val="24"/>
        </w:rPr>
        <w:t xml:space="preserve"> </w:t>
      </w:r>
      <w:r>
        <w:rPr>
          <w:rFonts w:ascii="Times New Roman" w:hAnsi="Times New Roman"/>
          <w:sz w:val="24"/>
          <w:szCs w:val="24"/>
        </w:rPr>
        <w:t>Designa Comissão de Segurança da Informação do TRE-BA</w:t>
      </w:r>
      <w:r w:rsidRPr="004F0673">
        <w:rPr>
          <w:rFonts w:ascii="Times New Roman" w:hAnsi="Times New Roman"/>
          <w:sz w:val="24"/>
          <w:szCs w:val="24"/>
        </w:rPr>
        <w:t>.</w:t>
      </w:r>
      <w:r w:rsidRPr="00E5749C">
        <w:rPr>
          <w:rFonts w:ascii="Times New Roman" w:hAnsi="Times New Roman"/>
          <w:sz w:val="24"/>
          <w:szCs w:val="24"/>
        </w:rPr>
        <w:t xml:space="preserve"> Disponível em </w:t>
      </w:r>
      <w:r w:rsidRPr="00DA17B8">
        <w:rPr>
          <w:rFonts w:ascii="Times New Roman" w:hAnsi="Times New Roman"/>
          <w:sz w:val="24"/>
          <w:szCs w:val="24"/>
        </w:rPr>
        <w:t>http://intranet.tre-ba.gov.br/institucional/comissoes/seguranca-da-informacao/portarias</w:t>
      </w:r>
      <w:r w:rsidRPr="00E5749C">
        <w:rPr>
          <w:rFonts w:ascii="Times New Roman" w:hAnsi="Times New Roman"/>
          <w:sz w:val="24"/>
          <w:szCs w:val="24"/>
        </w:rPr>
        <w:t xml:space="preserve">. Acesso em </w:t>
      </w:r>
      <w:r>
        <w:rPr>
          <w:rFonts w:ascii="Times New Roman" w:hAnsi="Times New Roman"/>
          <w:sz w:val="24"/>
          <w:szCs w:val="24"/>
        </w:rPr>
        <w:t>18</w:t>
      </w:r>
      <w:r w:rsidRPr="00E5749C">
        <w:rPr>
          <w:rFonts w:ascii="Times New Roman" w:hAnsi="Times New Roman"/>
          <w:sz w:val="24"/>
          <w:szCs w:val="24"/>
        </w:rPr>
        <w:t xml:space="preserve"> de </w:t>
      </w:r>
      <w:r>
        <w:rPr>
          <w:rFonts w:ascii="Times New Roman" w:hAnsi="Times New Roman"/>
          <w:sz w:val="24"/>
          <w:szCs w:val="24"/>
        </w:rPr>
        <w:t>fevereiro</w:t>
      </w:r>
      <w:r w:rsidRPr="00E5749C">
        <w:rPr>
          <w:rFonts w:ascii="Times New Roman" w:hAnsi="Times New Roman"/>
          <w:sz w:val="24"/>
          <w:szCs w:val="24"/>
        </w:rPr>
        <w:t xml:space="preserve"> de 2014.</w:t>
      </w:r>
    </w:p>
    <w:p w:rsidR="006848EF" w:rsidRDefault="006848EF" w:rsidP="004F0673">
      <w:pPr>
        <w:autoSpaceDE w:val="0"/>
        <w:autoSpaceDN w:val="0"/>
        <w:adjustRightInd w:val="0"/>
        <w:spacing w:after="0" w:line="240" w:lineRule="auto"/>
        <w:jc w:val="both"/>
        <w:rPr>
          <w:rFonts w:ascii="Times New Roman" w:hAnsi="Times New Roman"/>
          <w:sz w:val="24"/>
          <w:szCs w:val="24"/>
        </w:rPr>
      </w:pPr>
    </w:p>
    <w:p w:rsidR="006848EF" w:rsidRPr="00DA17B8" w:rsidRDefault="006848EF" w:rsidP="00DA17B8">
      <w:pPr>
        <w:autoSpaceDE w:val="0"/>
        <w:autoSpaceDN w:val="0"/>
        <w:adjustRightInd w:val="0"/>
        <w:spacing w:after="0" w:line="240" w:lineRule="auto"/>
        <w:jc w:val="both"/>
        <w:rPr>
          <w:rFonts w:ascii="Times New Roman" w:hAnsi="Times New Roman"/>
          <w:spacing w:val="-2"/>
          <w:sz w:val="24"/>
          <w:szCs w:val="24"/>
        </w:rPr>
      </w:pPr>
      <w:r w:rsidRPr="00E5749C">
        <w:rPr>
          <w:rFonts w:ascii="Times New Roman" w:hAnsi="Times New Roman"/>
          <w:sz w:val="24"/>
          <w:szCs w:val="24"/>
        </w:rPr>
        <w:t>__</w:t>
      </w:r>
      <w:r>
        <w:rPr>
          <w:rFonts w:ascii="Times New Roman" w:hAnsi="Times New Roman"/>
          <w:sz w:val="24"/>
          <w:szCs w:val="24"/>
        </w:rPr>
        <w:t>_____. _____________________________</w:t>
      </w:r>
      <w:r w:rsidRPr="00E5749C">
        <w:rPr>
          <w:rFonts w:ascii="Times New Roman" w:hAnsi="Times New Roman"/>
          <w:sz w:val="24"/>
          <w:szCs w:val="24"/>
        </w:rPr>
        <w:t>.</w:t>
      </w:r>
      <w:r w:rsidRPr="007F49BB">
        <w:rPr>
          <w:rFonts w:ascii="Times New Roman" w:hAnsi="Times New Roman"/>
          <w:sz w:val="24"/>
          <w:szCs w:val="24"/>
        </w:rPr>
        <w:t xml:space="preserve"> </w:t>
      </w:r>
      <w:r w:rsidRPr="00DA17B8">
        <w:rPr>
          <w:rFonts w:ascii="Times New Roman" w:hAnsi="Times New Roman"/>
          <w:i/>
          <w:spacing w:val="-2"/>
          <w:sz w:val="24"/>
          <w:szCs w:val="24"/>
        </w:rPr>
        <w:t>Portaria da Presidência nº 9, de 6 de janeiro de 2010.</w:t>
      </w:r>
      <w:r w:rsidRPr="00DA17B8">
        <w:rPr>
          <w:rFonts w:ascii="Times New Roman" w:hAnsi="Times New Roman"/>
          <w:spacing w:val="-2"/>
          <w:sz w:val="24"/>
          <w:szCs w:val="24"/>
        </w:rPr>
        <w:t xml:space="preserve"> Designa Comitê Gestor de TI do TRE-BA. Disponível em http://intranet.tre-ba.gov.br/normas-e-documentacoes-1/normas-internas/portarias/presidencia/portarias-de-2013-1/portarias-de-01-ate-100/Port.pre%209-10%20Com.%20acomp.%20decisao%20CNJ.pdf/view. Acesso em 18 de fevereiro de 2014.</w:t>
      </w:r>
    </w:p>
    <w:p w:rsidR="006848EF" w:rsidRDefault="006848EF" w:rsidP="004F0673">
      <w:pPr>
        <w:autoSpaceDE w:val="0"/>
        <w:autoSpaceDN w:val="0"/>
        <w:adjustRightInd w:val="0"/>
        <w:spacing w:after="0" w:line="240" w:lineRule="auto"/>
        <w:rPr>
          <w:rFonts w:ascii="Times New Roman" w:hAnsi="Times New Roman"/>
          <w:sz w:val="24"/>
          <w:szCs w:val="24"/>
        </w:rPr>
      </w:pPr>
    </w:p>
    <w:p w:rsidR="006848EF" w:rsidRPr="00A123EE" w:rsidRDefault="006848EF" w:rsidP="00A123E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BRASIL</w:t>
      </w:r>
      <w:r w:rsidRPr="00E5749C">
        <w:rPr>
          <w:rFonts w:ascii="Times New Roman" w:hAnsi="Times New Roman"/>
          <w:sz w:val="24"/>
          <w:szCs w:val="24"/>
        </w:rPr>
        <w:t xml:space="preserve">. </w:t>
      </w:r>
      <w:r>
        <w:rPr>
          <w:rFonts w:ascii="Times New Roman" w:hAnsi="Times New Roman"/>
          <w:sz w:val="24"/>
          <w:szCs w:val="24"/>
        </w:rPr>
        <w:t>Tribunal Superior Eleitoral</w:t>
      </w:r>
      <w:r w:rsidRPr="00E5749C">
        <w:rPr>
          <w:rFonts w:ascii="Times New Roman" w:hAnsi="Times New Roman"/>
          <w:sz w:val="24"/>
          <w:szCs w:val="24"/>
        </w:rPr>
        <w:t xml:space="preserve">. </w:t>
      </w:r>
      <w:r>
        <w:rPr>
          <w:rFonts w:ascii="Times New Roman" w:hAnsi="Times New Roman"/>
          <w:i/>
          <w:sz w:val="24"/>
          <w:szCs w:val="24"/>
        </w:rPr>
        <w:t>Resolução Administrativa nº 22.780</w:t>
      </w:r>
      <w:r w:rsidRPr="00E5749C">
        <w:rPr>
          <w:rFonts w:ascii="Times New Roman" w:hAnsi="Times New Roman"/>
          <w:i/>
          <w:sz w:val="24"/>
          <w:szCs w:val="24"/>
        </w:rPr>
        <w:t xml:space="preserve">, de </w:t>
      </w:r>
      <w:r>
        <w:rPr>
          <w:rFonts w:ascii="Times New Roman" w:hAnsi="Times New Roman"/>
          <w:i/>
          <w:sz w:val="24"/>
          <w:szCs w:val="24"/>
        </w:rPr>
        <w:t xml:space="preserve">24 </w:t>
      </w:r>
      <w:r w:rsidRPr="00E5749C">
        <w:rPr>
          <w:rFonts w:ascii="Times New Roman" w:hAnsi="Times New Roman"/>
          <w:i/>
          <w:sz w:val="24"/>
          <w:szCs w:val="24"/>
        </w:rPr>
        <w:t xml:space="preserve">de </w:t>
      </w:r>
      <w:r>
        <w:rPr>
          <w:rFonts w:ascii="Times New Roman" w:hAnsi="Times New Roman"/>
          <w:i/>
          <w:sz w:val="24"/>
          <w:szCs w:val="24"/>
        </w:rPr>
        <w:t>abril</w:t>
      </w:r>
      <w:r w:rsidRPr="00E5749C">
        <w:rPr>
          <w:rFonts w:ascii="Times New Roman" w:hAnsi="Times New Roman"/>
          <w:i/>
          <w:sz w:val="24"/>
          <w:szCs w:val="24"/>
        </w:rPr>
        <w:t xml:space="preserve"> de </w:t>
      </w:r>
      <w:r>
        <w:rPr>
          <w:rFonts w:ascii="Times New Roman" w:hAnsi="Times New Roman"/>
          <w:i/>
          <w:sz w:val="24"/>
          <w:szCs w:val="24"/>
        </w:rPr>
        <w:t>2008</w:t>
      </w:r>
      <w:r w:rsidRPr="00E5749C">
        <w:rPr>
          <w:rFonts w:ascii="Times New Roman" w:hAnsi="Times New Roman"/>
          <w:i/>
          <w:sz w:val="24"/>
          <w:szCs w:val="24"/>
        </w:rPr>
        <w:t>.</w:t>
      </w:r>
      <w:r w:rsidRPr="00E5749C">
        <w:rPr>
          <w:rFonts w:ascii="Times New Roman" w:hAnsi="Times New Roman"/>
          <w:sz w:val="24"/>
          <w:szCs w:val="24"/>
        </w:rPr>
        <w:t xml:space="preserve"> </w:t>
      </w:r>
      <w:r w:rsidRPr="00DA17B8">
        <w:rPr>
          <w:rFonts w:ascii="Times New Roman" w:hAnsi="Times New Roman"/>
          <w:sz w:val="24"/>
          <w:szCs w:val="24"/>
        </w:rPr>
        <w:t>Estabelece princípios e valores a serem adotados para assegurar a integridade, a confidencialidade e a disponibilidade das informações no âmbito da Justiça Eleitoral</w:t>
      </w:r>
      <w:r w:rsidRPr="004F0673">
        <w:rPr>
          <w:rFonts w:ascii="Times New Roman" w:hAnsi="Times New Roman"/>
          <w:sz w:val="24"/>
          <w:szCs w:val="24"/>
        </w:rPr>
        <w:t>.</w:t>
      </w:r>
      <w:r w:rsidRPr="00E5749C">
        <w:rPr>
          <w:rFonts w:ascii="Times New Roman" w:hAnsi="Times New Roman"/>
          <w:sz w:val="24"/>
          <w:szCs w:val="24"/>
        </w:rPr>
        <w:t xml:space="preserve"> Disponível em </w:t>
      </w:r>
      <w:r w:rsidRPr="00DA17B8">
        <w:rPr>
          <w:rFonts w:ascii="Times New Roman" w:hAnsi="Times New Roman"/>
          <w:sz w:val="24"/>
          <w:szCs w:val="24"/>
        </w:rPr>
        <w:t>http://intranet.tre-ba.gov.br/institucional/comissoes/seguranca-da-informacao/norma_psi_tse#documentContent</w:t>
      </w:r>
      <w:r w:rsidRPr="00E5749C">
        <w:rPr>
          <w:rFonts w:ascii="Times New Roman" w:hAnsi="Times New Roman"/>
          <w:sz w:val="24"/>
          <w:szCs w:val="24"/>
        </w:rPr>
        <w:t xml:space="preserve">. Acesso em </w:t>
      </w:r>
      <w:r>
        <w:rPr>
          <w:rFonts w:ascii="Times New Roman" w:hAnsi="Times New Roman"/>
          <w:sz w:val="24"/>
          <w:szCs w:val="24"/>
        </w:rPr>
        <w:t>18</w:t>
      </w:r>
      <w:r w:rsidRPr="00E5749C">
        <w:rPr>
          <w:rFonts w:ascii="Times New Roman" w:hAnsi="Times New Roman"/>
          <w:sz w:val="24"/>
          <w:szCs w:val="24"/>
        </w:rPr>
        <w:t xml:space="preserve"> de </w:t>
      </w:r>
      <w:r>
        <w:rPr>
          <w:rFonts w:ascii="Times New Roman" w:hAnsi="Times New Roman"/>
          <w:sz w:val="24"/>
          <w:szCs w:val="24"/>
        </w:rPr>
        <w:t>fevereiro</w:t>
      </w:r>
      <w:r w:rsidRPr="00E5749C">
        <w:rPr>
          <w:rFonts w:ascii="Times New Roman" w:hAnsi="Times New Roman"/>
          <w:sz w:val="24"/>
          <w:szCs w:val="24"/>
        </w:rPr>
        <w:t xml:space="preserve"> de 2014.</w:t>
      </w:r>
    </w:p>
    <w:sectPr w:rsidR="006848EF" w:rsidRPr="00A123EE" w:rsidSect="00A123E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8EF" w:rsidRDefault="006848EF" w:rsidP="000B5B8F">
      <w:pPr>
        <w:spacing w:after="0" w:line="240" w:lineRule="auto"/>
      </w:pPr>
      <w:r>
        <w:separator/>
      </w:r>
    </w:p>
  </w:endnote>
  <w:endnote w:type="continuationSeparator" w:id="0">
    <w:p w:rsidR="006848EF" w:rsidRDefault="006848EF"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pPr>
      <w:pStyle w:val="Rodap"/>
      <w:jc w:val="right"/>
    </w:pPr>
    <w:r>
      <w:t xml:space="preserve">Página </w:t>
    </w:r>
    <w:r>
      <w:rPr>
        <w:b/>
        <w:bCs/>
      </w:rPr>
      <w:fldChar w:fldCharType="begin"/>
    </w:r>
    <w:r>
      <w:rPr>
        <w:b/>
        <w:bCs/>
      </w:rPr>
      <w:instrText>PAGE</w:instrText>
    </w:r>
    <w:r>
      <w:rPr>
        <w:b/>
        <w:bCs/>
      </w:rPr>
      <w:fldChar w:fldCharType="separate"/>
    </w:r>
    <w:r w:rsidR="006E6E3F">
      <w:rPr>
        <w:b/>
        <w:bCs/>
        <w:noProof/>
      </w:rPr>
      <w:t>5</w:t>
    </w:r>
    <w:r>
      <w:rPr>
        <w:b/>
        <w:bCs/>
      </w:rPr>
      <w:fldChar w:fldCharType="end"/>
    </w:r>
    <w:r>
      <w:t xml:space="preserve"> de </w:t>
    </w:r>
    <w:r>
      <w:rPr>
        <w:b/>
        <w:bCs/>
      </w:rPr>
      <w:fldChar w:fldCharType="begin"/>
    </w:r>
    <w:r>
      <w:rPr>
        <w:b/>
        <w:bCs/>
      </w:rPr>
      <w:instrText>NUMPAGES</w:instrText>
    </w:r>
    <w:r>
      <w:rPr>
        <w:b/>
        <w:bCs/>
      </w:rPr>
      <w:fldChar w:fldCharType="separate"/>
    </w:r>
    <w:r w:rsidR="006E6E3F">
      <w:rPr>
        <w:b/>
        <w:bCs/>
        <w:noProof/>
      </w:rPr>
      <w:t>15</w:t>
    </w:r>
    <w:r>
      <w:rPr>
        <w:b/>
        <w:bCs/>
      </w:rPr>
      <w:fldChar w:fldCharType="end"/>
    </w:r>
  </w:p>
  <w:p w:rsidR="006848EF" w:rsidRDefault="006848E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8EF" w:rsidRDefault="006848EF" w:rsidP="000B5B8F">
      <w:pPr>
        <w:spacing w:after="0" w:line="240" w:lineRule="auto"/>
      </w:pPr>
      <w:r>
        <w:separator/>
      </w:r>
    </w:p>
  </w:footnote>
  <w:footnote w:type="continuationSeparator" w:id="0">
    <w:p w:rsidR="006848EF" w:rsidRDefault="006848EF" w:rsidP="000B5B8F">
      <w:pPr>
        <w:spacing w:after="0" w:line="240" w:lineRule="auto"/>
      </w:pPr>
      <w:r>
        <w:continuationSeparator/>
      </w:r>
    </w:p>
  </w:footnote>
  <w:footnote w:id="1">
    <w:p w:rsidR="006848EF" w:rsidRDefault="006848EF" w:rsidP="00877302">
      <w:pPr>
        <w:spacing w:after="0"/>
      </w:pPr>
      <w:r w:rsidRPr="009307E4">
        <w:rPr>
          <w:rStyle w:val="Refdenotaderodap"/>
          <w:rFonts w:ascii="Times New Roman" w:hAnsi="Times New Roman"/>
          <w:sz w:val="20"/>
          <w:szCs w:val="20"/>
        </w:rPr>
        <w:footnoteRef/>
      </w:r>
      <w:r w:rsidRPr="009307E4">
        <w:rPr>
          <w:rFonts w:ascii="Times New Roman" w:hAnsi="Times New Roman"/>
          <w:sz w:val="20"/>
          <w:szCs w:val="20"/>
        </w:rPr>
        <w:t xml:space="preserve"> </w:t>
      </w:r>
      <w:r w:rsidRPr="009307E4">
        <w:rPr>
          <w:rFonts w:ascii="Times New Roman" w:hAnsi="Times New Roman"/>
          <w:snapToGrid w:val="0"/>
          <w:sz w:val="20"/>
          <w:szCs w:val="20"/>
        </w:rPr>
        <w:t>Programa federal estabelecido pelo Decreto nº 5.378, de 23 de fevereiro de 2005, coordenado pelo Ministério do Planejamento, Orçamento e Gestão</w:t>
      </w:r>
      <w:r>
        <w:rPr>
          <w:rFonts w:ascii="Times New Roman" w:hAnsi="Times New Roman"/>
          <w:snapToGrid w:val="0"/>
          <w:sz w:val="20"/>
          <w:szCs w:val="20"/>
        </w:rPr>
        <w:t xml:space="preserve"> (MPOG)</w:t>
      </w:r>
      <w:r w:rsidRPr="009307E4">
        <w:rPr>
          <w:rFonts w:ascii="Times New Roman" w:hAnsi="Times New Roman"/>
          <w:snapToGrid w:val="0"/>
          <w:sz w:val="20"/>
          <w:szCs w:val="20"/>
        </w:rPr>
        <w:t xml:space="preserve">, voltado </w:t>
      </w:r>
      <w:r>
        <w:rPr>
          <w:rFonts w:ascii="Times New Roman" w:hAnsi="Times New Roman"/>
          <w:snapToGrid w:val="0"/>
          <w:sz w:val="20"/>
          <w:szCs w:val="20"/>
        </w:rPr>
        <w:t xml:space="preserve">à </w:t>
      </w:r>
      <w:r w:rsidRPr="009307E4">
        <w:rPr>
          <w:rFonts w:ascii="Times New Roman" w:hAnsi="Times New Roman"/>
          <w:snapToGrid w:val="0"/>
          <w:sz w:val="20"/>
          <w:szCs w:val="20"/>
        </w:rPr>
        <w:t>orienta</w:t>
      </w:r>
      <w:r>
        <w:rPr>
          <w:rFonts w:ascii="Times New Roman" w:hAnsi="Times New Roman"/>
          <w:snapToGrid w:val="0"/>
          <w:sz w:val="20"/>
          <w:szCs w:val="20"/>
        </w:rPr>
        <w:t>ção</w:t>
      </w:r>
      <w:r w:rsidRPr="009307E4">
        <w:rPr>
          <w:rFonts w:ascii="Times New Roman" w:hAnsi="Times New Roman"/>
          <w:snapToGrid w:val="0"/>
          <w:sz w:val="20"/>
          <w:szCs w:val="20"/>
        </w:rPr>
        <w:t xml:space="preserve"> e aferi</w:t>
      </w:r>
      <w:r>
        <w:rPr>
          <w:rFonts w:ascii="Times New Roman" w:hAnsi="Times New Roman"/>
          <w:snapToGrid w:val="0"/>
          <w:sz w:val="20"/>
          <w:szCs w:val="20"/>
        </w:rPr>
        <w:t>ção d</w:t>
      </w:r>
      <w:r w:rsidRPr="009307E4">
        <w:rPr>
          <w:rFonts w:ascii="Times New Roman" w:hAnsi="Times New Roman"/>
          <w:snapToGrid w:val="0"/>
          <w:sz w:val="20"/>
          <w:szCs w:val="20"/>
        </w:rPr>
        <w:t xml:space="preserve">a </w:t>
      </w:r>
      <w:r>
        <w:rPr>
          <w:rFonts w:ascii="Times New Roman" w:hAnsi="Times New Roman"/>
          <w:snapToGrid w:val="0"/>
          <w:sz w:val="20"/>
          <w:szCs w:val="20"/>
        </w:rPr>
        <w:t>qualidade da gestão pública.</w:t>
      </w:r>
    </w:p>
  </w:footnote>
  <w:footnote w:id="2">
    <w:p w:rsidR="006848EF" w:rsidRDefault="006848EF" w:rsidP="00877302">
      <w:pPr>
        <w:autoSpaceDE w:val="0"/>
        <w:autoSpaceDN w:val="0"/>
        <w:adjustRightInd w:val="0"/>
        <w:spacing w:after="0" w:line="240" w:lineRule="auto"/>
      </w:pPr>
      <w:r w:rsidRPr="00877302">
        <w:rPr>
          <w:rStyle w:val="Refdenotaderodap"/>
          <w:rFonts w:ascii="Times New Roman" w:hAnsi="Times New Roman"/>
          <w:sz w:val="20"/>
          <w:szCs w:val="20"/>
        </w:rPr>
        <w:footnoteRef/>
      </w:r>
      <w:r w:rsidRPr="00877302">
        <w:rPr>
          <w:rFonts w:ascii="Times New Roman" w:hAnsi="Times New Roman"/>
          <w:sz w:val="20"/>
          <w:szCs w:val="20"/>
        </w:rPr>
        <w:t xml:space="preserve"> </w:t>
      </w:r>
      <w:proofErr w:type="spellStart"/>
      <w:r w:rsidRPr="00877302">
        <w:rPr>
          <w:rFonts w:ascii="Times New Roman" w:hAnsi="Times New Roman"/>
          <w:sz w:val="20"/>
          <w:szCs w:val="20"/>
        </w:rPr>
        <w:t>Cobit</w:t>
      </w:r>
      <w:proofErr w:type="spellEnd"/>
      <w:r w:rsidRPr="00877302">
        <w:rPr>
          <w:rFonts w:ascii="Times New Roman" w:hAnsi="Times New Roman"/>
          <w:sz w:val="20"/>
          <w:szCs w:val="20"/>
        </w:rPr>
        <w:t xml:space="preserve"> - </w:t>
      </w:r>
      <w:proofErr w:type="spellStart"/>
      <w:r w:rsidRPr="00877302">
        <w:rPr>
          <w:rFonts w:ascii="Times New Roman" w:hAnsi="Times New Roman"/>
          <w:i/>
          <w:iCs/>
          <w:sz w:val="20"/>
          <w:szCs w:val="20"/>
        </w:rPr>
        <w:t>Control</w:t>
      </w:r>
      <w:proofErr w:type="spellEnd"/>
      <w:r w:rsidRPr="00877302">
        <w:rPr>
          <w:rFonts w:ascii="Times New Roman" w:hAnsi="Times New Roman"/>
          <w:i/>
          <w:iCs/>
          <w:sz w:val="20"/>
          <w:szCs w:val="20"/>
        </w:rPr>
        <w:t xml:space="preserve"> </w:t>
      </w:r>
      <w:proofErr w:type="spellStart"/>
      <w:r w:rsidRPr="00877302">
        <w:rPr>
          <w:rFonts w:ascii="Times New Roman" w:hAnsi="Times New Roman"/>
          <w:i/>
          <w:iCs/>
          <w:sz w:val="20"/>
          <w:szCs w:val="20"/>
        </w:rPr>
        <w:t>Objectives</w:t>
      </w:r>
      <w:proofErr w:type="spellEnd"/>
      <w:r w:rsidRPr="00877302">
        <w:rPr>
          <w:rFonts w:ascii="Times New Roman" w:hAnsi="Times New Roman"/>
          <w:i/>
          <w:iCs/>
          <w:sz w:val="20"/>
          <w:szCs w:val="20"/>
        </w:rPr>
        <w:t xml:space="preserve"> for Information </w:t>
      </w:r>
      <w:proofErr w:type="spellStart"/>
      <w:r w:rsidRPr="00877302">
        <w:rPr>
          <w:rFonts w:ascii="Times New Roman" w:hAnsi="Times New Roman"/>
          <w:i/>
          <w:iCs/>
          <w:sz w:val="20"/>
          <w:szCs w:val="20"/>
        </w:rPr>
        <w:t>and</w:t>
      </w:r>
      <w:proofErr w:type="spellEnd"/>
      <w:r w:rsidRPr="00877302">
        <w:rPr>
          <w:rFonts w:ascii="Times New Roman" w:hAnsi="Times New Roman"/>
          <w:i/>
          <w:iCs/>
          <w:sz w:val="20"/>
          <w:szCs w:val="20"/>
        </w:rPr>
        <w:t xml:space="preserve"> </w:t>
      </w:r>
      <w:proofErr w:type="spellStart"/>
      <w:r w:rsidRPr="00877302">
        <w:rPr>
          <w:rFonts w:ascii="Times New Roman" w:hAnsi="Times New Roman"/>
          <w:i/>
          <w:iCs/>
          <w:sz w:val="20"/>
          <w:szCs w:val="20"/>
        </w:rPr>
        <w:t>related</w:t>
      </w:r>
      <w:proofErr w:type="spellEnd"/>
      <w:r w:rsidRPr="00877302">
        <w:rPr>
          <w:rFonts w:ascii="Times New Roman" w:hAnsi="Times New Roman"/>
          <w:i/>
          <w:iCs/>
          <w:sz w:val="20"/>
          <w:szCs w:val="20"/>
        </w:rPr>
        <w:t xml:space="preserve"> Technology</w:t>
      </w:r>
      <w:r w:rsidRPr="00877302">
        <w:rPr>
          <w:rFonts w:ascii="Times New Roman" w:hAnsi="Times New Roman"/>
          <w:iCs/>
          <w:sz w:val="20"/>
          <w:szCs w:val="20"/>
        </w:rPr>
        <w:t xml:space="preserve"> (</w:t>
      </w:r>
      <w:proofErr w:type="spellStart"/>
      <w:r w:rsidRPr="00877302">
        <w:rPr>
          <w:rFonts w:ascii="Times New Roman" w:hAnsi="Times New Roman"/>
          <w:iCs/>
          <w:sz w:val="20"/>
          <w:szCs w:val="20"/>
        </w:rPr>
        <w:t>Cobit</w:t>
      </w:r>
      <w:proofErr w:type="spellEnd"/>
      <w:r w:rsidRPr="00877302">
        <w:rPr>
          <w:rFonts w:ascii="Times New Roman" w:hAnsi="Times New Roman"/>
          <w:iCs/>
          <w:sz w:val="20"/>
          <w:szCs w:val="20"/>
        </w:rPr>
        <w:t>), mantido pelo Instituto de Governança de TI, órgão</w:t>
      </w:r>
      <w:r>
        <w:rPr>
          <w:rFonts w:ascii="Times New Roman" w:hAnsi="Times New Roman"/>
          <w:iCs/>
          <w:sz w:val="20"/>
          <w:szCs w:val="20"/>
        </w:rPr>
        <w:t xml:space="preserve"> </w:t>
      </w:r>
      <w:r w:rsidRPr="00877302">
        <w:rPr>
          <w:rFonts w:ascii="Times New Roman" w:hAnsi="Times New Roman"/>
          <w:iCs/>
          <w:sz w:val="20"/>
          <w:szCs w:val="20"/>
        </w:rPr>
        <w:t>ligado à Associação Internacional de Auditores de TI (</w:t>
      </w:r>
      <w:proofErr w:type="spellStart"/>
      <w:r w:rsidRPr="00877302">
        <w:rPr>
          <w:rFonts w:ascii="Times New Roman" w:hAnsi="Times New Roman"/>
          <w:iCs/>
          <w:sz w:val="20"/>
          <w:szCs w:val="20"/>
        </w:rPr>
        <w:t>Isaca</w:t>
      </w:r>
      <w:proofErr w:type="spellEnd"/>
      <w:r w:rsidRPr="00877302">
        <w:rPr>
          <w:rFonts w:ascii="Times New Roman" w:hAnsi="Times New Roman"/>
          <w:iCs/>
          <w:sz w:val="20"/>
          <w:szCs w:val="20"/>
        </w:rPr>
        <w:t>).</w:t>
      </w:r>
      <w:r>
        <w:rPr>
          <w:rFonts w:ascii="Times New Roman" w:hAnsi="Times New Roman"/>
          <w:iCs/>
          <w:sz w:val="20"/>
          <w:szCs w:val="20"/>
        </w:rPr>
        <w:t xml:space="preserve"> Modelo que confere</w:t>
      </w:r>
      <w:r w:rsidRPr="00877302">
        <w:rPr>
          <w:rFonts w:ascii="Times New Roman" w:hAnsi="Times New Roman"/>
          <w:iCs/>
          <w:sz w:val="20"/>
          <w:szCs w:val="20"/>
        </w:rPr>
        <w:t xml:space="preserve"> maior distinção entre gestão e governança de TI e a integração da governança</w:t>
      </w:r>
      <w:r>
        <w:rPr>
          <w:rFonts w:ascii="Times New Roman" w:hAnsi="Times New Roman"/>
          <w:iCs/>
          <w:sz w:val="20"/>
          <w:szCs w:val="20"/>
        </w:rPr>
        <w:t xml:space="preserve"> </w:t>
      </w:r>
      <w:r w:rsidRPr="00877302">
        <w:rPr>
          <w:rFonts w:ascii="Times New Roman" w:hAnsi="Times New Roman"/>
          <w:iCs/>
          <w:sz w:val="20"/>
          <w:szCs w:val="20"/>
        </w:rPr>
        <w:t>de TI na governança corporativa das instituições, ambas derivadas do lançamento da norma</w:t>
      </w:r>
      <w:r>
        <w:rPr>
          <w:rFonts w:ascii="Times New Roman" w:hAnsi="Times New Roman"/>
          <w:iCs/>
          <w:sz w:val="20"/>
          <w:szCs w:val="20"/>
        </w:rPr>
        <w:t xml:space="preserve"> </w:t>
      </w:r>
      <w:r w:rsidRPr="00877302">
        <w:rPr>
          <w:rFonts w:ascii="Times New Roman" w:hAnsi="Times New Roman"/>
          <w:iCs/>
          <w:sz w:val="20"/>
          <w:szCs w:val="20"/>
        </w:rPr>
        <w:t>internacional ISO/IEC 38500:2008 (no Brasil, ABNT NBR ISO/IEC 38500:2009)</w:t>
      </w:r>
      <w:r>
        <w:rPr>
          <w:rFonts w:ascii="Times New Roman" w:hAnsi="Times New Roman"/>
          <w:iCs/>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rsidP="00FD47A0">
    <w:pPr>
      <w:pStyle w:val="Cabealho"/>
      <w:framePr w:w="1134" w:h="1474" w:hRule="exact" w:wrap="around" w:vAnchor="page" w:hAnchor="page" w:x="1306" w:y="571"/>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9.9pt" o:ole="" fillcolor="window">
          <v:imagedata r:id="rId1" o:title=""/>
        </v:shape>
        <o:OLEObject Type="Embed" ProgID="Word.Picture.8" ShapeID="_x0000_i1025" DrawAspect="Content" ObjectID="_1682255084" r:id="rId2"/>
      </w:object>
    </w:r>
  </w:p>
  <w:p w:rsidR="006848EF" w:rsidRPr="00A01FD3" w:rsidRDefault="006848EF" w:rsidP="000115E4">
    <w:pPr>
      <w:pStyle w:val="Cabealho"/>
      <w:rPr>
        <w:rFonts w:ascii="Times New Roman" w:hAnsi="Times New Roman"/>
        <w:b/>
        <w:caps/>
        <w:sz w:val="20"/>
        <w:szCs w:val="20"/>
      </w:rPr>
    </w:pPr>
    <w:r>
      <w:t xml:space="preserve">                 </w:t>
    </w:r>
    <w:r w:rsidRPr="00A01FD3">
      <w:rPr>
        <w:rFonts w:ascii="Times New Roman" w:hAnsi="Times New Roman"/>
        <w:b/>
        <w:caps/>
        <w:sz w:val="20"/>
        <w:szCs w:val="20"/>
      </w:rPr>
      <w:t>Poder JUDICIÁRIO</w:t>
    </w:r>
  </w:p>
  <w:p w:rsidR="006848EF" w:rsidRPr="00A01FD3" w:rsidRDefault="006848EF" w:rsidP="000115E4">
    <w:pPr>
      <w:pStyle w:val="Cabealho"/>
      <w:ind w:left="851"/>
      <w:rPr>
        <w:rFonts w:ascii="Times New Roman" w:hAnsi="Times New Roman"/>
        <w:b/>
        <w:caps/>
        <w:sz w:val="20"/>
        <w:szCs w:val="20"/>
      </w:rPr>
    </w:pPr>
    <w:r w:rsidRPr="00A01FD3">
      <w:rPr>
        <w:rFonts w:ascii="Times New Roman" w:hAnsi="Times New Roman"/>
        <w:b/>
        <w:caps/>
        <w:sz w:val="20"/>
        <w:szCs w:val="20"/>
      </w:rPr>
      <w:t>Tribunal Regional Eleitoral DA BAHIA</w:t>
    </w:r>
  </w:p>
  <w:p w:rsidR="006848EF" w:rsidRPr="00A01FD3" w:rsidRDefault="006848EF" w:rsidP="000115E4">
    <w:pPr>
      <w:pStyle w:val="Cabealho"/>
      <w:tabs>
        <w:tab w:val="center" w:pos="3261"/>
        <w:tab w:val="right" w:pos="4536"/>
      </w:tabs>
      <w:ind w:left="851"/>
      <w:rPr>
        <w:rFonts w:ascii="Times New Roman" w:hAnsi="Times New Roman"/>
        <w:b/>
        <w:sz w:val="20"/>
        <w:szCs w:val="20"/>
      </w:rPr>
    </w:pPr>
    <w:r w:rsidRPr="00A01FD3">
      <w:rPr>
        <w:rFonts w:ascii="Times New Roman" w:hAnsi="Times New Roman"/>
        <w:b/>
        <w:sz w:val="20"/>
        <w:szCs w:val="20"/>
      </w:rPr>
      <w:t>SECRETARIA DE CONTROLE INTERNO E AUDITORIA</w:t>
    </w:r>
  </w:p>
  <w:p w:rsidR="006848EF" w:rsidRPr="00A01FD3" w:rsidRDefault="006848EF" w:rsidP="000115E4">
    <w:pPr>
      <w:pStyle w:val="Cabealho"/>
      <w:tabs>
        <w:tab w:val="center" w:pos="3261"/>
        <w:tab w:val="right" w:pos="4536"/>
      </w:tabs>
      <w:ind w:left="851"/>
      <w:rPr>
        <w:rFonts w:ascii="Times New Roman" w:hAnsi="Times New Roman"/>
        <w:b/>
        <w:spacing w:val="-12"/>
        <w:sz w:val="20"/>
        <w:szCs w:val="20"/>
      </w:rPr>
    </w:pPr>
    <w:r w:rsidRPr="00A01FD3">
      <w:rPr>
        <w:rFonts w:ascii="Times New Roman" w:hAnsi="Times New Roman"/>
        <w:b/>
        <w:spacing w:val="-12"/>
        <w:sz w:val="20"/>
        <w:szCs w:val="20"/>
      </w:rPr>
      <w:t xml:space="preserve">COORDENADORIA DE AUDITORIA, ACOMPANHAMENTO E ORIENTAÇÃO DA </w:t>
    </w:r>
    <w:proofErr w:type="gramStart"/>
    <w:r w:rsidRPr="00A01FD3">
      <w:rPr>
        <w:rFonts w:ascii="Times New Roman" w:hAnsi="Times New Roman"/>
        <w:b/>
        <w:spacing w:val="-12"/>
        <w:sz w:val="20"/>
        <w:szCs w:val="20"/>
      </w:rPr>
      <w:t>GESTÃO</w:t>
    </w:r>
    <w:proofErr w:type="gramEnd"/>
  </w:p>
  <w:p w:rsidR="006848EF" w:rsidRPr="00A01FD3" w:rsidRDefault="006848EF" w:rsidP="001C627F">
    <w:pPr>
      <w:widowControl w:val="0"/>
      <w:tabs>
        <w:tab w:val="left" w:pos="214"/>
      </w:tabs>
      <w:spacing w:after="360" w:line="240" w:lineRule="auto"/>
      <w:jc w:val="both"/>
      <w:rPr>
        <w:rFonts w:ascii="Times New Roman" w:hAnsi="Times New Roman"/>
        <w:sz w:val="20"/>
        <w:szCs w:val="20"/>
      </w:rPr>
    </w:pPr>
    <w:r w:rsidRPr="00A01FD3">
      <w:rPr>
        <w:rFonts w:ascii="Times New Roman" w:hAnsi="Times New Roman"/>
        <w:b/>
        <w:sz w:val="20"/>
        <w:szCs w:val="20"/>
      </w:rPr>
      <w:tab/>
    </w:r>
    <w:r w:rsidRPr="00A01FD3">
      <w:rPr>
        <w:rFonts w:ascii="Times New Roman" w:hAnsi="Times New Roman"/>
        <w:b/>
        <w:sz w:val="20"/>
        <w:szCs w:val="20"/>
      </w:rPr>
      <w:tab/>
      <w:t xml:space="preserve">   SEÇÃO DE AUDITORIA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8EF" w:rsidRDefault="006848EF" w:rsidP="00A01FD3">
    <w:pPr>
      <w:pStyle w:val="Cabealho"/>
      <w:framePr w:w="1134" w:h="1474" w:hRule="exact" w:wrap="around" w:vAnchor="page" w:hAnchor="page" w:x="1378" w:y="631"/>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69.9pt" o:ole="" fillcolor="window">
          <v:imagedata r:id="rId1" o:title=""/>
        </v:shape>
        <o:OLEObject Type="Embed" ProgID="Word.Picture.8" ShapeID="_x0000_i1026" DrawAspect="Content" ObjectID="_1682255085" r:id="rId2"/>
      </w:object>
    </w:r>
  </w:p>
  <w:p w:rsidR="006848EF" w:rsidRPr="00A01FD3" w:rsidRDefault="006848EF" w:rsidP="000115E4">
    <w:pPr>
      <w:pStyle w:val="Cabealho"/>
      <w:rPr>
        <w:rFonts w:ascii="Times New Roman" w:hAnsi="Times New Roman"/>
        <w:b/>
        <w:caps/>
        <w:sz w:val="20"/>
        <w:szCs w:val="20"/>
      </w:rPr>
    </w:pPr>
    <w:r>
      <w:t xml:space="preserve">                 </w:t>
    </w:r>
    <w:r w:rsidRPr="00A01FD3">
      <w:rPr>
        <w:rFonts w:ascii="Times New Roman" w:hAnsi="Times New Roman"/>
        <w:b/>
        <w:caps/>
        <w:sz w:val="20"/>
        <w:szCs w:val="20"/>
      </w:rPr>
      <w:t>Poder JUDICIÁRIO</w:t>
    </w:r>
  </w:p>
  <w:p w:rsidR="006848EF" w:rsidRPr="00A01FD3" w:rsidRDefault="006848EF" w:rsidP="000115E4">
    <w:pPr>
      <w:pStyle w:val="Cabealho"/>
      <w:ind w:left="851"/>
      <w:rPr>
        <w:rFonts w:ascii="Times New Roman" w:hAnsi="Times New Roman"/>
        <w:b/>
        <w:caps/>
        <w:sz w:val="20"/>
        <w:szCs w:val="20"/>
      </w:rPr>
    </w:pPr>
    <w:r w:rsidRPr="00A01FD3">
      <w:rPr>
        <w:rFonts w:ascii="Times New Roman" w:hAnsi="Times New Roman"/>
        <w:b/>
        <w:caps/>
        <w:sz w:val="20"/>
        <w:szCs w:val="20"/>
      </w:rPr>
      <w:t>Tribunal Regional Eleitoral DA BAHIA</w:t>
    </w:r>
  </w:p>
  <w:p w:rsidR="006848EF" w:rsidRPr="00A01FD3" w:rsidRDefault="006848EF" w:rsidP="000115E4">
    <w:pPr>
      <w:pStyle w:val="Cabealho"/>
      <w:tabs>
        <w:tab w:val="center" w:pos="3261"/>
        <w:tab w:val="right" w:pos="4536"/>
      </w:tabs>
      <w:ind w:left="851"/>
      <w:rPr>
        <w:rFonts w:ascii="Times New Roman" w:hAnsi="Times New Roman"/>
        <w:b/>
        <w:sz w:val="20"/>
        <w:szCs w:val="20"/>
      </w:rPr>
    </w:pPr>
    <w:r w:rsidRPr="00A01FD3">
      <w:rPr>
        <w:rFonts w:ascii="Times New Roman" w:hAnsi="Times New Roman"/>
        <w:b/>
        <w:sz w:val="20"/>
        <w:szCs w:val="20"/>
      </w:rPr>
      <w:t>SECRETARIA DE CONTROLE INTERNO E AUDITORIA</w:t>
    </w:r>
  </w:p>
  <w:p w:rsidR="006848EF" w:rsidRPr="00A01FD3" w:rsidRDefault="006848EF" w:rsidP="000115E4">
    <w:pPr>
      <w:pStyle w:val="Cabealho"/>
      <w:tabs>
        <w:tab w:val="center" w:pos="3261"/>
        <w:tab w:val="right" w:pos="4536"/>
      </w:tabs>
      <w:ind w:left="851"/>
      <w:rPr>
        <w:rFonts w:ascii="Times New Roman" w:hAnsi="Times New Roman"/>
        <w:b/>
        <w:spacing w:val="-12"/>
        <w:sz w:val="20"/>
        <w:szCs w:val="20"/>
      </w:rPr>
    </w:pPr>
    <w:r w:rsidRPr="00A01FD3">
      <w:rPr>
        <w:rFonts w:ascii="Times New Roman" w:hAnsi="Times New Roman"/>
        <w:b/>
        <w:spacing w:val="-12"/>
        <w:sz w:val="20"/>
        <w:szCs w:val="20"/>
      </w:rPr>
      <w:t xml:space="preserve">COORDENADORIA DE AUDITORIA, ACOMPANHAMENTO E ORIENTAÇÃO DA </w:t>
    </w:r>
    <w:proofErr w:type="gramStart"/>
    <w:r w:rsidRPr="00A01FD3">
      <w:rPr>
        <w:rFonts w:ascii="Times New Roman" w:hAnsi="Times New Roman"/>
        <w:b/>
        <w:spacing w:val="-12"/>
        <w:sz w:val="20"/>
        <w:szCs w:val="20"/>
      </w:rPr>
      <w:t>GESTÃO</w:t>
    </w:r>
    <w:proofErr w:type="gramEnd"/>
  </w:p>
  <w:p w:rsidR="006848EF" w:rsidRPr="000115E4" w:rsidRDefault="006848EF" w:rsidP="001C627F">
    <w:pPr>
      <w:widowControl w:val="0"/>
      <w:tabs>
        <w:tab w:val="left" w:pos="214"/>
      </w:tabs>
      <w:spacing w:after="360" w:line="240" w:lineRule="auto"/>
      <w:jc w:val="both"/>
      <w:rPr>
        <w:rFonts w:ascii="Times New Roman" w:hAnsi="Times New Roman"/>
        <w:sz w:val="20"/>
        <w:szCs w:val="20"/>
      </w:rPr>
    </w:pPr>
    <w:r w:rsidRPr="00A01FD3">
      <w:rPr>
        <w:rFonts w:ascii="Times New Roman" w:hAnsi="Times New Roman"/>
        <w:b/>
        <w:sz w:val="20"/>
        <w:szCs w:val="20"/>
      </w:rPr>
      <w:tab/>
    </w:r>
    <w:r w:rsidRPr="00A01FD3">
      <w:rPr>
        <w:rFonts w:ascii="Times New Roman" w:hAnsi="Times New Roman"/>
        <w:b/>
        <w:sz w:val="20"/>
        <w:szCs w:val="20"/>
      </w:rPr>
      <w:tab/>
      <w:t xml:space="preserve">   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DBB"/>
    <w:multiLevelType w:val="hybridMultilevel"/>
    <w:tmpl w:val="6BD4150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067C73AF"/>
    <w:multiLevelType w:val="multilevel"/>
    <w:tmpl w:val="E6724B38"/>
    <w:lvl w:ilvl="0">
      <w:start w:val="1"/>
      <w:numFmt w:val="bullet"/>
      <w:lvlText w:val=""/>
      <w:lvlJc w:val="left"/>
      <w:pPr>
        <w:ind w:left="360" w:hanging="360"/>
      </w:pPr>
      <w:rPr>
        <w:rFonts w:ascii="Wingdings" w:hAnsi="Wingdings" w:hint="default"/>
        <w:color w:val="auto"/>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0BD816DF"/>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15A22EFE"/>
    <w:multiLevelType w:val="multilevel"/>
    <w:tmpl w:val="40A452C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6770673"/>
    <w:multiLevelType w:val="hybridMultilevel"/>
    <w:tmpl w:val="1E8ADF6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nsid w:val="1A58591E"/>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7">
    <w:nsid w:val="3A227C3A"/>
    <w:multiLevelType w:val="multilevel"/>
    <w:tmpl w:val="B288A404"/>
    <w:lvl w:ilvl="0">
      <w:start w:val="1"/>
      <w:numFmt w:val="bullet"/>
      <w:lvlText w:val=""/>
      <w:lvlJc w:val="left"/>
      <w:pPr>
        <w:ind w:left="360" w:hanging="360"/>
      </w:pPr>
      <w:rPr>
        <w:rFonts w:ascii="Wingdings" w:hAnsi="Wingdings" w:hint="default"/>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8">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3C7E77A5"/>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0">
    <w:nsid w:val="4773595B"/>
    <w:multiLevelType w:val="multilevel"/>
    <w:tmpl w:val="51465BD6"/>
    <w:lvl w:ilvl="0">
      <w:start w:val="1"/>
      <w:numFmt w:val="decimal"/>
      <w:pStyle w:val="PargrafodaLista"/>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1">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2">
    <w:nsid w:val="6B6855E2"/>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3">
    <w:nsid w:val="6C553F50"/>
    <w:multiLevelType w:val="hybridMultilevel"/>
    <w:tmpl w:val="FF40DF78"/>
    <w:lvl w:ilvl="0" w:tplc="C4520482">
      <w:start w:val="1"/>
      <w:numFmt w:val="bullet"/>
      <w:lvlText w:val=""/>
      <w:lvlJc w:val="left"/>
      <w:pPr>
        <w:ind w:left="720" w:hanging="360"/>
      </w:pPr>
      <w:rPr>
        <w:rFonts w:ascii="Wingdings" w:hAnsi="Wingdings" w:hint="default"/>
        <w:sz w:val="24"/>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nsid w:val="7F4419BD"/>
    <w:multiLevelType w:val="multilevel"/>
    <w:tmpl w:val="40A452C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4"/>
  </w:num>
  <w:num w:numId="2">
    <w:abstractNumId w:val="10"/>
  </w:num>
  <w:num w:numId="3">
    <w:abstractNumId w:val="13"/>
  </w:num>
  <w:num w:numId="4">
    <w:abstractNumId w:val="7"/>
  </w:num>
  <w:num w:numId="5">
    <w:abstractNumId w:val="4"/>
  </w:num>
  <w:num w:numId="6">
    <w:abstractNumId w:val="1"/>
  </w:num>
  <w:num w:numId="7">
    <w:abstractNumId w:val="11"/>
  </w:num>
  <w:num w:numId="8">
    <w:abstractNumId w:val="8"/>
  </w:num>
  <w:num w:numId="9">
    <w:abstractNumId w:val="12"/>
  </w:num>
  <w:num w:numId="10">
    <w:abstractNumId w:val="2"/>
  </w:num>
  <w:num w:numId="11">
    <w:abstractNumId w:val="9"/>
  </w:num>
  <w:num w:numId="12">
    <w:abstractNumId w:val="0"/>
  </w:num>
  <w:num w:numId="13">
    <w:abstractNumId w:val="10"/>
  </w:num>
  <w:num w:numId="14">
    <w:abstractNumId w:val="5"/>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num>
  <w:num w:numId="19">
    <w:abstractNumId w:val="10"/>
  </w:num>
  <w:num w:numId="20">
    <w:abstractNumId w:val="15"/>
  </w:num>
  <w:num w:numId="21">
    <w:abstractNumId w:val="3"/>
  </w:num>
  <w:num w:numId="22">
    <w:abstractNumId w:val="10"/>
  </w:num>
  <w:num w:numId="23">
    <w:abstractNumId w:val="10"/>
  </w:num>
  <w:num w:numId="24">
    <w:abstractNumId w:val="10"/>
  </w:num>
  <w:num w:numId="2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339D"/>
    <w:rsid w:val="0000428C"/>
    <w:rsid w:val="000043A3"/>
    <w:rsid w:val="000054AC"/>
    <w:rsid w:val="00007163"/>
    <w:rsid w:val="00007DF4"/>
    <w:rsid w:val="00010170"/>
    <w:rsid w:val="000112F2"/>
    <w:rsid w:val="000115E4"/>
    <w:rsid w:val="000153C9"/>
    <w:rsid w:val="00016EDE"/>
    <w:rsid w:val="000209D8"/>
    <w:rsid w:val="00023BE6"/>
    <w:rsid w:val="00023C13"/>
    <w:rsid w:val="000249FC"/>
    <w:rsid w:val="000252EA"/>
    <w:rsid w:val="00025324"/>
    <w:rsid w:val="0003145F"/>
    <w:rsid w:val="00032DA9"/>
    <w:rsid w:val="00036ADF"/>
    <w:rsid w:val="00036FD0"/>
    <w:rsid w:val="00046A5B"/>
    <w:rsid w:val="00054936"/>
    <w:rsid w:val="00056DD1"/>
    <w:rsid w:val="0005787A"/>
    <w:rsid w:val="00063340"/>
    <w:rsid w:val="000638C9"/>
    <w:rsid w:val="000652D0"/>
    <w:rsid w:val="00070B87"/>
    <w:rsid w:val="000713D2"/>
    <w:rsid w:val="0007448C"/>
    <w:rsid w:val="00074A1A"/>
    <w:rsid w:val="0007557B"/>
    <w:rsid w:val="00076FC6"/>
    <w:rsid w:val="00077D71"/>
    <w:rsid w:val="00081961"/>
    <w:rsid w:val="00082929"/>
    <w:rsid w:val="00083F74"/>
    <w:rsid w:val="000848DE"/>
    <w:rsid w:val="00086AAF"/>
    <w:rsid w:val="00087548"/>
    <w:rsid w:val="00094159"/>
    <w:rsid w:val="00095558"/>
    <w:rsid w:val="00096EB7"/>
    <w:rsid w:val="000A2E36"/>
    <w:rsid w:val="000A5262"/>
    <w:rsid w:val="000B42F0"/>
    <w:rsid w:val="000B5B8F"/>
    <w:rsid w:val="000B6885"/>
    <w:rsid w:val="000B6E93"/>
    <w:rsid w:val="000C2576"/>
    <w:rsid w:val="000C42E6"/>
    <w:rsid w:val="000C481C"/>
    <w:rsid w:val="000C4A4B"/>
    <w:rsid w:val="000C4EF6"/>
    <w:rsid w:val="000D05CD"/>
    <w:rsid w:val="000D07A2"/>
    <w:rsid w:val="000D29CA"/>
    <w:rsid w:val="000D612B"/>
    <w:rsid w:val="000D66F5"/>
    <w:rsid w:val="000E04C3"/>
    <w:rsid w:val="000E1806"/>
    <w:rsid w:val="000E18CC"/>
    <w:rsid w:val="000E536D"/>
    <w:rsid w:val="000F0B40"/>
    <w:rsid w:val="000F109F"/>
    <w:rsid w:val="000F3F94"/>
    <w:rsid w:val="000F6597"/>
    <w:rsid w:val="000F7746"/>
    <w:rsid w:val="00100E5C"/>
    <w:rsid w:val="001015BB"/>
    <w:rsid w:val="00101D65"/>
    <w:rsid w:val="0010333B"/>
    <w:rsid w:val="001035F0"/>
    <w:rsid w:val="00103D34"/>
    <w:rsid w:val="001049A8"/>
    <w:rsid w:val="00106993"/>
    <w:rsid w:val="00106C08"/>
    <w:rsid w:val="0011167B"/>
    <w:rsid w:val="00111C08"/>
    <w:rsid w:val="00112E18"/>
    <w:rsid w:val="001139EA"/>
    <w:rsid w:val="00114170"/>
    <w:rsid w:val="00114917"/>
    <w:rsid w:val="001158E4"/>
    <w:rsid w:val="00116BCA"/>
    <w:rsid w:val="00116E8A"/>
    <w:rsid w:val="00125297"/>
    <w:rsid w:val="00125B44"/>
    <w:rsid w:val="00127080"/>
    <w:rsid w:val="00132FD8"/>
    <w:rsid w:val="0013420D"/>
    <w:rsid w:val="00135E04"/>
    <w:rsid w:val="00136A3B"/>
    <w:rsid w:val="0014297F"/>
    <w:rsid w:val="00146B4B"/>
    <w:rsid w:val="00155122"/>
    <w:rsid w:val="001605E0"/>
    <w:rsid w:val="001625F3"/>
    <w:rsid w:val="00162B73"/>
    <w:rsid w:val="00162D47"/>
    <w:rsid w:val="00162D84"/>
    <w:rsid w:val="00164FB2"/>
    <w:rsid w:val="00165AD6"/>
    <w:rsid w:val="00167280"/>
    <w:rsid w:val="00167932"/>
    <w:rsid w:val="00167BCB"/>
    <w:rsid w:val="00171743"/>
    <w:rsid w:val="0017311D"/>
    <w:rsid w:val="00176711"/>
    <w:rsid w:val="00176783"/>
    <w:rsid w:val="001824CB"/>
    <w:rsid w:val="001839E7"/>
    <w:rsid w:val="0018541A"/>
    <w:rsid w:val="001913FD"/>
    <w:rsid w:val="00193CB2"/>
    <w:rsid w:val="00195000"/>
    <w:rsid w:val="001967B9"/>
    <w:rsid w:val="00196E39"/>
    <w:rsid w:val="001A048B"/>
    <w:rsid w:val="001A18DD"/>
    <w:rsid w:val="001A4F70"/>
    <w:rsid w:val="001A5507"/>
    <w:rsid w:val="001A55F4"/>
    <w:rsid w:val="001A62A0"/>
    <w:rsid w:val="001A657C"/>
    <w:rsid w:val="001A7B3F"/>
    <w:rsid w:val="001B36CC"/>
    <w:rsid w:val="001B3B39"/>
    <w:rsid w:val="001B5E64"/>
    <w:rsid w:val="001B6210"/>
    <w:rsid w:val="001B7533"/>
    <w:rsid w:val="001C0985"/>
    <w:rsid w:val="001C2BB5"/>
    <w:rsid w:val="001C2E6C"/>
    <w:rsid w:val="001C3FDD"/>
    <w:rsid w:val="001C492B"/>
    <w:rsid w:val="001C4B05"/>
    <w:rsid w:val="001C5F30"/>
    <w:rsid w:val="001C627F"/>
    <w:rsid w:val="001D2A90"/>
    <w:rsid w:val="001D3F59"/>
    <w:rsid w:val="001D5199"/>
    <w:rsid w:val="001E35B3"/>
    <w:rsid w:val="001F41C3"/>
    <w:rsid w:val="001F46B8"/>
    <w:rsid w:val="001F5360"/>
    <w:rsid w:val="0020599E"/>
    <w:rsid w:val="00206759"/>
    <w:rsid w:val="00210006"/>
    <w:rsid w:val="00212054"/>
    <w:rsid w:val="00213D0D"/>
    <w:rsid w:val="002173D2"/>
    <w:rsid w:val="002213C9"/>
    <w:rsid w:val="0022165F"/>
    <w:rsid w:val="00221B6F"/>
    <w:rsid w:val="002228C6"/>
    <w:rsid w:val="00222E47"/>
    <w:rsid w:val="002244DA"/>
    <w:rsid w:val="002272ED"/>
    <w:rsid w:val="002300F2"/>
    <w:rsid w:val="002327FD"/>
    <w:rsid w:val="0023316D"/>
    <w:rsid w:val="00233DE6"/>
    <w:rsid w:val="00241070"/>
    <w:rsid w:val="00244222"/>
    <w:rsid w:val="00245CCC"/>
    <w:rsid w:val="002465D3"/>
    <w:rsid w:val="00250A27"/>
    <w:rsid w:val="00250CB6"/>
    <w:rsid w:val="002512F5"/>
    <w:rsid w:val="00251B8A"/>
    <w:rsid w:val="0025309E"/>
    <w:rsid w:val="00254849"/>
    <w:rsid w:val="00254F84"/>
    <w:rsid w:val="0025520B"/>
    <w:rsid w:val="002610BC"/>
    <w:rsid w:val="00264317"/>
    <w:rsid w:val="002650FE"/>
    <w:rsid w:val="00267A37"/>
    <w:rsid w:val="00270ED3"/>
    <w:rsid w:val="00271D92"/>
    <w:rsid w:val="00273205"/>
    <w:rsid w:val="002743F0"/>
    <w:rsid w:val="00274987"/>
    <w:rsid w:val="00277704"/>
    <w:rsid w:val="002807BD"/>
    <w:rsid w:val="0028455A"/>
    <w:rsid w:val="00284AAF"/>
    <w:rsid w:val="00290A7E"/>
    <w:rsid w:val="002932C5"/>
    <w:rsid w:val="002950F7"/>
    <w:rsid w:val="0029640E"/>
    <w:rsid w:val="00296AA6"/>
    <w:rsid w:val="00297BD2"/>
    <w:rsid w:val="002A2A64"/>
    <w:rsid w:val="002A6CA4"/>
    <w:rsid w:val="002A6EBF"/>
    <w:rsid w:val="002B041C"/>
    <w:rsid w:val="002B7B29"/>
    <w:rsid w:val="002C6174"/>
    <w:rsid w:val="002C7127"/>
    <w:rsid w:val="002D1178"/>
    <w:rsid w:val="002D2410"/>
    <w:rsid w:val="002D5858"/>
    <w:rsid w:val="002D590D"/>
    <w:rsid w:val="002D63AC"/>
    <w:rsid w:val="002D6A01"/>
    <w:rsid w:val="002D77B0"/>
    <w:rsid w:val="002E08B7"/>
    <w:rsid w:val="002E24C1"/>
    <w:rsid w:val="002E2701"/>
    <w:rsid w:val="002E7056"/>
    <w:rsid w:val="002F0FBE"/>
    <w:rsid w:val="002F188C"/>
    <w:rsid w:val="002F1927"/>
    <w:rsid w:val="002F5202"/>
    <w:rsid w:val="002F7AFF"/>
    <w:rsid w:val="002F7DCE"/>
    <w:rsid w:val="00304E15"/>
    <w:rsid w:val="0030615D"/>
    <w:rsid w:val="003146BC"/>
    <w:rsid w:val="0031664F"/>
    <w:rsid w:val="00316960"/>
    <w:rsid w:val="00320A73"/>
    <w:rsid w:val="00325DCB"/>
    <w:rsid w:val="003269AC"/>
    <w:rsid w:val="00331C27"/>
    <w:rsid w:val="00333C52"/>
    <w:rsid w:val="00336873"/>
    <w:rsid w:val="00337236"/>
    <w:rsid w:val="00340398"/>
    <w:rsid w:val="003424B9"/>
    <w:rsid w:val="00344371"/>
    <w:rsid w:val="00346713"/>
    <w:rsid w:val="003472D1"/>
    <w:rsid w:val="00357E29"/>
    <w:rsid w:val="00362FA5"/>
    <w:rsid w:val="00363C92"/>
    <w:rsid w:val="00364163"/>
    <w:rsid w:val="00366305"/>
    <w:rsid w:val="003665C6"/>
    <w:rsid w:val="0037066D"/>
    <w:rsid w:val="0037569C"/>
    <w:rsid w:val="00377210"/>
    <w:rsid w:val="00381278"/>
    <w:rsid w:val="00382887"/>
    <w:rsid w:val="003853FC"/>
    <w:rsid w:val="0038700A"/>
    <w:rsid w:val="00387CB1"/>
    <w:rsid w:val="00390541"/>
    <w:rsid w:val="00394A00"/>
    <w:rsid w:val="00396BE1"/>
    <w:rsid w:val="003A4BAB"/>
    <w:rsid w:val="003A71FA"/>
    <w:rsid w:val="003B16DF"/>
    <w:rsid w:val="003B1F75"/>
    <w:rsid w:val="003B3C5B"/>
    <w:rsid w:val="003B5612"/>
    <w:rsid w:val="003B5950"/>
    <w:rsid w:val="003B7EB7"/>
    <w:rsid w:val="003C11ED"/>
    <w:rsid w:val="003C392C"/>
    <w:rsid w:val="003C3C5A"/>
    <w:rsid w:val="003C4605"/>
    <w:rsid w:val="003C4788"/>
    <w:rsid w:val="003C6976"/>
    <w:rsid w:val="003C795A"/>
    <w:rsid w:val="003D0974"/>
    <w:rsid w:val="003D1455"/>
    <w:rsid w:val="003E3004"/>
    <w:rsid w:val="003E5AD1"/>
    <w:rsid w:val="003F12F4"/>
    <w:rsid w:val="003F1422"/>
    <w:rsid w:val="003F2B98"/>
    <w:rsid w:val="003F769F"/>
    <w:rsid w:val="004038BA"/>
    <w:rsid w:val="004038CC"/>
    <w:rsid w:val="0040682C"/>
    <w:rsid w:val="00406AE0"/>
    <w:rsid w:val="0040752E"/>
    <w:rsid w:val="00411B24"/>
    <w:rsid w:val="00413629"/>
    <w:rsid w:val="0041394C"/>
    <w:rsid w:val="00413DE8"/>
    <w:rsid w:val="00414605"/>
    <w:rsid w:val="00414DBC"/>
    <w:rsid w:val="004153DA"/>
    <w:rsid w:val="00416FC1"/>
    <w:rsid w:val="00417CB5"/>
    <w:rsid w:val="004207DA"/>
    <w:rsid w:val="004209DA"/>
    <w:rsid w:val="00421C8F"/>
    <w:rsid w:val="004229FD"/>
    <w:rsid w:val="00423D27"/>
    <w:rsid w:val="004267FF"/>
    <w:rsid w:val="004270E3"/>
    <w:rsid w:val="0043009D"/>
    <w:rsid w:val="00431B09"/>
    <w:rsid w:val="004329D1"/>
    <w:rsid w:val="00432B9C"/>
    <w:rsid w:val="00435057"/>
    <w:rsid w:val="004360D5"/>
    <w:rsid w:val="00436186"/>
    <w:rsid w:val="0043694B"/>
    <w:rsid w:val="00440E73"/>
    <w:rsid w:val="0044190E"/>
    <w:rsid w:val="004454BC"/>
    <w:rsid w:val="004458D2"/>
    <w:rsid w:val="00446117"/>
    <w:rsid w:val="004465FA"/>
    <w:rsid w:val="0045058F"/>
    <w:rsid w:val="00456218"/>
    <w:rsid w:val="00460E1C"/>
    <w:rsid w:val="00463AA7"/>
    <w:rsid w:val="00464507"/>
    <w:rsid w:val="00464C28"/>
    <w:rsid w:val="00465217"/>
    <w:rsid w:val="004656E6"/>
    <w:rsid w:val="004675C2"/>
    <w:rsid w:val="00470B8C"/>
    <w:rsid w:val="004711A1"/>
    <w:rsid w:val="00471DA5"/>
    <w:rsid w:val="00474ADC"/>
    <w:rsid w:val="00477DAD"/>
    <w:rsid w:val="00480B16"/>
    <w:rsid w:val="00481CF5"/>
    <w:rsid w:val="004825A8"/>
    <w:rsid w:val="00483232"/>
    <w:rsid w:val="00485796"/>
    <w:rsid w:val="0048638E"/>
    <w:rsid w:val="004863D6"/>
    <w:rsid w:val="00486ED8"/>
    <w:rsid w:val="00487901"/>
    <w:rsid w:val="004879E1"/>
    <w:rsid w:val="00487F1C"/>
    <w:rsid w:val="004909EE"/>
    <w:rsid w:val="00495844"/>
    <w:rsid w:val="00497D1A"/>
    <w:rsid w:val="004A1763"/>
    <w:rsid w:val="004A2528"/>
    <w:rsid w:val="004A7CF9"/>
    <w:rsid w:val="004B2CAF"/>
    <w:rsid w:val="004B2DE5"/>
    <w:rsid w:val="004B516B"/>
    <w:rsid w:val="004B7CED"/>
    <w:rsid w:val="004B7CF9"/>
    <w:rsid w:val="004C07E2"/>
    <w:rsid w:val="004D2912"/>
    <w:rsid w:val="004D2CB4"/>
    <w:rsid w:val="004D31C8"/>
    <w:rsid w:val="004D6F58"/>
    <w:rsid w:val="004E3B9F"/>
    <w:rsid w:val="004E4E76"/>
    <w:rsid w:val="004E5518"/>
    <w:rsid w:val="004E5688"/>
    <w:rsid w:val="004F0673"/>
    <w:rsid w:val="004F1106"/>
    <w:rsid w:val="004F5B4C"/>
    <w:rsid w:val="00500D3B"/>
    <w:rsid w:val="00502CE3"/>
    <w:rsid w:val="005041D2"/>
    <w:rsid w:val="005041E0"/>
    <w:rsid w:val="00504965"/>
    <w:rsid w:val="00504DE9"/>
    <w:rsid w:val="005058AE"/>
    <w:rsid w:val="00505C34"/>
    <w:rsid w:val="00511225"/>
    <w:rsid w:val="00512989"/>
    <w:rsid w:val="00513DEB"/>
    <w:rsid w:val="00515926"/>
    <w:rsid w:val="00515CF7"/>
    <w:rsid w:val="0052102A"/>
    <w:rsid w:val="00521048"/>
    <w:rsid w:val="005230A4"/>
    <w:rsid w:val="00523EE9"/>
    <w:rsid w:val="00524550"/>
    <w:rsid w:val="005257E9"/>
    <w:rsid w:val="00526DCE"/>
    <w:rsid w:val="00530F4F"/>
    <w:rsid w:val="005364F0"/>
    <w:rsid w:val="00543A8D"/>
    <w:rsid w:val="00550244"/>
    <w:rsid w:val="005508C4"/>
    <w:rsid w:val="00551419"/>
    <w:rsid w:val="005526CA"/>
    <w:rsid w:val="00553306"/>
    <w:rsid w:val="0055369D"/>
    <w:rsid w:val="005545D8"/>
    <w:rsid w:val="005546F9"/>
    <w:rsid w:val="00555791"/>
    <w:rsid w:val="00555A0C"/>
    <w:rsid w:val="00556134"/>
    <w:rsid w:val="00556954"/>
    <w:rsid w:val="0056216F"/>
    <w:rsid w:val="00566468"/>
    <w:rsid w:val="00566EE4"/>
    <w:rsid w:val="0056756A"/>
    <w:rsid w:val="0056786C"/>
    <w:rsid w:val="00571717"/>
    <w:rsid w:val="00575663"/>
    <w:rsid w:val="005763FE"/>
    <w:rsid w:val="0057794C"/>
    <w:rsid w:val="005805FA"/>
    <w:rsid w:val="00582030"/>
    <w:rsid w:val="00582336"/>
    <w:rsid w:val="00582CA7"/>
    <w:rsid w:val="00587876"/>
    <w:rsid w:val="00590A1F"/>
    <w:rsid w:val="00590D64"/>
    <w:rsid w:val="0059297D"/>
    <w:rsid w:val="0059600B"/>
    <w:rsid w:val="00596E1B"/>
    <w:rsid w:val="005A1B55"/>
    <w:rsid w:val="005A2043"/>
    <w:rsid w:val="005A45EF"/>
    <w:rsid w:val="005A58FA"/>
    <w:rsid w:val="005A7088"/>
    <w:rsid w:val="005A7715"/>
    <w:rsid w:val="005A7D0E"/>
    <w:rsid w:val="005B28C7"/>
    <w:rsid w:val="005B2B09"/>
    <w:rsid w:val="005B589D"/>
    <w:rsid w:val="005B5CF8"/>
    <w:rsid w:val="005B6442"/>
    <w:rsid w:val="005B6E33"/>
    <w:rsid w:val="005C2BD0"/>
    <w:rsid w:val="005C46CF"/>
    <w:rsid w:val="005C71C4"/>
    <w:rsid w:val="005D0183"/>
    <w:rsid w:val="005D02DB"/>
    <w:rsid w:val="005D24DC"/>
    <w:rsid w:val="005D2DCF"/>
    <w:rsid w:val="005D3372"/>
    <w:rsid w:val="005D6F9E"/>
    <w:rsid w:val="005E3620"/>
    <w:rsid w:val="005E549C"/>
    <w:rsid w:val="005F04B2"/>
    <w:rsid w:val="005F3856"/>
    <w:rsid w:val="005F6071"/>
    <w:rsid w:val="00601E7D"/>
    <w:rsid w:val="006035E3"/>
    <w:rsid w:val="00603C5F"/>
    <w:rsid w:val="0060585B"/>
    <w:rsid w:val="00606873"/>
    <w:rsid w:val="00606FF3"/>
    <w:rsid w:val="00607202"/>
    <w:rsid w:val="00612713"/>
    <w:rsid w:val="0061440E"/>
    <w:rsid w:val="00614A4E"/>
    <w:rsid w:val="00617477"/>
    <w:rsid w:val="00622642"/>
    <w:rsid w:val="006256FF"/>
    <w:rsid w:val="00626AC9"/>
    <w:rsid w:val="006279F6"/>
    <w:rsid w:val="006301FE"/>
    <w:rsid w:val="00630DCB"/>
    <w:rsid w:val="0063234E"/>
    <w:rsid w:val="0063292D"/>
    <w:rsid w:val="006332B3"/>
    <w:rsid w:val="0063398C"/>
    <w:rsid w:val="006366AC"/>
    <w:rsid w:val="00636A39"/>
    <w:rsid w:val="00640450"/>
    <w:rsid w:val="0064096B"/>
    <w:rsid w:val="00641B76"/>
    <w:rsid w:val="006439B8"/>
    <w:rsid w:val="006464C3"/>
    <w:rsid w:val="0064749C"/>
    <w:rsid w:val="006479F8"/>
    <w:rsid w:val="006508E0"/>
    <w:rsid w:val="0065177A"/>
    <w:rsid w:val="00652D3B"/>
    <w:rsid w:val="00654579"/>
    <w:rsid w:val="0065519F"/>
    <w:rsid w:val="00656913"/>
    <w:rsid w:val="006604E9"/>
    <w:rsid w:val="00661A13"/>
    <w:rsid w:val="00662760"/>
    <w:rsid w:val="00666459"/>
    <w:rsid w:val="00666736"/>
    <w:rsid w:val="0067032B"/>
    <w:rsid w:val="00670D5D"/>
    <w:rsid w:val="0067170E"/>
    <w:rsid w:val="0067183E"/>
    <w:rsid w:val="00671FC2"/>
    <w:rsid w:val="006778C2"/>
    <w:rsid w:val="006828C8"/>
    <w:rsid w:val="00682BB5"/>
    <w:rsid w:val="00683DD9"/>
    <w:rsid w:val="00683EB6"/>
    <w:rsid w:val="006848EF"/>
    <w:rsid w:val="00686CD0"/>
    <w:rsid w:val="00690B49"/>
    <w:rsid w:val="00693A12"/>
    <w:rsid w:val="00694BEB"/>
    <w:rsid w:val="0069515C"/>
    <w:rsid w:val="00696955"/>
    <w:rsid w:val="00696DA1"/>
    <w:rsid w:val="006A0E7C"/>
    <w:rsid w:val="006A598F"/>
    <w:rsid w:val="006A720F"/>
    <w:rsid w:val="006A7473"/>
    <w:rsid w:val="006B28D7"/>
    <w:rsid w:val="006B3036"/>
    <w:rsid w:val="006B36F9"/>
    <w:rsid w:val="006B3C42"/>
    <w:rsid w:val="006B4803"/>
    <w:rsid w:val="006B5DD8"/>
    <w:rsid w:val="006C1326"/>
    <w:rsid w:val="006C216E"/>
    <w:rsid w:val="006C43CE"/>
    <w:rsid w:val="006C4DD9"/>
    <w:rsid w:val="006C7D6B"/>
    <w:rsid w:val="006D1604"/>
    <w:rsid w:val="006D2E03"/>
    <w:rsid w:val="006D5B99"/>
    <w:rsid w:val="006D7E1B"/>
    <w:rsid w:val="006E1F2D"/>
    <w:rsid w:val="006E24BB"/>
    <w:rsid w:val="006E31AC"/>
    <w:rsid w:val="006E44EF"/>
    <w:rsid w:val="006E61F9"/>
    <w:rsid w:val="006E6E3F"/>
    <w:rsid w:val="006F02EC"/>
    <w:rsid w:val="006F115F"/>
    <w:rsid w:val="006F1432"/>
    <w:rsid w:val="007005DD"/>
    <w:rsid w:val="0070202A"/>
    <w:rsid w:val="00702DAA"/>
    <w:rsid w:val="00705D11"/>
    <w:rsid w:val="0070601C"/>
    <w:rsid w:val="007067FA"/>
    <w:rsid w:val="00712018"/>
    <w:rsid w:val="00713236"/>
    <w:rsid w:val="0071588B"/>
    <w:rsid w:val="00721CEB"/>
    <w:rsid w:val="0072660F"/>
    <w:rsid w:val="007270BC"/>
    <w:rsid w:val="00730169"/>
    <w:rsid w:val="00731135"/>
    <w:rsid w:val="00731D53"/>
    <w:rsid w:val="007368CA"/>
    <w:rsid w:val="00736A78"/>
    <w:rsid w:val="007473E9"/>
    <w:rsid w:val="007514E0"/>
    <w:rsid w:val="0075410B"/>
    <w:rsid w:val="00755738"/>
    <w:rsid w:val="00755ACC"/>
    <w:rsid w:val="00763FE3"/>
    <w:rsid w:val="00764693"/>
    <w:rsid w:val="00764E70"/>
    <w:rsid w:val="00765A87"/>
    <w:rsid w:val="00765C8A"/>
    <w:rsid w:val="00766595"/>
    <w:rsid w:val="00766953"/>
    <w:rsid w:val="00771D95"/>
    <w:rsid w:val="00776AD5"/>
    <w:rsid w:val="00776BEE"/>
    <w:rsid w:val="007802C2"/>
    <w:rsid w:val="00781DF3"/>
    <w:rsid w:val="00785265"/>
    <w:rsid w:val="0078587B"/>
    <w:rsid w:val="0079082A"/>
    <w:rsid w:val="007921B5"/>
    <w:rsid w:val="00795313"/>
    <w:rsid w:val="00797BAD"/>
    <w:rsid w:val="007A5C14"/>
    <w:rsid w:val="007A5E33"/>
    <w:rsid w:val="007A6876"/>
    <w:rsid w:val="007A7C05"/>
    <w:rsid w:val="007B17CA"/>
    <w:rsid w:val="007B1D3C"/>
    <w:rsid w:val="007B7326"/>
    <w:rsid w:val="007B7932"/>
    <w:rsid w:val="007C0F9C"/>
    <w:rsid w:val="007C21C9"/>
    <w:rsid w:val="007C321F"/>
    <w:rsid w:val="007C40CE"/>
    <w:rsid w:val="007C4AB0"/>
    <w:rsid w:val="007C4F9F"/>
    <w:rsid w:val="007C6BAF"/>
    <w:rsid w:val="007C72C0"/>
    <w:rsid w:val="007D300F"/>
    <w:rsid w:val="007D5410"/>
    <w:rsid w:val="007D54BE"/>
    <w:rsid w:val="007D6596"/>
    <w:rsid w:val="007D6AF4"/>
    <w:rsid w:val="007E22AF"/>
    <w:rsid w:val="007E3D1A"/>
    <w:rsid w:val="007F0734"/>
    <w:rsid w:val="007F08F2"/>
    <w:rsid w:val="007F0E9F"/>
    <w:rsid w:val="007F23FA"/>
    <w:rsid w:val="007F3226"/>
    <w:rsid w:val="007F3431"/>
    <w:rsid w:val="007F49BB"/>
    <w:rsid w:val="007F5D8A"/>
    <w:rsid w:val="007F5DCE"/>
    <w:rsid w:val="007F7C39"/>
    <w:rsid w:val="00800660"/>
    <w:rsid w:val="0080401B"/>
    <w:rsid w:val="0080593C"/>
    <w:rsid w:val="008059D2"/>
    <w:rsid w:val="00805C94"/>
    <w:rsid w:val="00807842"/>
    <w:rsid w:val="00810FC9"/>
    <w:rsid w:val="00812893"/>
    <w:rsid w:val="00813A8C"/>
    <w:rsid w:val="008159C0"/>
    <w:rsid w:val="00816BB5"/>
    <w:rsid w:val="00820103"/>
    <w:rsid w:val="00822501"/>
    <w:rsid w:val="00822A46"/>
    <w:rsid w:val="00823CFE"/>
    <w:rsid w:val="0082483B"/>
    <w:rsid w:val="00830877"/>
    <w:rsid w:val="00830FDB"/>
    <w:rsid w:val="00831CC0"/>
    <w:rsid w:val="00832017"/>
    <w:rsid w:val="00834A73"/>
    <w:rsid w:val="00834F41"/>
    <w:rsid w:val="00835B27"/>
    <w:rsid w:val="008411AC"/>
    <w:rsid w:val="008433DB"/>
    <w:rsid w:val="00843CE5"/>
    <w:rsid w:val="00843ED4"/>
    <w:rsid w:val="0084473D"/>
    <w:rsid w:val="00844D7E"/>
    <w:rsid w:val="008451D3"/>
    <w:rsid w:val="008455A3"/>
    <w:rsid w:val="00850357"/>
    <w:rsid w:val="0085182F"/>
    <w:rsid w:val="00852C16"/>
    <w:rsid w:val="00853A28"/>
    <w:rsid w:val="00856BB8"/>
    <w:rsid w:val="00857CAE"/>
    <w:rsid w:val="0086042E"/>
    <w:rsid w:val="008609C1"/>
    <w:rsid w:val="008612D6"/>
    <w:rsid w:val="00861D3C"/>
    <w:rsid w:val="00867ED9"/>
    <w:rsid w:val="0087011E"/>
    <w:rsid w:val="00870BF1"/>
    <w:rsid w:val="00870EEF"/>
    <w:rsid w:val="0087220E"/>
    <w:rsid w:val="0087246F"/>
    <w:rsid w:val="00876EE6"/>
    <w:rsid w:val="00876F90"/>
    <w:rsid w:val="00877302"/>
    <w:rsid w:val="00882286"/>
    <w:rsid w:val="0088297E"/>
    <w:rsid w:val="00883007"/>
    <w:rsid w:val="00883023"/>
    <w:rsid w:val="00890A88"/>
    <w:rsid w:val="00890E42"/>
    <w:rsid w:val="0089120A"/>
    <w:rsid w:val="008913EA"/>
    <w:rsid w:val="00893634"/>
    <w:rsid w:val="0089406C"/>
    <w:rsid w:val="00896F90"/>
    <w:rsid w:val="00897452"/>
    <w:rsid w:val="00897BB5"/>
    <w:rsid w:val="008A4C97"/>
    <w:rsid w:val="008A55A2"/>
    <w:rsid w:val="008A7A81"/>
    <w:rsid w:val="008B2F58"/>
    <w:rsid w:val="008B3411"/>
    <w:rsid w:val="008B36BF"/>
    <w:rsid w:val="008B5400"/>
    <w:rsid w:val="008B7A73"/>
    <w:rsid w:val="008C0DC0"/>
    <w:rsid w:val="008C0E04"/>
    <w:rsid w:val="008C45B1"/>
    <w:rsid w:val="008C4ECE"/>
    <w:rsid w:val="008C6FA4"/>
    <w:rsid w:val="008C72E3"/>
    <w:rsid w:val="008C7C65"/>
    <w:rsid w:val="008D293E"/>
    <w:rsid w:val="008D3CDF"/>
    <w:rsid w:val="008D5FAE"/>
    <w:rsid w:val="008D668C"/>
    <w:rsid w:val="008E31AA"/>
    <w:rsid w:val="008E461A"/>
    <w:rsid w:val="008E5615"/>
    <w:rsid w:val="008E65C6"/>
    <w:rsid w:val="008E6CA4"/>
    <w:rsid w:val="008E7E12"/>
    <w:rsid w:val="008F27E4"/>
    <w:rsid w:val="008F47B6"/>
    <w:rsid w:val="008F73D1"/>
    <w:rsid w:val="009000D5"/>
    <w:rsid w:val="00902819"/>
    <w:rsid w:val="00903542"/>
    <w:rsid w:val="00910798"/>
    <w:rsid w:val="00910CA1"/>
    <w:rsid w:val="00911231"/>
    <w:rsid w:val="009115F6"/>
    <w:rsid w:val="00912557"/>
    <w:rsid w:val="00912AD7"/>
    <w:rsid w:val="00914B70"/>
    <w:rsid w:val="00914EAD"/>
    <w:rsid w:val="00916C5E"/>
    <w:rsid w:val="00920DBF"/>
    <w:rsid w:val="0092199F"/>
    <w:rsid w:val="00922F6D"/>
    <w:rsid w:val="009266A5"/>
    <w:rsid w:val="00927726"/>
    <w:rsid w:val="009307E4"/>
    <w:rsid w:val="00931F88"/>
    <w:rsid w:val="00940D6D"/>
    <w:rsid w:val="00941793"/>
    <w:rsid w:val="00943699"/>
    <w:rsid w:val="0094632F"/>
    <w:rsid w:val="00947456"/>
    <w:rsid w:val="009475DB"/>
    <w:rsid w:val="0095027F"/>
    <w:rsid w:val="009510C8"/>
    <w:rsid w:val="009517DD"/>
    <w:rsid w:val="009535F6"/>
    <w:rsid w:val="00954742"/>
    <w:rsid w:val="009554ED"/>
    <w:rsid w:val="00955DA7"/>
    <w:rsid w:val="00957231"/>
    <w:rsid w:val="00962108"/>
    <w:rsid w:val="00964B0E"/>
    <w:rsid w:val="00965C85"/>
    <w:rsid w:val="00966C0B"/>
    <w:rsid w:val="009702AA"/>
    <w:rsid w:val="00973259"/>
    <w:rsid w:val="00973605"/>
    <w:rsid w:val="00975383"/>
    <w:rsid w:val="00977B68"/>
    <w:rsid w:val="009800B1"/>
    <w:rsid w:val="00981D51"/>
    <w:rsid w:val="009823A7"/>
    <w:rsid w:val="009836C7"/>
    <w:rsid w:val="00984BB9"/>
    <w:rsid w:val="009860FB"/>
    <w:rsid w:val="009863B8"/>
    <w:rsid w:val="0098734D"/>
    <w:rsid w:val="00987466"/>
    <w:rsid w:val="009914A2"/>
    <w:rsid w:val="009A1799"/>
    <w:rsid w:val="009A2088"/>
    <w:rsid w:val="009A258E"/>
    <w:rsid w:val="009A3298"/>
    <w:rsid w:val="009A4B99"/>
    <w:rsid w:val="009B10AC"/>
    <w:rsid w:val="009B312F"/>
    <w:rsid w:val="009B4423"/>
    <w:rsid w:val="009B45DA"/>
    <w:rsid w:val="009B6F89"/>
    <w:rsid w:val="009B780E"/>
    <w:rsid w:val="009C0EE2"/>
    <w:rsid w:val="009C21A7"/>
    <w:rsid w:val="009D30C0"/>
    <w:rsid w:val="009D5C18"/>
    <w:rsid w:val="009D74F4"/>
    <w:rsid w:val="009E6796"/>
    <w:rsid w:val="009E754D"/>
    <w:rsid w:val="009F0D60"/>
    <w:rsid w:val="009F1D93"/>
    <w:rsid w:val="009F5261"/>
    <w:rsid w:val="009F5F5A"/>
    <w:rsid w:val="00A00119"/>
    <w:rsid w:val="00A00A54"/>
    <w:rsid w:val="00A0107F"/>
    <w:rsid w:val="00A01FD3"/>
    <w:rsid w:val="00A02CD6"/>
    <w:rsid w:val="00A03811"/>
    <w:rsid w:val="00A06D76"/>
    <w:rsid w:val="00A073B8"/>
    <w:rsid w:val="00A10DF1"/>
    <w:rsid w:val="00A11A79"/>
    <w:rsid w:val="00A123EE"/>
    <w:rsid w:val="00A13606"/>
    <w:rsid w:val="00A14FC8"/>
    <w:rsid w:val="00A16B68"/>
    <w:rsid w:val="00A254E4"/>
    <w:rsid w:val="00A25F1E"/>
    <w:rsid w:val="00A307B0"/>
    <w:rsid w:val="00A31537"/>
    <w:rsid w:val="00A338DB"/>
    <w:rsid w:val="00A41230"/>
    <w:rsid w:val="00A42671"/>
    <w:rsid w:val="00A43B18"/>
    <w:rsid w:val="00A43D93"/>
    <w:rsid w:val="00A441AA"/>
    <w:rsid w:val="00A44FBB"/>
    <w:rsid w:val="00A45467"/>
    <w:rsid w:val="00A455DB"/>
    <w:rsid w:val="00A468B9"/>
    <w:rsid w:val="00A47294"/>
    <w:rsid w:val="00A50773"/>
    <w:rsid w:val="00A52668"/>
    <w:rsid w:val="00A52E74"/>
    <w:rsid w:val="00A54EE1"/>
    <w:rsid w:val="00A5626B"/>
    <w:rsid w:val="00A56B4C"/>
    <w:rsid w:val="00A571D8"/>
    <w:rsid w:val="00A572AD"/>
    <w:rsid w:val="00A60650"/>
    <w:rsid w:val="00A62876"/>
    <w:rsid w:val="00A62B0A"/>
    <w:rsid w:val="00A65413"/>
    <w:rsid w:val="00A728E1"/>
    <w:rsid w:val="00A72ACC"/>
    <w:rsid w:val="00A730CD"/>
    <w:rsid w:val="00A7332D"/>
    <w:rsid w:val="00A73D8A"/>
    <w:rsid w:val="00A7484A"/>
    <w:rsid w:val="00A76F7A"/>
    <w:rsid w:val="00A8001A"/>
    <w:rsid w:val="00A8092C"/>
    <w:rsid w:val="00A81944"/>
    <w:rsid w:val="00A81C3E"/>
    <w:rsid w:val="00A86CAF"/>
    <w:rsid w:val="00A92E28"/>
    <w:rsid w:val="00A957C0"/>
    <w:rsid w:val="00AA1060"/>
    <w:rsid w:val="00AA2987"/>
    <w:rsid w:val="00AA3436"/>
    <w:rsid w:val="00AA493C"/>
    <w:rsid w:val="00AA4F12"/>
    <w:rsid w:val="00AA76A0"/>
    <w:rsid w:val="00AB0841"/>
    <w:rsid w:val="00AB57AD"/>
    <w:rsid w:val="00AB639E"/>
    <w:rsid w:val="00AB7D1A"/>
    <w:rsid w:val="00AB7EC5"/>
    <w:rsid w:val="00AC31AE"/>
    <w:rsid w:val="00AC3609"/>
    <w:rsid w:val="00AC61A1"/>
    <w:rsid w:val="00AD1681"/>
    <w:rsid w:val="00AD1A81"/>
    <w:rsid w:val="00AD39FA"/>
    <w:rsid w:val="00AD44C3"/>
    <w:rsid w:val="00AE16FD"/>
    <w:rsid w:val="00AE239C"/>
    <w:rsid w:val="00AE24C9"/>
    <w:rsid w:val="00AE3603"/>
    <w:rsid w:val="00AE459F"/>
    <w:rsid w:val="00AE5173"/>
    <w:rsid w:val="00AE7284"/>
    <w:rsid w:val="00AE786B"/>
    <w:rsid w:val="00AF1D72"/>
    <w:rsid w:val="00AF56AD"/>
    <w:rsid w:val="00AF6AB7"/>
    <w:rsid w:val="00B01548"/>
    <w:rsid w:val="00B036D8"/>
    <w:rsid w:val="00B03A6A"/>
    <w:rsid w:val="00B0407A"/>
    <w:rsid w:val="00B0415B"/>
    <w:rsid w:val="00B06B85"/>
    <w:rsid w:val="00B100F5"/>
    <w:rsid w:val="00B13043"/>
    <w:rsid w:val="00B17A49"/>
    <w:rsid w:val="00B17D38"/>
    <w:rsid w:val="00B20A71"/>
    <w:rsid w:val="00B26F36"/>
    <w:rsid w:val="00B347AE"/>
    <w:rsid w:val="00B348F8"/>
    <w:rsid w:val="00B41341"/>
    <w:rsid w:val="00B43860"/>
    <w:rsid w:val="00B4476F"/>
    <w:rsid w:val="00B46B06"/>
    <w:rsid w:val="00B47658"/>
    <w:rsid w:val="00B51854"/>
    <w:rsid w:val="00B54F0A"/>
    <w:rsid w:val="00B56773"/>
    <w:rsid w:val="00B60A8A"/>
    <w:rsid w:val="00B60ED2"/>
    <w:rsid w:val="00B700E4"/>
    <w:rsid w:val="00B70C41"/>
    <w:rsid w:val="00B71742"/>
    <w:rsid w:val="00B719F4"/>
    <w:rsid w:val="00B741FF"/>
    <w:rsid w:val="00B7562C"/>
    <w:rsid w:val="00B83F40"/>
    <w:rsid w:val="00B845AF"/>
    <w:rsid w:val="00B84867"/>
    <w:rsid w:val="00B87BAA"/>
    <w:rsid w:val="00B90AE6"/>
    <w:rsid w:val="00B91991"/>
    <w:rsid w:val="00B9487A"/>
    <w:rsid w:val="00B95AFC"/>
    <w:rsid w:val="00BA1A64"/>
    <w:rsid w:val="00BA2ED9"/>
    <w:rsid w:val="00BB03B6"/>
    <w:rsid w:val="00BB076D"/>
    <w:rsid w:val="00BB0852"/>
    <w:rsid w:val="00BB1FDD"/>
    <w:rsid w:val="00BB27B4"/>
    <w:rsid w:val="00BB2EC9"/>
    <w:rsid w:val="00BB55AF"/>
    <w:rsid w:val="00BC14C0"/>
    <w:rsid w:val="00BC20FE"/>
    <w:rsid w:val="00BC43D1"/>
    <w:rsid w:val="00BC5C34"/>
    <w:rsid w:val="00BC72B6"/>
    <w:rsid w:val="00BD1023"/>
    <w:rsid w:val="00BD36C0"/>
    <w:rsid w:val="00BD4078"/>
    <w:rsid w:val="00BD5262"/>
    <w:rsid w:val="00BD5B8B"/>
    <w:rsid w:val="00BD6B4D"/>
    <w:rsid w:val="00BE364E"/>
    <w:rsid w:val="00BE3D62"/>
    <w:rsid w:val="00BE4FF7"/>
    <w:rsid w:val="00BE6E29"/>
    <w:rsid w:val="00BF0FAA"/>
    <w:rsid w:val="00BF124B"/>
    <w:rsid w:val="00BF199F"/>
    <w:rsid w:val="00C03B1A"/>
    <w:rsid w:val="00C03D46"/>
    <w:rsid w:val="00C0574A"/>
    <w:rsid w:val="00C06610"/>
    <w:rsid w:val="00C06895"/>
    <w:rsid w:val="00C06E4C"/>
    <w:rsid w:val="00C07C3F"/>
    <w:rsid w:val="00C07D09"/>
    <w:rsid w:val="00C1087E"/>
    <w:rsid w:val="00C119FA"/>
    <w:rsid w:val="00C11CC3"/>
    <w:rsid w:val="00C12B47"/>
    <w:rsid w:val="00C13399"/>
    <w:rsid w:val="00C228DF"/>
    <w:rsid w:val="00C23DF3"/>
    <w:rsid w:val="00C270DC"/>
    <w:rsid w:val="00C36788"/>
    <w:rsid w:val="00C36888"/>
    <w:rsid w:val="00C41A8D"/>
    <w:rsid w:val="00C428BB"/>
    <w:rsid w:val="00C4526A"/>
    <w:rsid w:val="00C45D07"/>
    <w:rsid w:val="00C46725"/>
    <w:rsid w:val="00C46EF2"/>
    <w:rsid w:val="00C479AB"/>
    <w:rsid w:val="00C520FC"/>
    <w:rsid w:val="00C52604"/>
    <w:rsid w:val="00C6237E"/>
    <w:rsid w:val="00C728A7"/>
    <w:rsid w:val="00C764AC"/>
    <w:rsid w:val="00C76D7B"/>
    <w:rsid w:val="00C82DB5"/>
    <w:rsid w:val="00C83AD5"/>
    <w:rsid w:val="00C84651"/>
    <w:rsid w:val="00C87610"/>
    <w:rsid w:val="00C92970"/>
    <w:rsid w:val="00C93183"/>
    <w:rsid w:val="00C94054"/>
    <w:rsid w:val="00C957E8"/>
    <w:rsid w:val="00C96329"/>
    <w:rsid w:val="00C9684C"/>
    <w:rsid w:val="00CA05D0"/>
    <w:rsid w:val="00CA2DDE"/>
    <w:rsid w:val="00CA3181"/>
    <w:rsid w:val="00CA4A6D"/>
    <w:rsid w:val="00CA4EE2"/>
    <w:rsid w:val="00CB0490"/>
    <w:rsid w:val="00CB191B"/>
    <w:rsid w:val="00CB275D"/>
    <w:rsid w:val="00CB493F"/>
    <w:rsid w:val="00CB5360"/>
    <w:rsid w:val="00CB5DF4"/>
    <w:rsid w:val="00CB69BE"/>
    <w:rsid w:val="00CC1BB8"/>
    <w:rsid w:val="00CC1C29"/>
    <w:rsid w:val="00CC1F58"/>
    <w:rsid w:val="00CC255C"/>
    <w:rsid w:val="00CC3E79"/>
    <w:rsid w:val="00CC49AD"/>
    <w:rsid w:val="00CC63B4"/>
    <w:rsid w:val="00CC669B"/>
    <w:rsid w:val="00CC74A0"/>
    <w:rsid w:val="00CC7616"/>
    <w:rsid w:val="00CD050C"/>
    <w:rsid w:val="00CD089A"/>
    <w:rsid w:val="00CD44A4"/>
    <w:rsid w:val="00CD470C"/>
    <w:rsid w:val="00CD674D"/>
    <w:rsid w:val="00CE0D92"/>
    <w:rsid w:val="00CE3DBB"/>
    <w:rsid w:val="00CE44AF"/>
    <w:rsid w:val="00CE5691"/>
    <w:rsid w:val="00CE72D3"/>
    <w:rsid w:val="00CF064F"/>
    <w:rsid w:val="00CF1289"/>
    <w:rsid w:val="00CF21AF"/>
    <w:rsid w:val="00CF2F4E"/>
    <w:rsid w:val="00CF46C2"/>
    <w:rsid w:val="00CF5335"/>
    <w:rsid w:val="00CF5724"/>
    <w:rsid w:val="00CF79C3"/>
    <w:rsid w:val="00D00275"/>
    <w:rsid w:val="00D06FCA"/>
    <w:rsid w:val="00D0727A"/>
    <w:rsid w:val="00D07785"/>
    <w:rsid w:val="00D1032B"/>
    <w:rsid w:val="00D11303"/>
    <w:rsid w:val="00D12CDC"/>
    <w:rsid w:val="00D1355D"/>
    <w:rsid w:val="00D14537"/>
    <w:rsid w:val="00D145E8"/>
    <w:rsid w:val="00D14DE8"/>
    <w:rsid w:val="00D158E0"/>
    <w:rsid w:val="00D17240"/>
    <w:rsid w:val="00D2265C"/>
    <w:rsid w:val="00D238C9"/>
    <w:rsid w:val="00D24700"/>
    <w:rsid w:val="00D252C5"/>
    <w:rsid w:val="00D3131D"/>
    <w:rsid w:val="00D3229B"/>
    <w:rsid w:val="00D3244C"/>
    <w:rsid w:val="00D3652C"/>
    <w:rsid w:val="00D36AF6"/>
    <w:rsid w:val="00D37452"/>
    <w:rsid w:val="00D40353"/>
    <w:rsid w:val="00D40C75"/>
    <w:rsid w:val="00D41D98"/>
    <w:rsid w:val="00D42E37"/>
    <w:rsid w:val="00D430F4"/>
    <w:rsid w:val="00D43278"/>
    <w:rsid w:val="00D50488"/>
    <w:rsid w:val="00D50D81"/>
    <w:rsid w:val="00D53807"/>
    <w:rsid w:val="00D557AB"/>
    <w:rsid w:val="00D6263E"/>
    <w:rsid w:val="00D63660"/>
    <w:rsid w:val="00D6675D"/>
    <w:rsid w:val="00D67C34"/>
    <w:rsid w:val="00D70800"/>
    <w:rsid w:val="00D716A6"/>
    <w:rsid w:val="00D724CE"/>
    <w:rsid w:val="00D72C8B"/>
    <w:rsid w:val="00D7343B"/>
    <w:rsid w:val="00D74502"/>
    <w:rsid w:val="00D74C64"/>
    <w:rsid w:val="00D76210"/>
    <w:rsid w:val="00D81084"/>
    <w:rsid w:val="00D81496"/>
    <w:rsid w:val="00D817CA"/>
    <w:rsid w:val="00D837F9"/>
    <w:rsid w:val="00D853D6"/>
    <w:rsid w:val="00D865DF"/>
    <w:rsid w:val="00D868D2"/>
    <w:rsid w:val="00D9101B"/>
    <w:rsid w:val="00D919A3"/>
    <w:rsid w:val="00D926D4"/>
    <w:rsid w:val="00D93F81"/>
    <w:rsid w:val="00D9418B"/>
    <w:rsid w:val="00D95C8E"/>
    <w:rsid w:val="00D964DD"/>
    <w:rsid w:val="00D9751B"/>
    <w:rsid w:val="00DA17B8"/>
    <w:rsid w:val="00DA46B5"/>
    <w:rsid w:val="00DA473F"/>
    <w:rsid w:val="00DA6C2F"/>
    <w:rsid w:val="00DB2FE2"/>
    <w:rsid w:val="00DB31F2"/>
    <w:rsid w:val="00DB3AA1"/>
    <w:rsid w:val="00DB61AF"/>
    <w:rsid w:val="00DB6ACC"/>
    <w:rsid w:val="00DC37FA"/>
    <w:rsid w:val="00DC3E16"/>
    <w:rsid w:val="00DC3FBA"/>
    <w:rsid w:val="00DC50DA"/>
    <w:rsid w:val="00DC628F"/>
    <w:rsid w:val="00DD187A"/>
    <w:rsid w:val="00DD1A2B"/>
    <w:rsid w:val="00DD2F79"/>
    <w:rsid w:val="00DD39E3"/>
    <w:rsid w:val="00DE448B"/>
    <w:rsid w:val="00DF31A2"/>
    <w:rsid w:val="00DF52D3"/>
    <w:rsid w:val="00DF544D"/>
    <w:rsid w:val="00DF5884"/>
    <w:rsid w:val="00DF7221"/>
    <w:rsid w:val="00DF7BAC"/>
    <w:rsid w:val="00E0403E"/>
    <w:rsid w:val="00E0526F"/>
    <w:rsid w:val="00E064BA"/>
    <w:rsid w:val="00E109DB"/>
    <w:rsid w:val="00E11EAC"/>
    <w:rsid w:val="00E142AD"/>
    <w:rsid w:val="00E15BD5"/>
    <w:rsid w:val="00E202B6"/>
    <w:rsid w:val="00E23BD4"/>
    <w:rsid w:val="00E248A5"/>
    <w:rsid w:val="00E31AE0"/>
    <w:rsid w:val="00E330E3"/>
    <w:rsid w:val="00E34007"/>
    <w:rsid w:val="00E361C3"/>
    <w:rsid w:val="00E37C75"/>
    <w:rsid w:val="00E40A5E"/>
    <w:rsid w:val="00E40B07"/>
    <w:rsid w:val="00E42C34"/>
    <w:rsid w:val="00E46B3A"/>
    <w:rsid w:val="00E50518"/>
    <w:rsid w:val="00E53C61"/>
    <w:rsid w:val="00E5418B"/>
    <w:rsid w:val="00E5520C"/>
    <w:rsid w:val="00E5570D"/>
    <w:rsid w:val="00E55AF7"/>
    <w:rsid w:val="00E573D5"/>
    <w:rsid w:val="00E5749C"/>
    <w:rsid w:val="00E60802"/>
    <w:rsid w:val="00E61250"/>
    <w:rsid w:val="00E632AF"/>
    <w:rsid w:val="00E646BE"/>
    <w:rsid w:val="00E648A3"/>
    <w:rsid w:val="00E65557"/>
    <w:rsid w:val="00E65B0C"/>
    <w:rsid w:val="00E73F5B"/>
    <w:rsid w:val="00E74627"/>
    <w:rsid w:val="00E8481E"/>
    <w:rsid w:val="00E86D43"/>
    <w:rsid w:val="00E90ECD"/>
    <w:rsid w:val="00E94FA3"/>
    <w:rsid w:val="00EA4759"/>
    <w:rsid w:val="00EB14A7"/>
    <w:rsid w:val="00EB194D"/>
    <w:rsid w:val="00EB1BC4"/>
    <w:rsid w:val="00EB3004"/>
    <w:rsid w:val="00EB4E88"/>
    <w:rsid w:val="00EC06AF"/>
    <w:rsid w:val="00EC0BC8"/>
    <w:rsid w:val="00EC210D"/>
    <w:rsid w:val="00EC3511"/>
    <w:rsid w:val="00ED2DC4"/>
    <w:rsid w:val="00ED3BBC"/>
    <w:rsid w:val="00ED4396"/>
    <w:rsid w:val="00ED4DDA"/>
    <w:rsid w:val="00ED73CF"/>
    <w:rsid w:val="00EE2C68"/>
    <w:rsid w:val="00EE516E"/>
    <w:rsid w:val="00EE6725"/>
    <w:rsid w:val="00EE7B1B"/>
    <w:rsid w:val="00EF3591"/>
    <w:rsid w:val="00EF3FBA"/>
    <w:rsid w:val="00EF4903"/>
    <w:rsid w:val="00EF7651"/>
    <w:rsid w:val="00EF7A24"/>
    <w:rsid w:val="00F00225"/>
    <w:rsid w:val="00F0156A"/>
    <w:rsid w:val="00F02ADF"/>
    <w:rsid w:val="00F02B78"/>
    <w:rsid w:val="00F02EBA"/>
    <w:rsid w:val="00F03345"/>
    <w:rsid w:val="00F04FCB"/>
    <w:rsid w:val="00F05444"/>
    <w:rsid w:val="00F07D78"/>
    <w:rsid w:val="00F120A9"/>
    <w:rsid w:val="00F12853"/>
    <w:rsid w:val="00F14BE1"/>
    <w:rsid w:val="00F14C5D"/>
    <w:rsid w:val="00F16C2C"/>
    <w:rsid w:val="00F17308"/>
    <w:rsid w:val="00F17968"/>
    <w:rsid w:val="00F179D4"/>
    <w:rsid w:val="00F2123F"/>
    <w:rsid w:val="00F22320"/>
    <w:rsid w:val="00F244D0"/>
    <w:rsid w:val="00F24C96"/>
    <w:rsid w:val="00F338D2"/>
    <w:rsid w:val="00F3655D"/>
    <w:rsid w:val="00F42553"/>
    <w:rsid w:val="00F5053C"/>
    <w:rsid w:val="00F5142B"/>
    <w:rsid w:val="00F53BB7"/>
    <w:rsid w:val="00F55641"/>
    <w:rsid w:val="00F56348"/>
    <w:rsid w:val="00F605E2"/>
    <w:rsid w:val="00F60855"/>
    <w:rsid w:val="00F621DD"/>
    <w:rsid w:val="00F62A38"/>
    <w:rsid w:val="00F63255"/>
    <w:rsid w:val="00F65414"/>
    <w:rsid w:val="00F6575F"/>
    <w:rsid w:val="00F65D6A"/>
    <w:rsid w:val="00F66256"/>
    <w:rsid w:val="00F66AED"/>
    <w:rsid w:val="00F7005B"/>
    <w:rsid w:val="00F71AD3"/>
    <w:rsid w:val="00F734BD"/>
    <w:rsid w:val="00F7395B"/>
    <w:rsid w:val="00F7442F"/>
    <w:rsid w:val="00F8359F"/>
    <w:rsid w:val="00F85136"/>
    <w:rsid w:val="00F85444"/>
    <w:rsid w:val="00F867BE"/>
    <w:rsid w:val="00F86DB6"/>
    <w:rsid w:val="00F87720"/>
    <w:rsid w:val="00F95D16"/>
    <w:rsid w:val="00FA004C"/>
    <w:rsid w:val="00FA073B"/>
    <w:rsid w:val="00FA2161"/>
    <w:rsid w:val="00FA4E93"/>
    <w:rsid w:val="00FA63F3"/>
    <w:rsid w:val="00FB7226"/>
    <w:rsid w:val="00FC00A9"/>
    <w:rsid w:val="00FC12FC"/>
    <w:rsid w:val="00FC1766"/>
    <w:rsid w:val="00FC7F7F"/>
    <w:rsid w:val="00FD0103"/>
    <w:rsid w:val="00FD0109"/>
    <w:rsid w:val="00FD02AE"/>
    <w:rsid w:val="00FD0D37"/>
    <w:rsid w:val="00FD0E29"/>
    <w:rsid w:val="00FD47A0"/>
    <w:rsid w:val="00FD548A"/>
    <w:rsid w:val="00FD5FC9"/>
    <w:rsid w:val="00FE54FB"/>
    <w:rsid w:val="00FE7139"/>
    <w:rsid w:val="00FF0440"/>
    <w:rsid w:val="00FF088D"/>
    <w:rsid w:val="00FF61D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545D8"/>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locked/>
    <w:rsid w:val="00683DD9"/>
    <w:rPr>
      <w:rFonts w:ascii="Times New Roman" w:hAnsi="Times New Roman" w:cs="Times New Roman"/>
      <w:b/>
      <w:noProof/>
      <w:sz w:val="20"/>
      <w:szCs w:val="20"/>
    </w:rPr>
  </w:style>
  <w:style w:type="character" w:customStyle="1" w:styleId="Sumrio1Char">
    <w:name w:val="Sumário 1 Char"/>
    <w:basedOn w:val="Fontepargpadro"/>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B5B8F"/>
    <w:rPr>
      <w:rFonts w:cs="Times New Roman"/>
      <w:sz w:val="20"/>
      <w:szCs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basedOn w:val="Fontepargpadro"/>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descriptionid1siteid35">
    <w:name w:val="descriptionid1siteid35"/>
    <w:basedOn w:val="Fontepargpadro"/>
    <w:uiPriority w:val="99"/>
    <w:rsid w:val="00471DA5"/>
    <w:rPr>
      <w:rFonts w:cs="Times New Roman"/>
    </w:rPr>
  </w:style>
  <w:style w:type="character" w:styleId="Forte">
    <w:name w:val="Strong"/>
    <w:basedOn w:val="Fontepargpadro"/>
    <w:uiPriority w:val="99"/>
    <w:qFormat/>
    <w:rsid w:val="00D724CE"/>
    <w:rPr>
      <w:rFonts w:cs="Times New Roman"/>
      <w:b/>
      <w:bCs/>
    </w:rPr>
  </w:style>
  <w:style w:type="character" w:customStyle="1" w:styleId="apple-converted-space">
    <w:name w:val="apple-converted-space"/>
    <w:basedOn w:val="Fontepargpadro"/>
    <w:uiPriority w:val="99"/>
    <w:rsid w:val="00483232"/>
    <w:rPr>
      <w:rFonts w:cs="Times New Roman"/>
    </w:rPr>
  </w:style>
  <w:style w:type="paragraph" w:customStyle="1" w:styleId="ecxmsobodytext3">
    <w:name w:val="ecxmsobodytext3"/>
    <w:basedOn w:val="Normal"/>
    <w:uiPriority w:val="99"/>
    <w:rsid w:val="00E74627"/>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Norm1">
    <w:name w:val="Norm1"/>
    <w:basedOn w:val="Normal"/>
    <w:uiPriority w:val="99"/>
    <w:rsid w:val="00264317"/>
    <w:pPr>
      <w:spacing w:after="0" w:line="240" w:lineRule="auto"/>
      <w:jc w:val="both"/>
    </w:pPr>
    <w:rPr>
      <w:rFonts w:ascii="Arial" w:eastAsia="Times New Roman" w:hAnsi="Arial"/>
      <w:b/>
      <w:color w:val="000080"/>
      <w:sz w:val="24"/>
      <w:szCs w:val="20"/>
      <w:lang w:eastAsia="pt-BR"/>
    </w:rPr>
  </w:style>
  <w:style w:type="paragraph" w:styleId="Textoembloco">
    <w:name w:val="Block Text"/>
    <w:basedOn w:val="Normal"/>
    <w:uiPriority w:val="99"/>
    <w:rsid w:val="00264317"/>
    <w:pPr>
      <w:spacing w:after="0" w:line="240" w:lineRule="auto"/>
      <w:ind w:left="567" w:right="425" w:firstLine="3119"/>
      <w:jc w:val="both"/>
    </w:pPr>
    <w:rPr>
      <w:rFonts w:ascii="Times New Roman" w:eastAsia="Times New Roman" w:hAnsi="Times New Roman"/>
      <w:sz w:val="28"/>
      <w:szCs w:val="20"/>
      <w:lang w:eastAsia="pt-BR"/>
    </w:rPr>
  </w:style>
  <w:style w:type="character" w:customStyle="1" w:styleId="inplacedisplayid1siteid35">
    <w:name w:val="inplacedisplayid1siteid35"/>
    <w:basedOn w:val="Fontepargpadro"/>
    <w:uiPriority w:val="99"/>
    <w:rsid w:val="00423D2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545D8"/>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locked/>
    <w:rsid w:val="00683DD9"/>
    <w:rPr>
      <w:rFonts w:ascii="Times New Roman" w:hAnsi="Times New Roman" w:cs="Times New Roman"/>
      <w:b/>
      <w:noProof/>
      <w:sz w:val="20"/>
      <w:szCs w:val="20"/>
    </w:rPr>
  </w:style>
  <w:style w:type="character" w:customStyle="1" w:styleId="Sumrio1Char">
    <w:name w:val="Sumário 1 Char"/>
    <w:basedOn w:val="Fontepargpadro"/>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B5B8F"/>
    <w:rPr>
      <w:rFonts w:cs="Times New Roman"/>
      <w:sz w:val="20"/>
      <w:szCs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basedOn w:val="Fontepargpadro"/>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descriptionid1siteid35">
    <w:name w:val="descriptionid1siteid35"/>
    <w:basedOn w:val="Fontepargpadro"/>
    <w:uiPriority w:val="99"/>
    <w:rsid w:val="00471DA5"/>
    <w:rPr>
      <w:rFonts w:cs="Times New Roman"/>
    </w:rPr>
  </w:style>
  <w:style w:type="character" w:styleId="Forte">
    <w:name w:val="Strong"/>
    <w:basedOn w:val="Fontepargpadro"/>
    <w:uiPriority w:val="99"/>
    <w:qFormat/>
    <w:rsid w:val="00D724CE"/>
    <w:rPr>
      <w:rFonts w:cs="Times New Roman"/>
      <w:b/>
      <w:bCs/>
    </w:rPr>
  </w:style>
  <w:style w:type="character" w:customStyle="1" w:styleId="apple-converted-space">
    <w:name w:val="apple-converted-space"/>
    <w:basedOn w:val="Fontepargpadro"/>
    <w:uiPriority w:val="99"/>
    <w:rsid w:val="00483232"/>
    <w:rPr>
      <w:rFonts w:cs="Times New Roman"/>
    </w:rPr>
  </w:style>
  <w:style w:type="paragraph" w:customStyle="1" w:styleId="ecxmsobodytext3">
    <w:name w:val="ecxmsobodytext3"/>
    <w:basedOn w:val="Normal"/>
    <w:uiPriority w:val="99"/>
    <w:rsid w:val="00E74627"/>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Norm1">
    <w:name w:val="Norm1"/>
    <w:basedOn w:val="Normal"/>
    <w:uiPriority w:val="99"/>
    <w:rsid w:val="00264317"/>
    <w:pPr>
      <w:spacing w:after="0" w:line="240" w:lineRule="auto"/>
      <w:jc w:val="both"/>
    </w:pPr>
    <w:rPr>
      <w:rFonts w:ascii="Arial" w:eastAsia="Times New Roman" w:hAnsi="Arial"/>
      <w:b/>
      <w:color w:val="000080"/>
      <w:sz w:val="24"/>
      <w:szCs w:val="20"/>
      <w:lang w:eastAsia="pt-BR"/>
    </w:rPr>
  </w:style>
  <w:style w:type="paragraph" w:styleId="Textoembloco">
    <w:name w:val="Block Text"/>
    <w:basedOn w:val="Normal"/>
    <w:uiPriority w:val="99"/>
    <w:rsid w:val="00264317"/>
    <w:pPr>
      <w:spacing w:after="0" w:line="240" w:lineRule="auto"/>
      <w:ind w:left="567" w:right="425" w:firstLine="3119"/>
      <w:jc w:val="both"/>
    </w:pPr>
    <w:rPr>
      <w:rFonts w:ascii="Times New Roman" w:eastAsia="Times New Roman" w:hAnsi="Times New Roman"/>
      <w:sz w:val="28"/>
      <w:szCs w:val="20"/>
      <w:lang w:eastAsia="pt-BR"/>
    </w:rPr>
  </w:style>
  <w:style w:type="character" w:customStyle="1" w:styleId="inplacedisplayid1siteid35">
    <w:name w:val="inplacedisplayid1siteid35"/>
    <w:basedOn w:val="Fontepargpadro"/>
    <w:uiPriority w:val="99"/>
    <w:rsid w:val="00423D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529774">
      <w:marLeft w:val="0"/>
      <w:marRight w:val="0"/>
      <w:marTop w:val="0"/>
      <w:marBottom w:val="0"/>
      <w:divBdr>
        <w:top w:val="none" w:sz="0" w:space="0" w:color="auto"/>
        <w:left w:val="none" w:sz="0" w:space="0" w:color="auto"/>
        <w:bottom w:val="none" w:sz="0" w:space="0" w:color="auto"/>
        <w:right w:val="none" w:sz="0" w:space="0" w:color="auto"/>
      </w:divBdr>
    </w:div>
    <w:div w:id="1817529775">
      <w:marLeft w:val="0"/>
      <w:marRight w:val="0"/>
      <w:marTop w:val="0"/>
      <w:marBottom w:val="0"/>
      <w:divBdr>
        <w:top w:val="none" w:sz="0" w:space="0" w:color="auto"/>
        <w:left w:val="none" w:sz="0" w:space="0" w:color="auto"/>
        <w:bottom w:val="none" w:sz="0" w:space="0" w:color="auto"/>
        <w:right w:val="none" w:sz="0" w:space="0" w:color="auto"/>
      </w:divBdr>
    </w:div>
    <w:div w:id="1817529776">
      <w:marLeft w:val="0"/>
      <w:marRight w:val="0"/>
      <w:marTop w:val="0"/>
      <w:marBottom w:val="0"/>
      <w:divBdr>
        <w:top w:val="none" w:sz="0" w:space="0" w:color="auto"/>
        <w:left w:val="none" w:sz="0" w:space="0" w:color="auto"/>
        <w:bottom w:val="none" w:sz="0" w:space="0" w:color="auto"/>
        <w:right w:val="none" w:sz="0" w:space="0" w:color="auto"/>
      </w:divBdr>
    </w:div>
    <w:div w:id="1817529777">
      <w:marLeft w:val="0"/>
      <w:marRight w:val="0"/>
      <w:marTop w:val="0"/>
      <w:marBottom w:val="0"/>
      <w:divBdr>
        <w:top w:val="none" w:sz="0" w:space="0" w:color="auto"/>
        <w:left w:val="none" w:sz="0" w:space="0" w:color="auto"/>
        <w:bottom w:val="none" w:sz="0" w:space="0" w:color="auto"/>
        <w:right w:val="none" w:sz="0" w:space="0" w:color="auto"/>
      </w:divBdr>
    </w:div>
    <w:div w:id="1817529778">
      <w:marLeft w:val="0"/>
      <w:marRight w:val="0"/>
      <w:marTop w:val="0"/>
      <w:marBottom w:val="0"/>
      <w:divBdr>
        <w:top w:val="none" w:sz="0" w:space="0" w:color="auto"/>
        <w:left w:val="none" w:sz="0" w:space="0" w:color="auto"/>
        <w:bottom w:val="none" w:sz="0" w:space="0" w:color="auto"/>
        <w:right w:val="none" w:sz="0" w:space="0" w:color="auto"/>
      </w:divBdr>
    </w:div>
    <w:div w:id="1817529779">
      <w:marLeft w:val="0"/>
      <w:marRight w:val="0"/>
      <w:marTop w:val="0"/>
      <w:marBottom w:val="0"/>
      <w:divBdr>
        <w:top w:val="none" w:sz="0" w:space="0" w:color="auto"/>
        <w:left w:val="none" w:sz="0" w:space="0" w:color="auto"/>
        <w:bottom w:val="none" w:sz="0" w:space="0" w:color="auto"/>
        <w:right w:val="none" w:sz="0" w:space="0" w:color="auto"/>
      </w:divBdr>
    </w:div>
    <w:div w:id="1817529780">
      <w:marLeft w:val="0"/>
      <w:marRight w:val="0"/>
      <w:marTop w:val="0"/>
      <w:marBottom w:val="0"/>
      <w:divBdr>
        <w:top w:val="none" w:sz="0" w:space="0" w:color="auto"/>
        <w:left w:val="none" w:sz="0" w:space="0" w:color="auto"/>
        <w:bottom w:val="none" w:sz="0" w:space="0" w:color="auto"/>
        <w:right w:val="none" w:sz="0" w:space="0" w:color="auto"/>
      </w:divBdr>
    </w:div>
    <w:div w:id="1817529781">
      <w:marLeft w:val="0"/>
      <w:marRight w:val="0"/>
      <w:marTop w:val="0"/>
      <w:marBottom w:val="0"/>
      <w:divBdr>
        <w:top w:val="none" w:sz="0" w:space="0" w:color="auto"/>
        <w:left w:val="none" w:sz="0" w:space="0" w:color="auto"/>
        <w:bottom w:val="none" w:sz="0" w:space="0" w:color="auto"/>
        <w:right w:val="none" w:sz="0" w:space="0" w:color="auto"/>
      </w:divBdr>
    </w:div>
    <w:div w:id="1817529782">
      <w:marLeft w:val="0"/>
      <w:marRight w:val="0"/>
      <w:marTop w:val="0"/>
      <w:marBottom w:val="0"/>
      <w:divBdr>
        <w:top w:val="none" w:sz="0" w:space="0" w:color="auto"/>
        <w:left w:val="none" w:sz="0" w:space="0" w:color="auto"/>
        <w:bottom w:val="none" w:sz="0" w:space="0" w:color="auto"/>
        <w:right w:val="none" w:sz="0" w:space="0" w:color="auto"/>
      </w:divBdr>
    </w:div>
    <w:div w:id="1817529783">
      <w:marLeft w:val="0"/>
      <w:marRight w:val="0"/>
      <w:marTop w:val="0"/>
      <w:marBottom w:val="0"/>
      <w:divBdr>
        <w:top w:val="none" w:sz="0" w:space="0" w:color="auto"/>
        <w:left w:val="none" w:sz="0" w:space="0" w:color="auto"/>
        <w:bottom w:val="none" w:sz="0" w:space="0" w:color="auto"/>
        <w:right w:val="none" w:sz="0" w:space="0" w:color="auto"/>
      </w:divBdr>
    </w:div>
    <w:div w:id="1817529784">
      <w:marLeft w:val="0"/>
      <w:marRight w:val="0"/>
      <w:marTop w:val="0"/>
      <w:marBottom w:val="0"/>
      <w:divBdr>
        <w:top w:val="none" w:sz="0" w:space="0" w:color="auto"/>
        <w:left w:val="none" w:sz="0" w:space="0" w:color="auto"/>
        <w:bottom w:val="none" w:sz="0" w:space="0" w:color="auto"/>
        <w:right w:val="none" w:sz="0" w:space="0" w:color="auto"/>
      </w:divBdr>
    </w:div>
    <w:div w:id="1817529785">
      <w:marLeft w:val="0"/>
      <w:marRight w:val="0"/>
      <w:marTop w:val="0"/>
      <w:marBottom w:val="0"/>
      <w:divBdr>
        <w:top w:val="none" w:sz="0" w:space="0" w:color="auto"/>
        <w:left w:val="none" w:sz="0" w:space="0" w:color="auto"/>
        <w:bottom w:val="none" w:sz="0" w:space="0" w:color="auto"/>
        <w:right w:val="none" w:sz="0" w:space="0" w:color="auto"/>
      </w:divBdr>
    </w:div>
    <w:div w:id="1817529786">
      <w:marLeft w:val="0"/>
      <w:marRight w:val="0"/>
      <w:marTop w:val="0"/>
      <w:marBottom w:val="0"/>
      <w:divBdr>
        <w:top w:val="none" w:sz="0" w:space="0" w:color="auto"/>
        <w:left w:val="none" w:sz="0" w:space="0" w:color="auto"/>
        <w:bottom w:val="none" w:sz="0" w:space="0" w:color="auto"/>
        <w:right w:val="none" w:sz="0" w:space="0" w:color="auto"/>
      </w:divBdr>
    </w:div>
    <w:div w:id="1817529787">
      <w:marLeft w:val="0"/>
      <w:marRight w:val="0"/>
      <w:marTop w:val="0"/>
      <w:marBottom w:val="0"/>
      <w:divBdr>
        <w:top w:val="none" w:sz="0" w:space="0" w:color="auto"/>
        <w:left w:val="none" w:sz="0" w:space="0" w:color="auto"/>
        <w:bottom w:val="none" w:sz="0" w:space="0" w:color="auto"/>
        <w:right w:val="none" w:sz="0" w:space="0" w:color="auto"/>
      </w:divBdr>
    </w:div>
    <w:div w:id="1817529788">
      <w:marLeft w:val="0"/>
      <w:marRight w:val="0"/>
      <w:marTop w:val="0"/>
      <w:marBottom w:val="0"/>
      <w:divBdr>
        <w:top w:val="none" w:sz="0" w:space="0" w:color="auto"/>
        <w:left w:val="none" w:sz="0" w:space="0" w:color="auto"/>
        <w:bottom w:val="none" w:sz="0" w:space="0" w:color="auto"/>
        <w:right w:val="none" w:sz="0" w:space="0" w:color="auto"/>
      </w:divBdr>
    </w:div>
    <w:div w:id="1817529789">
      <w:marLeft w:val="0"/>
      <w:marRight w:val="0"/>
      <w:marTop w:val="0"/>
      <w:marBottom w:val="0"/>
      <w:divBdr>
        <w:top w:val="none" w:sz="0" w:space="0" w:color="auto"/>
        <w:left w:val="none" w:sz="0" w:space="0" w:color="auto"/>
        <w:bottom w:val="none" w:sz="0" w:space="0" w:color="auto"/>
        <w:right w:val="none" w:sz="0" w:space="0" w:color="auto"/>
      </w:divBdr>
    </w:div>
    <w:div w:id="1817529790">
      <w:marLeft w:val="0"/>
      <w:marRight w:val="0"/>
      <w:marTop w:val="0"/>
      <w:marBottom w:val="0"/>
      <w:divBdr>
        <w:top w:val="none" w:sz="0" w:space="0" w:color="auto"/>
        <w:left w:val="none" w:sz="0" w:space="0" w:color="auto"/>
        <w:bottom w:val="none" w:sz="0" w:space="0" w:color="auto"/>
        <w:right w:val="none" w:sz="0" w:space="0" w:color="auto"/>
      </w:divBdr>
    </w:div>
    <w:div w:id="1817529791">
      <w:marLeft w:val="0"/>
      <w:marRight w:val="0"/>
      <w:marTop w:val="0"/>
      <w:marBottom w:val="0"/>
      <w:divBdr>
        <w:top w:val="none" w:sz="0" w:space="0" w:color="auto"/>
        <w:left w:val="none" w:sz="0" w:space="0" w:color="auto"/>
        <w:bottom w:val="none" w:sz="0" w:space="0" w:color="auto"/>
        <w:right w:val="none" w:sz="0" w:space="0" w:color="auto"/>
      </w:divBdr>
    </w:div>
    <w:div w:id="1817529792">
      <w:marLeft w:val="0"/>
      <w:marRight w:val="0"/>
      <w:marTop w:val="0"/>
      <w:marBottom w:val="0"/>
      <w:divBdr>
        <w:top w:val="none" w:sz="0" w:space="0" w:color="auto"/>
        <w:left w:val="none" w:sz="0" w:space="0" w:color="auto"/>
        <w:bottom w:val="none" w:sz="0" w:space="0" w:color="auto"/>
        <w:right w:val="none" w:sz="0" w:space="0" w:color="auto"/>
      </w:divBdr>
    </w:div>
    <w:div w:id="1817529793">
      <w:marLeft w:val="0"/>
      <w:marRight w:val="0"/>
      <w:marTop w:val="0"/>
      <w:marBottom w:val="0"/>
      <w:divBdr>
        <w:top w:val="none" w:sz="0" w:space="0" w:color="auto"/>
        <w:left w:val="none" w:sz="0" w:space="0" w:color="auto"/>
        <w:bottom w:val="none" w:sz="0" w:space="0" w:color="auto"/>
        <w:right w:val="none" w:sz="0" w:space="0" w:color="auto"/>
      </w:divBdr>
    </w:div>
    <w:div w:id="1817529794">
      <w:marLeft w:val="0"/>
      <w:marRight w:val="0"/>
      <w:marTop w:val="0"/>
      <w:marBottom w:val="0"/>
      <w:divBdr>
        <w:top w:val="none" w:sz="0" w:space="0" w:color="auto"/>
        <w:left w:val="none" w:sz="0" w:space="0" w:color="auto"/>
        <w:bottom w:val="none" w:sz="0" w:space="0" w:color="auto"/>
        <w:right w:val="none" w:sz="0" w:space="0" w:color="auto"/>
      </w:divBdr>
    </w:div>
    <w:div w:id="1817529795">
      <w:marLeft w:val="0"/>
      <w:marRight w:val="0"/>
      <w:marTop w:val="0"/>
      <w:marBottom w:val="0"/>
      <w:divBdr>
        <w:top w:val="none" w:sz="0" w:space="0" w:color="auto"/>
        <w:left w:val="none" w:sz="0" w:space="0" w:color="auto"/>
        <w:bottom w:val="none" w:sz="0" w:space="0" w:color="auto"/>
        <w:right w:val="none" w:sz="0" w:space="0" w:color="auto"/>
      </w:divBdr>
    </w:div>
    <w:div w:id="1817529796">
      <w:marLeft w:val="0"/>
      <w:marRight w:val="0"/>
      <w:marTop w:val="0"/>
      <w:marBottom w:val="0"/>
      <w:divBdr>
        <w:top w:val="none" w:sz="0" w:space="0" w:color="auto"/>
        <w:left w:val="none" w:sz="0" w:space="0" w:color="auto"/>
        <w:bottom w:val="none" w:sz="0" w:space="0" w:color="auto"/>
        <w:right w:val="none" w:sz="0" w:space="0" w:color="auto"/>
      </w:divBdr>
    </w:div>
    <w:div w:id="1817529797">
      <w:marLeft w:val="0"/>
      <w:marRight w:val="0"/>
      <w:marTop w:val="0"/>
      <w:marBottom w:val="0"/>
      <w:divBdr>
        <w:top w:val="none" w:sz="0" w:space="0" w:color="auto"/>
        <w:left w:val="none" w:sz="0" w:space="0" w:color="auto"/>
        <w:bottom w:val="none" w:sz="0" w:space="0" w:color="auto"/>
        <w:right w:val="none" w:sz="0" w:space="0" w:color="auto"/>
      </w:divBdr>
    </w:div>
    <w:div w:id="1817529798">
      <w:marLeft w:val="0"/>
      <w:marRight w:val="0"/>
      <w:marTop w:val="0"/>
      <w:marBottom w:val="0"/>
      <w:divBdr>
        <w:top w:val="none" w:sz="0" w:space="0" w:color="auto"/>
        <w:left w:val="none" w:sz="0" w:space="0" w:color="auto"/>
        <w:bottom w:val="none" w:sz="0" w:space="0" w:color="auto"/>
        <w:right w:val="none" w:sz="0" w:space="0" w:color="auto"/>
      </w:divBdr>
    </w:div>
    <w:div w:id="1817529799">
      <w:marLeft w:val="0"/>
      <w:marRight w:val="0"/>
      <w:marTop w:val="0"/>
      <w:marBottom w:val="0"/>
      <w:divBdr>
        <w:top w:val="none" w:sz="0" w:space="0" w:color="auto"/>
        <w:left w:val="none" w:sz="0" w:space="0" w:color="auto"/>
        <w:bottom w:val="none" w:sz="0" w:space="0" w:color="auto"/>
        <w:right w:val="none" w:sz="0" w:space="0" w:color="auto"/>
      </w:divBdr>
    </w:div>
    <w:div w:id="1817529800">
      <w:marLeft w:val="0"/>
      <w:marRight w:val="0"/>
      <w:marTop w:val="0"/>
      <w:marBottom w:val="0"/>
      <w:divBdr>
        <w:top w:val="none" w:sz="0" w:space="0" w:color="auto"/>
        <w:left w:val="none" w:sz="0" w:space="0" w:color="auto"/>
        <w:bottom w:val="none" w:sz="0" w:space="0" w:color="auto"/>
        <w:right w:val="none" w:sz="0" w:space="0" w:color="auto"/>
      </w:divBdr>
    </w:div>
    <w:div w:id="18175298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5590</Words>
  <Characters>30186</Characters>
  <Application>Microsoft Office Word</Application>
  <DocSecurity>0</DocSecurity>
  <Lines>251</Lines>
  <Paragraphs>71</Paragraphs>
  <ScaleCrop>false</ScaleCrop>
  <Company>Justiça Eleitoral</Company>
  <LinksUpToDate>false</LinksUpToDate>
  <CharactersWithSpaces>35705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GESTÃO DE TECNOLOGIA DA INFORMAÇÃO DO TRE-BA</dc:title>
  <dc:creator>Fernanda</dc:creator>
  <cp:lastModifiedBy>Geraldo Majella Nunes de Moura</cp:lastModifiedBy>
  <cp:revision>2</cp:revision>
  <cp:lastPrinted>2014-09-24T17:41:00Z</cp:lastPrinted>
  <dcterms:created xsi:type="dcterms:W3CDTF">2021-05-11T19:17:00Z</dcterms:created>
  <dcterms:modified xsi:type="dcterms:W3CDTF">2021-05-11T19:17:00Z</dcterms:modified>
</cp:coreProperties>
</file>